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0" w:afterAutospacing="0" w:line="576" w:lineRule="atLeast"/>
        <w:ind w:left="0" w:right="0"/>
        <w:jc w:val="center"/>
        <w:rPr>
          <w:rFonts w:ascii="黑体" w:hAnsi="宋体" w:eastAsia="黑体" w:cs="黑体"/>
          <w:b w:val="0"/>
          <w:color w:val="034881"/>
          <w:sz w:val="36"/>
          <w:szCs w:val="36"/>
        </w:rPr>
      </w:pPr>
      <w:r>
        <w:rPr>
          <w:rFonts w:hint="eastAsia" w:ascii="黑体" w:hAnsi="宋体" w:eastAsia="黑体" w:cs="黑体"/>
          <w:b w:val="0"/>
          <w:color w:val="034881"/>
          <w:sz w:val="36"/>
          <w:szCs w:val="36"/>
          <w:bdr w:val="none" w:color="auto" w:sz="0" w:space="0"/>
          <w:shd w:val="clear" w:fill="FFFFFF"/>
        </w:rPr>
        <w:t>国务院：优化营商环境条例（全文）</w:t>
      </w:r>
    </w:p>
    <w:p>
      <w:pPr>
        <w:keepNext w:val="0"/>
        <w:keepLines w:val="0"/>
        <w:widowControl/>
        <w:suppressLineNumbers w:val="0"/>
        <w:pBdr>
          <w:top w:val="single" w:color="E9E9E9" w:sz="4" w:space="0"/>
          <w:left w:val="none" w:color="auto" w:sz="0" w:space="0"/>
          <w:bottom w:val="none" w:color="auto" w:sz="0" w:space="0"/>
          <w:right w:val="none" w:color="auto" w:sz="0" w:space="0"/>
        </w:pBdr>
        <w:spacing w:before="192" w:beforeAutospacing="0" w:after="192" w:afterAutospacing="0" w:line="384" w:lineRule="atLeast"/>
        <w:ind w:left="0" w:right="0"/>
      </w:pPr>
      <w:bookmarkStart w:id="0" w:name="_GoBack"/>
      <w:bookmarkEnd w:id="0"/>
      <w:r>
        <w:rPr>
          <w:rFonts w:hint="eastAsia" w:ascii="黑体" w:hAnsi="宋体" w:eastAsia="黑体" w:cs="黑体"/>
          <w:b w:val="0"/>
          <w:color w:val="454545"/>
          <w:sz w:val="16"/>
          <w:szCs w:val="16"/>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19"/>
          <w:rFonts w:hint="eastAsia" w:ascii="宋体" w:hAnsi="宋体" w:eastAsia="宋体" w:cs="宋体"/>
          <w:vanish/>
          <w:color w:val="000000"/>
          <w:sz w:val="24"/>
          <w:szCs w:val="24"/>
          <w:shd w:val="clear" w:fill="FFFFFF"/>
          <w:lang w:val="en-US" w:eastAsia="zh-CN" w:bidi="ar"/>
        </w:rPr>
        <w:drawing>
          <wp:inline distT="0" distB="0" distL="114300" distR="114300">
            <wp:extent cx="304800" cy="3048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Play</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Fullscreen</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Fonts w:hint="eastAsia" w:ascii="宋体" w:hAnsi="宋体" w:eastAsia="宋体" w:cs="宋体"/>
          <w:vanish/>
          <w:color w:val="000000"/>
          <w:kern w:val="0"/>
          <w:sz w:val="24"/>
          <w:szCs w:val="24"/>
          <w:shd w:val="clear" w:fill="FFFFFF"/>
          <w:lang w:val="en-US" w:eastAsia="zh-CN" w:bidi="ar"/>
        </w:rPr>
        <w:t>0:00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Fonts w:hint="eastAsia" w:ascii="宋体" w:hAnsi="宋体" w:eastAsia="宋体" w:cs="宋体"/>
          <w:vanish/>
          <w:color w:val="000000"/>
          <w:kern w:val="0"/>
          <w:sz w:val="24"/>
          <w:szCs w:val="24"/>
          <w:shd w:val="clear" w:fill="FFFFFF"/>
          <w:lang w:val="en-US" w:eastAsia="zh-CN" w:bidi="ar"/>
        </w:rPr>
        <w:t>/</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Fonts w:hint="eastAsia" w:ascii="宋体" w:hAnsi="宋体" w:eastAsia="宋体" w:cs="宋体"/>
          <w:vanish/>
          <w:color w:val="000000"/>
          <w:kern w:val="0"/>
          <w:sz w:val="24"/>
          <w:szCs w:val="24"/>
          <w:shd w:val="clear" w:fill="FFFFFF"/>
          <w:lang w:val="en-US" w:eastAsia="zh-CN" w:bidi="ar"/>
        </w:rPr>
        <w:t>0:00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Fonts w:hint="eastAsia" w:ascii="宋体" w:hAnsi="宋体" w:eastAsia="宋体" w:cs="宋体"/>
          <w:vanish/>
          <w:color w:val="000000"/>
          <w:kern w:val="0"/>
          <w:sz w:val="24"/>
          <w:szCs w:val="24"/>
          <w:shd w:val="clear" w:fill="FFFFFF"/>
          <w:lang w:val="en-US" w:eastAsia="zh-CN" w:bidi="ar"/>
        </w:rPr>
        <w:t>-0:00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Loaded: 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Progress: 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00:00</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Mute</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Subtitles</w:t>
      </w:r>
    </w:p>
    <w:p>
      <w:pPr>
        <w:keepNext w:val="0"/>
        <w:keepLines w:val="0"/>
        <w:widowControl/>
        <w:numPr>
          <w:ilvl w:val="0"/>
          <w:numId w:val="1"/>
        </w:numPr>
        <w:suppressLineNumbers w:val="0"/>
        <w:spacing w:before="0" w:beforeAutospacing="0" w:after="0" w:afterAutospacing="0" w:line="384" w:lineRule="atLeast"/>
        <w:ind w:left="2160" w:right="0" w:hanging="360"/>
        <w:rPr>
          <w:vanish/>
        </w:rPr>
      </w:pPr>
      <w:r>
        <w:rPr>
          <w:rFonts w:hint="eastAsia" w:ascii="宋体" w:hAnsi="宋体" w:eastAsia="宋体" w:cs="宋体"/>
          <w:vanish/>
          <w:color w:val="000000"/>
          <w:shd w:val="clear" w:fill="FFFFFF"/>
        </w:rPr>
        <w:t>Subtitles</w:t>
      </w:r>
    </w:p>
    <w:p>
      <w:pPr>
        <w:keepNext w:val="0"/>
        <w:keepLines w:val="0"/>
        <w:widowControl/>
        <w:numPr>
          <w:ilvl w:val="0"/>
          <w:numId w:val="1"/>
        </w:numPr>
        <w:suppressLineNumbers w:val="0"/>
        <w:spacing w:before="0" w:beforeAutospacing="0" w:after="0" w:afterAutospacing="0" w:line="384" w:lineRule="atLeast"/>
        <w:ind w:left="2160" w:right="0" w:hanging="360"/>
        <w:rPr>
          <w:vanish/>
        </w:rPr>
      </w:pPr>
      <w:r>
        <w:rPr>
          <w:rFonts w:hint="eastAsia" w:ascii="宋体" w:hAnsi="宋体" w:eastAsia="宋体" w:cs="宋体"/>
          <w:vanish/>
          <w:color w:val="000000"/>
          <w:shd w:val="clear" w:fill="FFFFFF"/>
        </w:rPr>
        <w:t>Off</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Captions</w:t>
      </w:r>
    </w:p>
    <w:p>
      <w:pPr>
        <w:keepNext w:val="0"/>
        <w:keepLines w:val="0"/>
        <w:widowControl/>
        <w:numPr>
          <w:ilvl w:val="0"/>
          <w:numId w:val="2"/>
        </w:numPr>
        <w:suppressLineNumbers w:val="0"/>
        <w:spacing w:before="0" w:beforeAutospacing="0" w:after="0" w:afterAutospacing="0" w:line="384" w:lineRule="atLeast"/>
        <w:ind w:left="2160" w:right="0" w:hanging="360"/>
        <w:rPr>
          <w:vanish/>
        </w:rPr>
      </w:pPr>
      <w:r>
        <w:rPr>
          <w:rFonts w:hint="eastAsia" w:ascii="宋体" w:hAnsi="宋体" w:eastAsia="宋体" w:cs="宋体"/>
          <w:vanish/>
          <w:color w:val="000000"/>
          <w:shd w:val="clear" w:fill="FFFFFF"/>
        </w:rPr>
        <w:t>Captions</w:t>
      </w:r>
    </w:p>
    <w:p>
      <w:pPr>
        <w:keepNext w:val="0"/>
        <w:keepLines w:val="0"/>
        <w:widowControl/>
        <w:numPr>
          <w:ilvl w:val="0"/>
          <w:numId w:val="2"/>
        </w:numPr>
        <w:suppressLineNumbers w:val="0"/>
        <w:spacing w:before="0" w:beforeAutospacing="0" w:after="0" w:afterAutospacing="0" w:line="384" w:lineRule="atLeast"/>
        <w:ind w:left="2160" w:right="0" w:hanging="360"/>
        <w:rPr>
          <w:vanish/>
        </w:rPr>
      </w:pPr>
      <w:r>
        <w:rPr>
          <w:rFonts w:hint="eastAsia" w:ascii="宋体" w:hAnsi="宋体" w:eastAsia="宋体" w:cs="宋体"/>
          <w:vanish/>
          <w:color w:val="000000"/>
          <w:shd w:val="clear" w:fill="FFFFFF"/>
        </w:rPr>
        <w:t>Off</w:t>
      </w:r>
    </w:p>
    <w:p>
      <w:pPr>
        <w:keepNext w:val="0"/>
        <w:keepLines w:val="0"/>
        <w:widowControl/>
        <w:suppressLineNumbers w:val="0"/>
        <w:pBdr>
          <w:top w:val="none" w:color="auto" w:sz="0" w:space="0"/>
          <w:bottom w:val="none" w:color="auto" w:sz="0" w:space="0"/>
        </w:pBdr>
        <w:shd w:val="clear" w:fill="FFFFFF"/>
        <w:spacing w:before="0" w:beforeAutospacing="0" w:after="0" w:afterAutospacing="0" w:line="384" w:lineRule="atLeast"/>
        <w:ind w:left="1440" w:right="0"/>
        <w:jc w:val="left"/>
        <w:rPr>
          <w:rFonts w:hint="eastAsia" w:ascii="宋体" w:hAnsi="宋体" w:eastAsia="宋体" w:cs="宋体"/>
          <w:vanish/>
          <w:color w:val="000000"/>
        </w:rPr>
      </w:pPr>
      <w:r>
        <w:rPr>
          <w:rStyle w:val="20"/>
          <w:rFonts w:hint="eastAsia" w:ascii="宋体" w:hAnsi="宋体" w:eastAsia="宋体" w:cs="宋体"/>
          <w:vanish/>
          <w:color w:val="000000"/>
          <w:sz w:val="24"/>
          <w:szCs w:val="24"/>
          <w:shd w:val="clear" w:fill="FFFFFF"/>
          <w:lang w:val="en-US" w:eastAsia="zh-CN" w:bidi="ar"/>
        </w:rPr>
        <w:t>Chapters</w:t>
      </w:r>
    </w:p>
    <w:p>
      <w:pPr>
        <w:keepNext w:val="0"/>
        <w:keepLines w:val="0"/>
        <w:widowControl/>
        <w:numPr>
          <w:ilvl w:val="0"/>
          <w:numId w:val="3"/>
        </w:numPr>
        <w:suppressLineNumbers w:val="0"/>
        <w:spacing w:before="0" w:beforeAutospacing="0" w:after="0" w:afterAutospacing="0" w:line="384" w:lineRule="atLeast"/>
        <w:ind w:left="2160" w:right="0" w:hanging="360"/>
        <w:rPr>
          <w:vanish/>
        </w:rPr>
      </w:pPr>
      <w:r>
        <w:rPr>
          <w:rFonts w:hint="eastAsia" w:ascii="宋体" w:hAnsi="宋体" w:eastAsia="宋体" w:cs="宋体"/>
          <w:vanish/>
          <w:color w:val="000000"/>
          <w:shd w:val="clear" w:fill="FFFFFF"/>
        </w:rPr>
        <w:t>Chapters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FF"/>
          <w:sz w:val="19"/>
          <w:szCs w:val="19"/>
          <w:bdr w:val="none" w:color="auto" w:sz="0" w:space="0"/>
          <w:shd w:val="clear" w:fill="FFFFFF"/>
        </w:rPr>
        <w:t xml:space="preserve">中华人民共和国国务院令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Style w:val="7"/>
          <w:rFonts w:hint="eastAsia" w:ascii="宋体" w:hAnsi="宋体" w:eastAsia="宋体" w:cs="宋体"/>
          <w:color w:val="0000FF"/>
          <w:sz w:val="19"/>
          <w:szCs w:val="19"/>
          <w:bdr w:val="none" w:color="auto" w:sz="0" w:space="0"/>
          <w:shd w:val="clear" w:fill="FFFFFF"/>
        </w:rPr>
        <w:t xml:space="preserve">　　第722号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《优化营商环境条例》已经2019年10月8日国务院第66次常务会议通过，现予公布，自2020年1月1日起施行。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right"/>
        <w:rPr>
          <w:sz w:val="19"/>
          <w:szCs w:val="19"/>
        </w:rPr>
      </w:pPr>
      <w:r>
        <w:rPr>
          <w:rFonts w:hint="eastAsia" w:ascii="宋体" w:hAnsi="宋体" w:eastAsia="宋体" w:cs="宋体"/>
          <w:color w:val="000000"/>
          <w:sz w:val="19"/>
          <w:szCs w:val="19"/>
          <w:bdr w:val="none" w:color="auto" w:sz="0" w:space="0"/>
          <w:shd w:val="clear" w:fill="FFFFFF"/>
        </w:rPr>
        <w:t>　　总　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right"/>
        <w:rPr>
          <w:sz w:val="19"/>
          <w:szCs w:val="19"/>
        </w:rPr>
      </w:pPr>
      <w:r>
        <w:rPr>
          <w:rFonts w:hint="eastAsia" w:ascii="宋体" w:hAnsi="宋体" w:eastAsia="宋体" w:cs="宋体"/>
          <w:color w:val="000000"/>
          <w:sz w:val="19"/>
          <w:szCs w:val="19"/>
          <w:bdr w:val="none" w:color="auto" w:sz="0" w:space="0"/>
          <w:shd w:val="clear" w:fill="FFFFFF"/>
        </w:rPr>
        <w:t>　　2019年10月22日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 xml:space="preserve">优化营商环境条例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Style w:val="7"/>
          <w:rFonts w:hint="eastAsia" w:ascii="宋体" w:hAnsi="宋体" w:eastAsia="宋体" w:cs="宋体"/>
          <w:color w:val="000000"/>
          <w:sz w:val="19"/>
          <w:szCs w:val="19"/>
          <w:bdr w:val="none" w:color="auto" w:sz="0" w:space="0"/>
          <w:shd w:val="clear" w:fill="FFFFFF"/>
        </w:rPr>
        <w:t xml:space="preserve">　　第一章　总　　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第一条　为了持续优化营商环境，不断解放和发展社会生产力，加快建设现代化经济体系，推动高质量发展，制定本条例。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第二条　本条例所称营商环境，是指企业等市场主体在市场经济活动中所涉及的体制机制性因素和条件。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第三条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各级人民政府及其部门应当坚持政务公开透明，以公开为常态、不公开为例外，全面推进决策、执行、管理、服务、结果公开。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第五条　国家加快建立统一开放、竞争有序的现代市场体系，依法促进各类生产要素自由流动，保障各类市场主体公平参与市场竞争。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第六条　国家鼓励、支持、引导非公有制经济发展，激发非公有制经济活力和创造力。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国家进一步扩大对外开放，积极促进外商投资，平等对待内资企业、外商投资企业等各类市场主体。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第七条　各级人民政府应当加强对优化营商环境工作的组织领导，完善优化营商环境的政策措施，建立健全统筹推进、督促落实优化营商环境工作的相关机制，及时协调、解决优化营商环境工作中的重大问题。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县级以上人民政府有关部门应当按照职责分工，做好优化营商环境的相关工作。县级以上地方人民政府根据实际情况，可以明确优化营商环境工作的主管部门。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国家鼓励和支持各地区、各部门结合实际情况，在法治框架内积极探索原创性、差异化的优化营商环境具体措施；对探索中出现失误或者偏差，符合规定条件的，可以予以免责或者减轻责任。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第八条　国家建立和完善以市场主体和社会公众满意度为导向的营商环境评价体系，发挥营商环境评价对优化营商环境的引领和督促作用。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开展营商环境评价，不得影响各地区、各部门正常工作，不得影响市场主体正常生产经营活动或者增加市场主体负担。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任何单位不得利用营商环境评价谋取利益。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第九条　市场主体应当遵守法律法规，恪守社会公德和商业道德，诚实守信、公平竞争，履行安全、质量、劳动者权益保护、消费者权益保护等方面的法定义务，在国际经贸活动中遵循国际通行规则。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第二章　市场主体保护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第十条　国家坚持权利平等、机会平等、规则平等，保障各种所有制经济平等受到法律保护。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第十一条　市场主体依法享有经营自主权。对依法应当由市场主体自主决策的各类事项，任何单位和个人不得干预。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第十二条　国家保障各类市场主体依法平等使用资金、技术、人力资源、土地使用权及其他自然资源等各类生产要素和公共服务资源。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第十三条　招标投标和政府采购应当公开透明、公平公正，依法平等对待各类所有制和不同地区的市场主体，不得以不合理条件或者产品产地来源等进行限制或者排斥。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政府有关部门应当加强招标投标和政府采购监管，依法纠正和查处违法违规行为。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第十四条　国家依法保护市场主体的财产权和其他合法权益，保护企业经营者人身和财产安全。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严禁违反法定权限、条件、程序对市场主体的财产和企业经营者个人财产实施查封、冻结和扣押等行政强制措施；依法确需实施前述行政强制措施的，应当限定在所必需的范围内。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禁止在法律、法规规定之外要求市场主体提供财力、物力或者人力的摊派行为。市场主体有权拒绝任何形式的摊派。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第十五条　国家建立知识产权侵权惩罚性赔偿制度，推动建立知识产权快速协同保护机制，健全知识产权纠纷多元化解决机制和知识产权维权援助机制，加大对知识产权的保护力度。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国家持续深化商标注册、专利申请便利化改革，提高商标注册、专利申请审查效率。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第十六条　国家加大中小投资者权益保护力度，完善中小投资者权益保护机制，保障中小投资者的知情权、参与权，提升中小投资者维护合法权益的便利度。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第十七条　除法律、法规另有规定外，市场主体有权自主决定加入或者退出行业协会商会等社会组织，任何单位和个人不得干预。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除法律、法规另有规定外，任何单位和个人不得强制或者变相强制市场主体参加评比、达标、表彰、培训、考核、考试以及类似活动，不得借前述活动向市场主体收费或者变相收费。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第十八条　国家推动建立全国统一的市场主体维权服务平台，为市场主体提供高效、便捷的维权服务。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第三章　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第十九条　国家持续深化商事制度改革，统一企业登记业务规范，统一数据标准和平台服务接口，采用统一社会信用代码进行登记管理。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政府有关部门应当按照国家有关规定，简化企业从申请设立到具备一般性经营条件所需办理的手续。在国家规定的企业开办时限内，各地区应当确定并公开具体办理时间。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企业申请办理住所等相关变更登记的，有关部门应当依法及时办理，不得限制。除法律、法规、规章另有规定外，企业迁移后其持有的有效许可证件不再重复办理。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第二十条　国家持续放宽市场准入，并实行全国统一的市场准入负面清单制度。市场准入负面清单以外的领域，各类市场主体均可以依法平等进入。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各地区、各部门不得另行制定市场准入性质的负面清单。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第二十一条　政府有关部门应当加大反垄断和反不正当竞争执法力度，有效预防和制止市场经济活动中的垄断行为、不正当竞争行为以及滥用行政权力排除、限制竞争的行为，营造公平竞争的市场环境。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第二十二条　国家建立健全统一开放、竞争有序的人力资源市场体系，打破城乡、地区、行业分割和身份、性别等歧视，促进人力资源有序社会性流动和合理配置。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第二十三条　政府及其有关部门应当完善政策措施、强化创新服务，鼓励和支持市场主体拓展创新空间，持续推进产品、技术、商业模式、管理等创新，充分发挥市场主体在推动科技成果转化中的作用。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第二十四条　政府及其有关部门应当严格落实国家各项减税降费政策，及时研究解决政策落实中的具体问题，确保减税降费政策全面、及时惠及市场主体。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第二十五条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第二十六条　国家鼓励和支持金融机构加大对民营企业、中小企业的支持力度，降低民营企业、中小企业综合融资成本。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金融监督管理部门应当完善对商业银行等金融机构的监管考核和激励机制，鼓励、引导其增加对民营企业、中小企业的信贷投放，并合理增加中长期贷款和信用贷款支持，提高贷款审批效率。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第二十七条　国家促进多层次资本市场规范健康发展，拓宽市场主体融资渠道，支持符合条件的民营企业、中小企业依法发行股票、债券以及其他融资工具，扩大直接融资规模。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政府有关部门应当加强对公用企事业单位运营的监督管理。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第二十九条　行业协会商会应当依照法律、法规和章程，加强行业自律，及时反映行业诉求，为市场主体提供信息咨询、宣传培训、市场拓展、权益保护、纠纷处理等方面的服务。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国家依法严格规范行业协会商会的收费、评比、认证等行为。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第三十条　国家加强社会信用体系建设，持续推进政务诚信、商务诚信、社会诚信和司法公信建设，提高全社会诚信意识和信用水平，维护信用信息安全，严格保护商业秘密和个人隐私。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第三十二条　国家机关、事业单位不得违约拖欠市场主体的货物、工程、服务等账款，大型企业不得利用优势地位拖欠中小企业账款。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第三十三条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县级以上地方人民政府应当根据需要建立企业破产工作协调机制，协调解决企业破产过程中涉及的有关问题。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 xml:space="preserve">第四章　政务服务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第三十四条　政府及其有关部门应当进一步增强服务意识，切实转变工作作风，为市场主体提供规范、便利、高效的政务服务。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第三十七条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国家建立电子证照共享服务系统，实现电子证照跨地区、跨部门共享和全国范围内互信互认。各地区、各部门应当加强电子证照的推广应用。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各地区、各部门应当推动政务服务大厅与政务服务平台全面对接融合。市场主体有权自主选择政务服务办理渠道，行政机关不得限定办理渠道。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第三十八条　政府及其有关部门应当通过政府网站、一体化在线平台，集中公布涉及市场主体的法律、法规、规章、行政规范性文件和各类政策措施，并通过多种途径和方式加强宣传解读。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第四十条　国家实行行政许可清单管理制度，适时调整行政许可清单并向社会公布，清单之外不得违法实施行政许可。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国家大力精简已有行政许可。对已取消的行政许可，行政机关不得继续实施或者变相实施，不得转由行业协会商会或者其他组织实施。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第四十二条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第四十三条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行政机关在行政审批过程中需要委托中介服务机构开展技术性服务的，应当通过竞争性方式选择中介服务机构，并自行承担服务费用，不得转嫁给市场主体承担。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第四十四条　证明事项应当有法律、法规或者国务院决定依据。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第四十六条　税务机关应当精简办税资料和流程，简并申报缴税次数，公开涉税事项办理时限，压减办税时间，加大推广使用电子发票的力度，逐步实现全程网上办税，持续优化纳税服务。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第四十七条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国家推动建立统一的动产和权利担保登记公示系统，逐步实现市场主体在一个平台上办理动产和权利担保登记。纳入统一登记公示系统的动产和权利范围另行规定。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建立政企沟通机制，应当充分尊重市场主体意愿，增强针对性和有效性，不得干扰市场主体正常生产经营活动，不得增加市场主体负担。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第四十九条　政府及其有关部门应当建立便利、畅通的渠道，受理有关营商环境的投诉和举报。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第五十条　新闻媒体应当及时、准确宣传优化营商环境的措施和成效，为优化营商环境创造良好舆论氛围。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国家鼓励对营商环境进行舆论监督，但禁止捏造虚假信息或者歪曲事实进行不实报道。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第五章　监管执法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第五十一条　政府有关部门应当严格按照法律法规和职责，落实监管责任，明确监管对象和范围、厘清监管事权，依法对市场主体进行监管，实现监管全覆盖。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第五十二条　国家健全公开透明的监管规则和标准体系。国务院有关部门应当分领域制定全国统一、简明易行的监管规则和标准，并向社会公开。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第五十三条　政府及其有关部门应当按照国家关于加快构建以信用为基础的新型监管机制的要求，创新和完善信用监管，强化信用监管的支撑保障，加强信用监管的组织实施，不断提升信用监管效能。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第五十四条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第五十六条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第五十七条　国家建立健全跨部门、跨区域行政执法联动响应和协作机制，实现违法线索互联、监管标准互通、处理结果互认。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国家统筹配置行政执法职能和执法资源，在相关领域推行综合行政执法，整合精简执法队伍，减少执法主体和执法层级，提高基层执法能力。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禁止将罚没收入与行政执法机关利益挂钩。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第六十条　国家健全行政执法自由裁量基准制度，合理确定裁量范围、种类和幅度，规范行政执法自由裁量权的行使。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第六章　法治保障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第六十一条　国家根据优化营商环境需要，依照法定权限和程序及时制定或者修改、废止有关法律、法规、规章、行政规范性文件。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优化营商环境的改革措施涉及调整实施现行法律、行政法规等有关规定的，依照法定程序经有权机关授权后，可以先行先试。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第六十二条　制定与市场主体生产经营活动密切相关的行政法规、规章、行政规范性文件，应当按照国务院的规定，充分听取市场主体、行业协会商会的意见。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第六十三条　制定与市场主体生产经营活动密切相关的行政法规、规章、行政规范性文件，应当按照国务院的规定进行公平竞争审查。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制定涉及市场主体权利义务的行政规范性文件，应当按照国务院的规定进行合法性审核。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市场主体认为地方性法规同行政法规相抵触，或者认为规章同法律、行政法规相抵触的，可以向国务院书面提出审查建议，由有关机关按照规定程序处理。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第六十四条　没有法律、法规或者国务院决定和命令依据的，行政规范性文件不得减损市场主体合法权益或者增加其义务，不得设置市场准入和退出条件，不得干预市场主体正常生产经营活动。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涉及市场主体权利义务的行政规范性文件应当按照法定要求和程序予以公布，未经公布的不得作为行政管理依据。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第六十五条　制定与市场主体生产经营活动密切相关的行政法规、规章、行政规范性文件，应当结合实际，确定是否为市场主体留出必要的适应调整期。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政府及其有关部门应当统筹协调、合理把握规章、行政规范性文件等的出台节奏，全面评估政策效果，避免因政策叠加或者相互不协调对市场主体正常生产经营活动造成不利影响。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第六十六条　国家完善调解、仲裁、行政裁决、行政复议、诉讼等有机衔接、相互协调的多元化纠纷解决机制，为市场主体提供高效、便捷的纠纷解决途径。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第六十八条　政府及其有关部门应当整合律师、公证、司法鉴定、调解、仲裁等公共法律服务资源，加快推进公共法律服务体系建设，全面提升公共法律服务能力和水平，为优化营商环境提供全方位法律服务。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第六十九条　政府和有关部门及其工作人员有下列情形之一的，依法依规追究责任：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（一）违法干预应当由市场主体自主决策的事项；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（二）制定或者实施政策措施不依法平等对待各类市场主体；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（三）违反法定权限、条件、程序对市场主体的财产和企业经营者个人财产实施查封、冻结和扣押等行政强制措施；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（四）在法律、法规规定之外要求市场主体提供财力、物力或者人力；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（五）没有法律、法规依据，强制或者变相强制市场主体参加评比、达标、表彰、培训、考核、考试以及类似活动，或者借前述活动向市场主体收费或者变相收费；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（六）违法设立或者在目录清单之外执行政府性基金、涉企行政事业性收费、涉企保证金；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（七）不履行向市场主体依法作出的政策承诺以及依法订立的各类合同，或者违约拖欠市场主体的货物、工程、服务等账款；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（八）变相设定或者实施行政许可，继续实施或者变相实施已取消的行政许可，或者转由行业协会商会或者其他组织实施已取消的行政许可；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（九）为市场主体指定或者变相指定中介服务机构，或者违法强制市场主体接受中介服务；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（十）制定与市场主体生产经营活动密切相关的行政法规、规章、行政规范性文件时，不按照规定听取市场主体、行业协会商会的意见；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（十一）其他不履行优化营商环境职责或者损害营商环境的情形。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第七十条　公用企事业单位有下列情形之一的，由有关部门责令改正，依法追究法律责任：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（一）不向社会公开服务标准、资费标准、办理时限等信息；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（二）强迫市场主体接受不合理的服务条件；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（三）向市场主体收取不合理费用。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第七十一条　行业协会商会、中介服务机构有下列情形之一的，由有关部门责令改正，依法追究法律责任：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（一）违法开展收费、评比、认证等行为；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（二）违法干预市场主体加入或者退出行业协会商会等社会组织；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（三）没有法律、法规依据，强制或者变相强制市场主体参加评比、达标、表彰、培训、考核、考试以及类似活动，或者借前述活动向市场主体收费或者变相收费；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（四）不向社会公开办理法定行政审批中介服务的条件、流程、时限、收费标准；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（五）违法强制或者变相强制市场主体接受中介服务。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sz w:val="19"/>
          <w:szCs w:val="19"/>
        </w:rPr>
      </w:pPr>
      <w:r>
        <w:rPr>
          <w:rFonts w:hint="eastAsia" w:ascii="宋体" w:hAnsi="宋体" w:eastAsia="宋体" w:cs="宋体"/>
          <w:color w:val="000000"/>
          <w:sz w:val="19"/>
          <w:szCs w:val="19"/>
          <w:bdr w:val="none" w:color="auto" w:sz="0" w:space="0"/>
          <w:shd w:val="clear" w:fill="FFFFFF"/>
        </w:rPr>
        <w:t>　　</w:t>
      </w:r>
      <w:r>
        <w:rPr>
          <w:rStyle w:val="7"/>
          <w:rFonts w:hint="eastAsia" w:ascii="宋体" w:hAnsi="宋体" w:eastAsia="宋体" w:cs="宋体"/>
          <w:color w:val="000000"/>
          <w:sz w:val="19"/>
          <w:szCs w:val="19"/>
          <w:bdr w:val="none" w:color="auto" w:sz="0" w:space="0"/>
          <w:shd w:val="clear" w:fill="FFFFFF"/>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sz w:val="19"/>
          <w:szCs w:val="19"/>
        </w:rPr>
      </w:pPr>
      <w:r>
        <w:rPr>
          <w:rFonts w:hint="eastAsia" w:ascii="宋体" w:hAnsi="宋体" w:eastAsia="宋体" w:cs="宋体"/>
          <w:color w:val="000000"/>
          <w:sz w:val="19"/>
          <w:szCs w:val="19"/>
          <w:bdr w:val="none" w:color="auto" w:sz="0" w:space="0"/>
          <w:shd w:val="clear" w:fill="FFFFFF"/>
        </w:rPr>
        <w:t>　　第七十二条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A1CAE"/>
    <w:multiLevelType w:val="multilevel"/>
    <w:tmpl w:val="9EFA1CA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C6AC849D"/>
    <w:multiLevelType w:val="multilevel"/>
    <w:tmpl w:val="C6AC84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4C22E2DA"/>
    <w:multiLevelType w:val="multilevel"/>
    <w:tmpl w:val="4C22E2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49EB"/>
    <w:rsid w:val="6D694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 w:type="character" w:customStyle="1" w:styleId="10">
    <w:name w:val="remaintime"/>
    <w:basedOn w:val="6"/>
    <w:uiPriority w:val="0"/>
    <w:rPr>
      <w:color w:val="000000"/>
      <w:shd w:val="clear" w:fill="CACACA"/>
    </w:rPr>
  </w:style>
  <w:style w:type="character" w:customStyle="1" w:styleId="11">
    <w:name w:val="closeeye"/>
    <w:basedOn w:val="6"/>
    <w:uiPriority w:val="0"/>
  </w:style>
  <w:style w:type="character" w:customStyle="1" w:styleId="12">
    <w:name w:val="openeye"/>
    <w:basedOn w:val="6"/>
    <w:uiPriority w:val="0"/>
  </w:style>
  <w:style w:type="character" w:customStyle="1" w:styleId="13">
    <w:name w:val="hidepass"/>
    <w:basedOn w:val="6"/>
    <w:uiPriority w:val="0"/>
  </w:style>
  <w:style w:type="character" w:customStyle="1" w:styleId="14">
    <w:name w:val="eyespan"/>
    <w:basedOn w:val="6"/>
    <w:uiPriority w:val="0"/>
  </w:style>
  <w:style w:type="character" w:customStyle="1" w:styleId="15">
    <w:name w:val="seepass"/>
    <w:basedOn w:val="6"/>
    <w:uiPriority w:val="0"/>
  </w:style>
  <w:style w:type="character" w:customStyle="1" w:styleId="16">
    <w:name w:val="hover18"/>
    <w:basedOn w:val="6"/>
    <w:uiPriority w:val="0"/>
    <w:rPr>
      <w:color w:val="FFFFFF"/>
      <w:shd w:val="clear" w:fill="237EC7"/>
    </w:rPr>
  </w:style>
  <w:style w:type="character" w:customStyle="1" w:styleId="17">
    <w:name w:val="hover19"/>
    <w:basedOn w:val="6"/>
    <w:uiPriority w:val="0"/>
    <w:rPr>
      <w:color w:val="FFFFFF"/>
      <w:bdr w:val="single" w:color="C9100E" w:sz="4" w:space="0"/>
      <w:shd w:val="clear" w:fill="C9100E"/>
    </w:rPr>
  </w:style>
  <w:style w:type="character" w:customStyle="1" w:styleId="18">
    <w:name w:val="on2"/>
    <w:basedOn w:val="6"/>
    <w:uiPriority w:val="0"/>
    <w:rPr>
      <w:color w:val="FFFFFF"/>
      <w:bdr w:val="single" w:color="C9100E" w:sz="4" w:space="0"/>
      <w:shd w:val="clear" w:fill="C9100E"/>
    </w:rPr>
  </w:style>
  <w:style w:type="character" w:customStyle="1" w:styleId="19">
    <w:name w:val="vjs-poster1"/>
    <w:basedOn w:val="6"/>
    <w:uiPriority w:val="0"/>
    <w:rPr>
      <w:bdr w:val="none" w:color="auto" w:sz="0" w:space="0"/>
    </w:rPr>
  </w:style>
  <w:style w:type="character" w:customStyle="1" w:styleId="20">
    <w:name w:val="vjs-control-text1"/>
    <w:basedOn w:val="6"/>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2020-04-24T03:32:00Z</dcterms:created>
  <dc:creator>laosuyao</dc:creator>
  <cp:lastModifiedBy>laosuyao</cp:lastModifiedBy>
  <dcterms:modified xsi:type="dcterms:W3CDTF">2020-04-24T03:34:26Z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