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spacing w:line="360" w:lineRule="auto"/>
        <w:jc w:val="both"/>
        <w:rPr>
          <w:rFonts w:hint="eastAsia" w:ascii="仿宋_GB2312" w:hAnsi="仿宋_GB2312" w:eastAsia="仿宋_GB2312" w:cs="仿宋_GB2312"/>
          <w:b/>
          <w:bCs w:val="0"/>
          <w:sz w:val="36"/>
          <w:szCs w:val="36"/>
        </w:rPr>
      </w:pPr>
      <w:r>
        <w:rPr>
          <w:rFonts w:hint="eastAsia" w:ascii="仿宋_GB2312" w:hAnsi="仿宋_GB2312" w:eastAsia="仿宋_GB2312" w:cs="仿宋_GB2312"/>
          <w:b/>
          <w:bCs w:val="0"/>
          <w:sz w:val="36"/>
          <w:szCs w:val="36"/>
        </w:rPr>
        <w:t>201</w:t>
      </w:r>
      <w:r>
        <w:rPr>
          <w:rFonts w:hint="eastAsia" w:ascii="仿宋_GB2312" w:hAnsi="仿宋_GB2312" w:eastAsia="仿宋_GB2312" w:cs="仿宋_GB2312"/>
          <w:b/>
          <w:bCs w:val="0"/>
          <w:sz w:val="36"/>
          <w:szCs w:val="36"/>
          <w:lang w:val="en-US" w:eastAsia="zh-CN"/>
        </w:rPr>
        <w:t>9</w:t>
      </w:r>
      <w:r>
        <w:rPr>
          <w:rFonts w:hint="eastAsia" w:ascii="仿宋_GB2312" w:hAnsi="仿宋_GB2312" w:eastAsia="仿宋_GB2312" w:cs="仿宋_GB2312"/>
          <w:b/>
          <w:bCs w:val="0"/>
          <w:sz w:val="36"/>
          <w:szCs w:val="36"/>
        </w:rPr>
        <w:t>年</w:t>
      </w:r>
      <w:r>
        <w:rPr>
          <w:rFonts w:hint="eastAsia" w:ascii="仿宋_GB2312" w:hAnsi="仿宋_GB2312" w:eastAsia="仿宋_GB2312" w:cs="仿宋_GB2312"/>
          <w:b/>
          <w:bCs w:val="0"/>
          <w:sz w:val="36"/>
          <w:szCs w:val="36"/>
          <w:lang w:eastAsia="zh-CN"/>
        </w:rPr>
        <w:t>城管大队</w:t>
      </w:r>
      <w:bookmarkStart w:id="0" w:name="_GoBack"/>
      <w:bookmarkEnd w:id="0"/>
      <w:r>
        <w:rPr>
          <w:rFonts w:hint="eastAsia" w:ascii="仿宋_GB2312" w:hAnsi="仿宋_GB2312" w:eastAsia="仿宋_GB2312" w:cs="仿宋_GB2312"/>
          <w:b/>
          <w:bCs w:val="0"/>
          <w:sz w:val="36"/>
          <w:szCs w:val="36"/>
        </w:rPr>
        <w:t>部门整体支出绩效自评指标计分表</w:t>
      </w:r>
    </w:p>
    <w:tbl>
      <w:tblPr>
        <w:tblStyle w:val="6"/>
        <w:tblW w:w="10031" w:type="dxa"/>
        <w:jc w:val="center"/>
        <w:tblInd w:w="0" w:type="dxa"/>
        <w:tblLayout w:type="fixed"/>
        <w:tblCellMar>
          <w:top w:w="0" w:type="dxa"/>
          <w:left w:w="108" w:type="dxa"/>
          <w:bottom w:w="0" w:type="dxa"/>
          <w:right w:w="108" w:type="dxa"/>
        </w:tblCellMar>
      </w:tblPr>
      <w:tblGrid>
        <w:gridCol w:w="676"/>
        <w:gridCol w:w="423"/>
        <w:gridCol w:w="686"/>
        <w:gridCol w:w="422"/>
        <w:gridCol w:w="1141"/>
        <w:gridCol w:w="500"/>
        <w:gridCol w:w="2700"/>
        <w:gridCol w:w="1"/>
        <w:gridCol w:w="2934"/>
        <w:gridCol w:w="548"/>
      </w:tblGrid>
      <w:tr>
        <w:tblPrEx>
          <w:tblLayout w:type="fixed"/>
          <w:tblCellMar>
            <w:top w:w="0" w:type="dxa"/>
            <w:left w:w="108" w:type="dxa"/>
            <w:bottom w:w="0" w:type="dxa"/>
            <w:right w:w="108" w:type="dxa"/>
          </w:tblCellMar>
        </w:tblPrEx>
        <w:trPr>
          <w:trHeight w:val="1554" w:hRule="atLeast"/>
          <w:tblHeader/>
          <w:jc w:val="center"/>
        </w:trPr>
        <w:tc>
          <w:tcPr>
            <w:tcW w:w="676" w:type="dxa"/>
            <w:tcBorders>
              <w:top w:val="single" w:color="auto" w:sz="4" w:space="0"/>
              <w:left w:val="single" w:color="auto" w:sz="4" w:space="0"/>
              <w:bottom w:val="single" w:color="auto" w:sz="4" w:space="0"/>
              <w:right w:val="single" w:color="auto" w:sz="4" w:space="0"/>
            </w:tcBorders>
            <w:vAlign w:val="center"/>
          </w:tcPr>
          <w:p>
            <w:pPr>
              <w:widowControl/>
              <w:shd w:val="clear"/>
              <w:jc w:val="left"/>
              <w:rPr>
                <w:rFonts w:hint="eastAsia" w:ascii="宋体" w:hAnsi="宋体" w:eastAsia="宋体" w:cs="宋体"/>
                <w:kern w:val="0"/>
                <w:sz w:val="24"/>
                <w:szCs w:val="24"/>
              </w:rPr>
            </w:pPr>
            <w:r>
              <w:rPr>
                <w:rFonts w:hint="eastAsia" w:ascii="宋体" w:hAnsi="宋体" w:eastAsia="宋体" w:cs="宋体"/>
                <w:kern w:val="0"/>
                <w:sz w:val="24"/>
                <w:szCs w:val="24"/>
              </w:rPr>
              <w:t>一级指标</w:t>
            </w:r>
          </w:p>
        </w:tc>
        <w:tc>
          <w:tcPr>
            <w:tcW w:w="423" w:type="dxa"/>
            <w:tcBorders>
              <w:top w:val="single" w:color="auto" w:sz="4" w:space="0"/>
              <w:left w:val="nil"/>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分值</w:t>
            </w:r>
          </w:p>
        </w:tc>
        <w:tc>
          <w:tcPr>
            <w:tcW w:w="686" w:type="dxa"/>
            <w:tcBorders>
              <w:top w:val="single" w:color="auto" w:sz="4" w:space="0"/>
              <w:left w:val="nil"/>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二级指标</w:t>
            </w:r>
          </w:p>
        </w:tc>
        <w:tc>
          <w:tcPr>
            <w:tcW w:w="422" w:type="dxa"/>
            <w:tcBorders>
              <w:top w:val="single" w:color="auto" w:sz="4" w:space="0"/>
              <w:left w:val="nil"/>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分值</w:t>
            </w:r>
          </w:p>
        </w:tc>
        <w:tc>
          <w:tcPr>
            <w:tcW w:w="1141" w:type="dxa"/>
            <w:tcBorders>
              <w:top w:val="single" w:color="auto" w:sz="4" w:space="0"/>
              <w:left w:val="nil"/>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三级</w:t>
            </w:r>
          </w:p>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指标</w:t>
            </w:r>
          </w:p>
        </w:tc>
        <w:tc>
          <w:tcPr>
            <w:tcW w:w="500" w:type="dxa"/>
            <w:tcBorders>
              <w:top w:val="single" w:color="auto" w:sz="4" w:space="0"/>
              <w:left w:val="nil"/>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分值</w:t>
            </w:r>
          </w:p>
        </w:tc>
        <w:tc>
          <w:tcPr>
            <w:tcW w:w="2701" w:type="dxa"/>
            <w:gridSpan w:val="2"/>
            <w:tcBorders>
              <w:top w:val="single" w:color="auto" w:sz="4" w:space="0"/>
              <w:left w:val="nil"/>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评价标准</w:t>
            </w:r>
          </w:p>
        </w:tc>
        <w:tc>
          <w:tcPr>
            <w:tcW w:w="2934" w:type="dxa"/>
            <w:tcBorders>
              <w:top w:val="single" w:color="auto" w:sz="4" w:space="0"/>
              <w:left w:val="nil"/>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指标说明</w:t>
            </w:r>
          </w:p>
        </w:tc>
        <w:tc>
          <w:tcPr>
            <w:tcW w:w="548" w:type="dxa"/>
            <w:tcBorders>
              <w:top w:val="single" w:color="auto" w:sz="4" w:space="0"/>
              <w:left w:val="nil"/>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得分</w:t>
            </w:r>
          </w:p>
        </w:tc>
      </w:tr>
      <w:tr>
        <w:tblPrEx>
          <w:tblLayout w:type="fixed"/>
          <w:tblCellMar>
            <w:top w:w="0" w:type="dxa"/>
            <w:left w:w="108" w:type="dxa"/>
            <w:bottom w:w="0" w:type="dxa"/>
            <w:right w:w="108" w:type="dxa"/>
          </w:tblCellMar>
        </w:tblPrEx>
        <w:trPr>
          <w:trHeight w:val="2876" w:hRule="atLeast"/>
          <w:jc w:val="center"/>
        </w:trPr>
        <w:tc>
          <w:tcPr>
            <w:tcW w:w="676" w:type="dxa"/>
            <w:vMerge w:val="restart"/>
            <w:tcBorders>
              <w:top w:val="nil"/>
              <w:left w:val="single" w:color="auto" w:sz="4" w:space="0"/>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投入</w:t>
            </w:r>
          </w:p>
        </w:tc>
        <w:tc>
          <w:tcPr>
            <w:tcW w:w="423" w:type="dxa"/>
            <w:vMerge w:val="restart"/>
            <w:tcBorders>
              <w:top w:val="nil"/>
              <w:left w:val="single" w:color="auto" w:sz="4" w:space="0"/>
              <w:bottom w:val="single" w:color="000000"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15</w:t>
            </w:r>
          </w:p>
        </w:tc>
        <w:tc>
          <w:tcPr>
            <w:tcW w:w="686" w:type="dxa"/>
            <w:vMerge w:val="restart"/>
            <w:tcBorders>
              <w:top w:val="nil"/>
              <w:left w:val="nil"/>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预算配置</w:t>
            </w:r>
          </w:p>
        </w:tc>
        <w:tc>
          <w:tcPr>
            <w:tcW w:w="422" w:type="dxa"/>
            <w:vMerge w:val="restart"/>
            <w:tcBorders>
              <w:top w:val="nil"/>
              <w:left w:val="single" w:color="auto" w:sz="4" w:space="0"/>
              <w:bottom w:val="single" w:color="000000"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15</w:t>
            </w:r>
          </w:p>
        </w:tc>
        <w:tc>
          <w:tcPr>
            <w:tcW w:w="1141" w:type="dxa"/>
            <w:tcBorders>
              <w:top w:val="nil"/>
              <w:left w:val="nil"/>
              <w:bottom w:val="single" w:color="auto" w:sz="4" w:space="0"/>
              <w:right w:val="single" w:color="auto" w:sz="4" w:space="0"/>
            </w:tcBorders>
            <w:vAlign w:val="center"/>
          </w:tcPr>
          <w:p>
            <w:pPr>
              <w:widowControl/>
              <w:shd w:val="clear"/>
              <w:jc w:val="left"/>
              <w:rPr>
                <w:rFonts w:hint="eastAsia" w:ascii="宋体" w:hAnsi="宋体" w:eastAsia="宋体" w:cs="宋体"/>
                <w:kern w:val="0"/>
                <w:sz w:val="24"/>
                <w:szCs w:val="24"/>
              </w:rPr>
            </w:pPr>
            <w:r>
              <w:rPr>
                <w:rFonts w:hint="eastAsia" w:ascii="宋体" w:hAnsi="宋体" w:eastAsia="宋体" w:cs="宋体"/>
                <w:kern w:val="0"/>
                <w:sz w:val="24"/>
                <w:szCs w:val="24"/>
              </w:rPr>
              <w:t>在职人员控制率</w:t>
            </w:r>
          </w:p>
        </w:tc>
        <w:tc>
          <w:tcPr>
            <w:tcW w:w="500" w:type="dxa"/>
            <w:tcBorders>
              <w:top w:val="nil"/>
              <w:left w:val="nil"/>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7</w:t>
            </w:r>
          </w:p>
        </w:tc>
        <w:tc>
          <w:tcPr>
            <w:tcW w:w="2701" w:type="dxa"/>
            <w:gridSpan w:val="2"/>
            <w:vAlign w:val="center"/>
          </w:tcPr>
          <w:p>
            <w:pPr>
              <w:widowControl/>
              <w:shd w:val="clear"/>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以100%为标准。在职人员控制率≦100%，计7分；每超过一个百分点扣0.2分，扣完为止。</w:t>
            </w:r>
          </w:p>
        </w:tc>
        <w:tc>
          <w:tcPr>
            <w:tcW w:w="2934" w:type="dxa"/>
            <w:tcBorders>
              <w:top w:val="nil"/>
              <w:left w:val="single" w:color="auto" w:sz="4" w:space="0"/>
              <w:bottom w:val="single" w:color="auto" w:sz="4" w:space="0"/>
              <w:right w:val="single" w:color="auto" w:sz="4" w:space="0"/>
            </w:tcBorders>
            <w:vAlign w:val="center"/>
          </w:tcPr>
          <w:p>
            <w:pPr>
              <w:widowControl/>
              <w:shd w:val="clear"/>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在职人员控制率=（在职人员数/编制数）×100%，在职人员数：部门（单位）实际在职人数，以财政分局确定的部门决算编制口径为准。</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编制数：机构编制部门核定批复的部门（单位）的人员编制数。</w:t>
            </w:r>
          </w:p>
        </w:tc>
        <w:tc>
          <w:tcPr>
            <w:tcW w:w="548" w:type="dxa"/>
            <w:tcBorders>
              <w:top w:val="nil"/>
              <w:left w:val="nil"/>
              <w:bottom w:val="single" w:color="auto" w:sz="4" w:space="0"/>
              <w:right w:val="single" w:color="auto" w:sz="4" w:space="0"/>
            </w:tcBorders>
            <w:vAlign w:val="center"/>
          </w:tcPr>
          <w:p>
            <w:pPr>
              <w:widowControl/>
              <w:shd w:val="clear"/>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cs="宋体"/>
                <w:kern w:val="0"/>
                <w:sz w:val="24"/>
                <w:szCs w:val="24"/>
                <w:lang w:val="en-US" w:eastAsia="zh-CN"/>
              </w:rPr>
              <w:t>7</w:t>
            </w:r>
          </w:p>
        </w:tc>
      </w:tr>
      <w:tr>
        <w:tblPrEx>
          <w:tblLayout w:type="fixed"/>
          <w:tblCellMar>
            <w:top w:w="0" w:type="dxa"/>
            <w:left w:w="108" w:type="dxa"/>
            <w:bottom w:w="0" w:type="dxa"/>
            <w:right w:w="108" w:type="dxa"/>
          </w:tblCellMar>
        </w:tblPrEx>
        <w:trPr>
          <w:trHeight w:val="1617" w:hRule="atLeast"/>
          <w:jc w:val="center"/>
        </w:trPr>
        <w:tc>
          <w:tcPr>
            <w:tcW w:w="676" w:type="dxa"/>
            <w:vMerge w:val="continue"/>
            <w:tcBorders>
              <w:top w:val="nil"/>
              <w:left w:val="single" w:color="auto" w:sz="4" w:space="0"/>
              <w:bottom w:val="single" w:color="auto" w:sz="4" w:space="0"/>
              <w:right w:val="single" w:color="auto" w:sz="4" w:space="0"/>
            </w:tcBorders>
            <w:vAlign w:val="center"/>
          </w:tcPr>
          <w:p>
            <w:pPr>
              <w:shd w:val="clear"/>
              <w:rPr>
                <w:rFonts w:hint="eastAsia" w:ascii="宋体" w:hAnsi="宋体" w:eastAsia="宋体" w:cs="宋体"/>
                <w:sz w:val="24"/>
                <w:szCs w:val="24"/>
              </w:rPr>
            </w:pPr>
          </w:p>
        </w:tc>
        <w:tc>
          <w:tcPr>
            <w:tcW w:w="423"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686" w:type="dxa"/>
            <w:vMerge w:val="continue"/>
            <w:tcBorders>
              <w:top w:val="nil"/>
              <w:left w:val="nil"/>
              <w:bottom w:val="single" w:color="auto" w:sz="4" w:space="0"/>
              <w:right w:val="single" w:color="auto" w:sz="4" w:space="0"/>
            </w:tcBorders>
            <w:vAlign w:val="center"/>
          </w:tcPr>
          <w:p>
            <w:pPr>
              <w:shd w:val="clear"/>
              <w:rPr>
                <w:rFonts w:hint="eastAsia" w:ascii="宋体" w:hAnsi="宋体" w:eastAsia="宋体" w:cs="宋体"/>
                <w:sz w:val="24"/>
                <w:szCs w:val="24"/>
              </w:rPr>
            </w:pPr>
          </w:p>
        </w:tc>
        <w:tc>
          <w:tcPr>
            <w:tcW w:w="422"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1141" w:type="dxa"/>
            <w:tcBorders>
              <w:top w:val="nil"/>
              <w:left w:val="nil"/>
              <w:bottom w:val="single" w:color="auto" w:sz="4" w:space="0"/>
              <w:right w:val="single" w:color="auto" w:sz="4" w:space="0"/>
            </w:tcBorders>
            <w:vAlign w:val="center"/>
          </w:tcPr>
          <w:p>
            <w:pPr>
              <w:widowControl/>
              <w:shd w:val="clear"/>
              <w:jc w:val="left"/>
              <w:rPr>
                <w:rFonts w:hint="eastAsia" w:ascii="宋体" w:hAnsi="宋体" w:eastAsia="宋体" w:cs="宋体"/>
                <w:kern w:val="0"/>
                <w:sz w:val="24"/>
                <w:szCs w:val="24"/>
              </w:rPr>
            </w:pPr>
            <w:r>
              <w:rPr>
                <w:rFonts w:hint="eastAsia" w:ascii="宋体" w:hAnsi="宋体" w:eastAsia="宋体" w:cs="宋体"/>
                <w:kern w:val="0"/>
                <w:sz w:val="24"/>
                <w:szCs w:val="24"/>
              </w:rPr>
              <w:t>“三公经费”变动率</w:t>
            </w:r>
          </w:p>
        </w:tc>
        <w:tc>
          <w:tcPr>
            <w:tcW w:w="500" w:type="dxa"/>
            <w:tcBorders>
              <w:top w:val="nil"/>
              <w:left w:val="nil"/>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8</w:t>
            </w:r>
          </w:p>
        </w:tc>
        <w:tc>
          <w:tcPr>
            <w:tcW w:w="2701" w:type="dxa"/>
            <w:gridSpan w:val="2"/>
            <w:tcBorders>
              <w:top w:val="single" w:color="auto" w:sz="4" w:space="0"/>
              <w:left w:val="nil"/>
              <w:bottom w:val="single" w:color="auto" w:sz="4" w:space="0"/>
              <w:right w:val="single" w:color="auto" w:sz="4" w:space="0"/>
            </w:tcBorders>
            <w:vAlign w:val="center"/>
          </w:tcPr>
          <w:p>
            <w:pPr>
              <w:widowControl/>
              <w:shd w:val="clear"/>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“三公经费”变动率≦0,计8分；“三公经费”＞0，每超过一个百分点扣0.8分，扣完为止。</w:t>
            </w:r>
          </w:p>
        </w:tc>
        <w:tc>
          <w:tcPr>
            <w:tcW w:w="2934" w:type="dxa"/>
            <w:tcBorders>
              <w:top w:val="nil"/>
              <w:left w:val="nil"/>
              <w:bottom w:val="single" w:color="auto" w:sz="4" w:space="0"/>
              <w:right w:val="single" w:color="auto" w:sz="4" w:space="0"/>
            </w:tcBorders>
            <w:vAlign w:val="center"/>
          </w:tcPr>
          <w:p>
            <w:pPr>
              <w:widowControl/>
              <w:shd w:val="clear"/>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“三公经费”变动率=[（本年度“三公经费”预算数-上年度“三公经费”预算数）/上年度“三公经费”预算数]×100%</w:t>
            </w:r>
          </w:p>
        </w:tc>
        <w:tc>
          <w:tcPr>
            <w:tcW w:w="548" w:type="dxa"/>
            <w:tcBorders>
              <w:top w:val="nil"/>
              <w:left w:val="nil"/>
              <w:bottom w:val="single" w:color="auto" w:sz="4" w:space="0"/>
              <w:right w:val="single" w:color="auto" w:sz="4" w:space="0"/>
            </w:tcBorders>
            <w:vAlign w:val="center"/>
          </w:tcPr>
          <w:p>
            <w:pPr>
              <w:widowControl/>
              <w:shd w:val="clear"/>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cs="宋体"/>
                <w:kern w:val="0"/>
                <w:sz w:val="24"/>
                <w:szCs w:val="24"/>
                <w:lang w:val="en-US" w:eastAsia="zh-CN"/>
              </w:rPr>
              <w:t>8</w:t>
            </w:r>
          </w:p>
        </w:tc>
      </w:tr>
      <w:tr>
        <w:tblPrEx>
          <w:tblLayout w:type="fixed"/>
          <w:tblCellMar>
            <w:top w:w="0" w:type="dxa"/>
            <w:left w:w="108" w:type="dxa"/>
            <w:bottom w:w="0" w:type="dxa"/>
            <w:right w:w="108" w:type="dxa"/>
          </w:tblCellMar>
        </w:tblPrEx>
        <w:trPr>
          <w:trHeight w:val="1617" w:hRule="atLeast"/>
          <w:jc w:val="center"/>
        </w:trPr>
        <w:tc>
          <w:tcPr>
            <w:tcW w:w="676" w:type="dxa"/>
            <w:vMerge w:val="restart"/>
            <w:tcBorders>
              <w:top w:val="nil"/>
              <w:left w:val="single" w:color="auto" w:sz="4" w:space="0"/>
              <w:bottom w:val="single" w:color="000000"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过                                                                                                                                       程</w:t>
            </w:r>
          </w:p>
        </w:tc>
        <w:tc>
          <w:tcPr>
            <w:tcW w:w="423" w:type="dxa"/>
            <w:vMerge w:val="restart"/>
            <w:tcBorders>
              <w:top w:val="nil"/>
              <w:left w:val="single" w:color="auto" w:sz="4" w:space="0"/>
              <w:bottom w:val="single" w:color="000000"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50</w:t>
            </w:r>
          </w:p>
        </w:tc>
        <w:tc>
          <w:tcPr>
            <w:tcW w:w="686" w:type="dxa"/>
            <w:vMerge w:val="restart"/>
            <w:tcBorders>
              <w:top w:val="nil"/>
              <w:left w:val="single" w:color="auto" w:sz="4" w:space="0"/>
              <w:bottom w:val="single" w:color="000000"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预算执行</w:t>
            </w:r>
          </w:p>
        </w:tc>
        <w:tc>
          <w:tcPr>
            <w:tcW w:w="422" w:type="dxa"/>
            <w:vMerge w:val="restart"/>
            <w:tcBorders>
              <w:top w:val="nil"/>
              <w:left w:val="single" w:color="auto" w:sz="4" w:space="0"/>
              <w:bottom w:val="single" w:color="000000"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20</w:t>
            </w:r>
          </w:p>
        </w:tc>
        <w:tc>
          <w:tcPr>
            <w:tcW w:w="1141" w:type="dxa"/>
            <w:tcBorders>
              <w:top w:val="nil"/>
              <w:left w:val="nil"/>
              <w:bottom w:val="single" w:color="auto" w:sz="4" w:space="0"/>
              <w:right w:val="single" w:color="auto" w:sz="4" w:space="0"/>
            </w:tcBorders>
            <w:vAlign w:val="center"/>
          </w:tcPr>
          <w:p>
            <w:pPr>
              <w:widowControl/>
              <w:shd w:val="clear"/>
              <w:jc w:val="left"/>
              <w:rPr>
                <w:rFonts w:hint="eastAsia" w:ascii="宋体" w:hAnsi="宋体" w:eastAsia="宋体" w:cs="宋体"/>
                <w:kern w:val="0"/>
                <w:sz w:val="24"/>
                <w:szCs w:val="24"/>
              </w:rPr>
            </w:pPr>
            <w:r>
              <w:rPr>
                <w:rFonts w:hint="eastAsia" w:ascii="宋体" w:hAnsi="宋体" w:eastAsia="宋体" w:cs="宋体"/>
                <w:kern w:val="0"/>
                <w:sz w:val="24"/>
                <w:szCs w:val="24"/>
              </w:rPr>
              <w:t>预算完成率</w:t>
            </w:r>
          </w:p>
        </w:tc>
        <w:tc>
          <w:tcPr>
            <w:tcW w:w="500" w:type="dxa"/>
            <w:tcBorders>
              <w:top w:val="nil"/>
              <w:left w:val="nil"/>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2701" w:type="dxa"/>
            <w:gridSpan w:val="2"/>
            <w:tcBorders>
              <w:top w:val="nil"/>
              <w:left w:val="nil"/>
              <w:bottom w:val="single" w:color="auto" w:sz="4" w:space="0"/>
              <w:right w:val="single" w:color="auto" w:sz="4" w:space="0"/>
            </w:tcBorders>
            <w:vAlign w:val="center"/>
          </w:tcPr>
          <w:p>
            <w:pPr>
              <w:widowControl/>
              <w:shd w:val="clear"/>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100%计满分，每低于5%扣2分，扣完为止。</w:t>
            </w:r>
          </w:p>
        </w:tc>
        <w:tc>
          <w:tcPr>
            <w:tcW w:w="2934" w:type="dxa"/>
            <w:tcBorders>
              <w:top w:val="nil"/>
              <w:left w:val="nil"/>
              <w:bottom w:val="single" w:color="auto" w:sz="4" w:space="0"/>
              <w:right w:val="single" w:color="auto" w:sz="4" w:space="0"/>
            </w:tcBorders>
            <w:vAlign w:val="center"/>
          </w:tcPr>
          <w:p>
            <w:pPr>
              <w:widowControl/>
              <w:shd w:val="clear"/>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预算完成率=（上年结转+年初预算+本年追加预算-年末结余/上年结转+年初预算+本年追加预算）×100%。</w:t>
            </w:r>
          </w:p>
        </w:tc>
        <w:tc>
          <w:tcPr>
            <w:tcW w:w="548" w:type="dxa"/>
            <w:tcBorders>
              <w:top w:val="nil"/>
              <w:left w:val="nil"/>
              <w:bottom w:val="single" w:color="auto" w:sz="4" w:space="0"/>
              <w:right w:val="single" w:color="auto" w:sz="4" w:space="0"/>
            </w:tcBorders>
            <w:vAlign w:val="center"/>
          </w:tcPr>
          <w:p>
            <w:pPr>
              <w:widowControl/>
              <w:shd w:val="clear"/>
              <w:jc w:val="left"/>
              <w:rPr>
                <w:rFonts w:hint="eastAsia" w:ascii="宋体" w:hAnsi="宋体" w:eastAsia="宋体" w:cs="宋体"/>
                <w:kern w:val="0"/>
                <w:sz w:val="24"/>
                <w:szCs w:val="24"/>
              </w:rPr>
            </w:pPr>
            <w:r>
              <w:rPr>
                <w:rFonts w:hint="eastAsia" w:ascii="宋体" w:hAnsi="宋体" w:cs="宋体"/>
                <w:kern w:val="0"/>
                <w:sz w:val="24"/>
                <w:szCs w:val="24"/>
                <w:lang w:val="en-US" w:eastAsia="zh-CN"/>
              </w:rPr>
              <w:t>4</w:t>
            </w: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trHeight w:val="1617" w:hRule="atLeast"/>
          <w:jc w:val="center"/>
        </w:trPr>
        <w:tc>
          <w:tcPr>
            <w:tcW w:w="676"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423"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686"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422"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1141" w:type="dxa"/>
            <w:tcBorders>
              <w:top w:val="nil"/>
              <w:left w:val="nil"/>
              <w:bottom w:val="single" w:color="auto" w:sz="4" w:space="0"/>
              <w:right w:val="single" w:color="auto" w:sz="4" w:space="0"/>
            </w:tcBorders>
            <w:vAlign w:val="center"/>
          </w:tcPr>
          <w:p>
            <w:pPr>
              <w:widowControl/>
              <w:shd w:val="clear"/>
              <w:jc w:val="left"/>
              <w:rPr>
                <w:rFonts w:hint="eastAsia" w:ascii="宋体" w:hAnsi="宋体" w:eastAsia="宋体" w:cs="宋体"/>
                <w:kern w:val="0"/>
                <w:sz w:val="24"/>
                <w:szCs w:val="24"/>
              </w:rPr>
            </w:pPr>
            <w:r>
              <w:rPr>
                <w:rFonts w:hint="eastAsia" w:ascii="宋体" w:hAnsi="宋体" w:eastAsia="宋体" w:cs="宋体"/>
                <w:kern w:val="0"/>
                <w:sz w:val="24"/>
                <w:szCs w:val="24"/>
              </w:rPr>
              <w:t>预算控制率</w:t>
            </w:r>
          </w:p>
        </w:tc>
        <w:tc>
          <w:tcPr>
            <w:tcW w:w="500" w:type="dxa"/>
            <w:tcBorders>
              <w:top w:val="nil"/>
              <w:left w:val="nil"/>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2701" w:type="dxa"/>
            <w:gridSpan w:val="2"/>
            <w:tcBorders>
              <w:top w:val="nil"/>
              <w:left w:val="nil"/>
              <w:bottom w:val="single" w:color="auto" w:sz="4" w:space="0"/>
              <w:right w:val="single" w:color="auto" w:sz="4" w:space="0"/>
            </w:tcBorders>
            <w:vAlign w:val="center"/>
          </w:tcPr>
          <w:p>
            <w:pPr>
              <w:widowControl/>
              <w:shd w:val="clear"/>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预算控制率=0，计5分；0-10%（含），计4分；10-20%（含），计3分；20-30%（含），计2分；大于30%不得分</w:t>
            </w:r>
          </w:p>
        </w:tc>
        <w:tc>
          <w:tcPr>
            <w:tcW w:w="2934" w:type="dxa"/>
            <w:tcBorders>
              <w:top w:val="nil"/>
              <w:left w:val="nil"/>
              <w:bottom w:val="single" w:color="auto" w:sz="4" w:space="0"/>
              <w:right w:val="single" w:color="auto" w:sz="4" w:space="0"/>
            </w:tcBorders>
            <w:vAlign w:val="center"/>
          </w:tcPr>
          <w:p>
            <w:pPr>
              <w:widowControl/>
              <w:shd w:val="clear"/>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预算控制率=（本年追加预算/年初预算）×100%。</w:t>
            </w:r>
          </w:p>
        </w:tc>
        <w:tc>
          <w:tcPr>
            <w:tcW w:w="548" w:type="dxa"/>
            <w:tcBorders>
              <w:top w:val="nil"/>
              <w:left w:val="nil"/>
              <w:bottom w:val="single" w:color="auto" w:sz="4" w:space="0"/>
              <w:right w:val="single" w:color="auto" w:sz="4" w:space="0"/>
            </w:tcBorders>
            <w:vAlign w:val="center"/>
          </w:tcPr>
          <w:p>
            <w:pPr>
              <w:widowControl/>
              <w:shd w:val="clear"/>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cs="宋体"/>
                <w:kern w:val="0"/>
                <w:sz w:val="24"/>
                <w:szCs w:val="24"/>
                <w:lang w:val="en-US" w:eastAsia="zh-CN"/>
              </w:rPr>
              <w:t>5</w:t>
            </w:r>
          </w:p>
        </w:tc>
      </w:tr>
      <w:tr>
        <w:tblPrEx>
          <w:tblLayout w:type="fixed"/>
          <w:tblCellMar>
            <w:top w:w="0" w:type="dxa"/>
            <w:left w:w="108" w:type="dxa"/>
            <w:bottom w:w="0" w:type="dxa"/>
            <w:right w:w="108" w:type="dxa"/>
          </w:tblCellMar>
        </w:tblPrEx>
        <w:trPr>
          <w:trHeight w:val="1932" w:hRule="atLeast"/>
          <w:jc w:val="center"/>
        </w:trPr>
        <w:tc>
          <w:tcPr>
            <w:tcW w:w="676"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423"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686"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422"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1141" w:type="dxa"/>
            <w:tcBorders>
              <w:top w:val="nil"/>
              <w:left w:val="nil"/>
              <w:bottom w:val="single" w:color="auto" w:sz="4" w:space="0"/>
              <w:right w:val="single" w:color="auto" w:sz="4" w:space="0"/>
            </w:tcBorders>
            <w:vAlign w:val="center"/>
          </w:tcPr>
          <w:p>
            <w:pPr>
              <w:widowControl/>
              <w:shd w:val="clear"/>
              <w:jc w:val="left"/>
              <w:rPr>
                <w:rFonts w:hint="eastAsia" w:ascii="宋体" w:hAnsi="宋体" w:eastAsia="宋体" w:cs="宋体"/>
                <w:kern w:val="0"/>
                <w:sz w:val="24"/>
                <w:szCs w:val="24"/>
              </w:rPr>
            </w:pPr>
            <w:r>
              <w:rPr>
                <w:rFonts w:hint="eastAsia" w:ascii="宋体" w:hAnsi="宋体" w:eastAsia="宋体" w:cs="宋体"/>
                <w:kern w:val="0"/>
                <w:sz w:val="24"/>
                <w:szCs w:val="24"/>
              </w:rPr>
              <w:t>新建楼堂馆所面积控制率</w:t>
            </w:r>
          </w:p>
        </w:tc>
        <w:tc>
          <w:tcPr>
            <w:tcW w:w="500" w:type="dxa"/>
            <w:tcBorders>
              <w:top w:val="nil"/>
              <w:left w:val="nil"/>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2701" w:type="dxa"/>
            <w:gridSpan w:val="2"/>
            <w:tcBorders>
              <w:top w:val="nil"/>
              <w:left w:val="nil"/>
              <w:bottom w:val="single" w:color="auto" w:sz="4" w:space="0"/>
              <w:right w:val="single" w:color="auto" w:sz="4" w:space="0"/>
            </w:tcBorders>
            <w:vAlign w:val="center"/>
          </w:tcPr>
          <w:p>
            <w:pPr>
              <w:widowControl/>
              <w:shd w:val="clear"/>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100%以下（含）计满分，每超出5%扣2分，扣完为止。没有楼梯馆所项目的部门按满分计算</w:t>
            </w:r>
          </w:p>
        </w:tc>
        <w:tc>
          <w:tcPr>
            <w:tcW w:w="2934" w:type="dxa"/>
            <w:tcBorders>
              <w:top w:val="nil"/>
              <w:left w:val="nil"/>
              <w:bottom w:val="single" w:color="auto" w:sz="4" w:space="0"/>
              <w:right w:val="single" w:color="auto" w:sz="4" w:space="0"/>
            </w:tcBorders>
            <w:vAlign w:val="center"/>
          </w:tcPr>
          <w:p>
            <w:pPr>
              <w:widowControl/>
              <w:shd w:val="clear"/>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楼堂馆所面积控制率=实际建设面积/批准建设面积×100% 。</w:t>
            </w:r>
            <w:r>
              <w:rPr>
                <w:rFonts w:hint="eastAsia" w:ascii="宋体" w:hAnsi="宋体" w:eastAsia="宋体" w:cs="宋体"/>
                <w:kern w:val="0"/>
                <w:sz w:val="24"/>
                <w:szCs w:val="24"/>
              </w:rPr>
              <w:br w:type="textWrapping"/>
            </w:r>
            <w:r>
              <w:rPr>
                <w:rFonts w:hint="eastAsia" w:ascii="宋体" w:hAnsi="宋体" w:eastAsia="宋体" w:cs="宋体"/>
                <w:kern w:val="0"/>
                <w:sz w:val="24"/>
                <w:szCs w:val="24"/>
              </w:rPr>
              <w:t>该指标以2016年完工的新建楼堂馆所为评价内容。</w:t>
            </w:r>
          </w:p>
        </w:tc>
        <w:tc>
          <w:tcPr>
            <w:tcW w:w="548" w:type="dxa"/>
            <w:tcBorders>
              <w:top w:val="nil"/>
              <w:left w:val="nil"/>
              <w:bottom w:val="single" w:color="auto" w:sz="4" w:space="0"/>
              <w:right w:val="single" w:color="auto" w:sz="4" w:space="0"/>
            </w:tcBorders>
            <w:vAlign w:val="center"/>
          </w:tcPr>
          <w:p>
            <w:pPr>
              <w:widowControl/>
              <w:shd w:val="clear"/>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cs="宋体"/>
                <w:kern w:val="0"/>
                <w:sz w:val="24"/>
                <w:szCs w:val="24"/>
                <w:lang w:val="en-US" w:eastAsia="zh-CN"/>
              </w:rPr>
              <w:t>5</w:t>
            </w:r>
          </w:p>
        </w:tc>
      </w:tr>
      <w:tr>
        <w:tblPrEx>
          <w:tblLayout w:type="fixed"/>
          <w:tblCellMar>
            <w:top w:w="0" w:type="dxa"/>
            <w:left w:w="108" w:type="dxa"/>
            <w:bottom w:w="0" w:type="dxa"/>
            <w:right w:w="108" w:type="dxa"/>
          </w:tblCellMar>
        </w:tblPrEx>
        <w:trPr>
          <w:trHeight w:val="1932" w:hRule="atLeast"/>
          <w:jc w:val="center"/>
        </w:trPr>
        <w:tc>
          <w:tcPr>
            <w:tcW w:w="676"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423"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686"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422"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1141" w:type="dxa"/>
            <w:tcBorders>
              <w:top w:val="nil"/>
              <w:left w:val="nil"/>
              <w:bottom w:val="single" w:color="auto" w:sz="4" w:space="0"/>
              <w:right w:val="single" w:color="auto" w:sz="4" w:space="0"/>
            </w:tcBorders>
            <w:vAlign w:val="center"/>
          </w:tcPr>
          <w:p>
            <w:pPr>
              <w:widowControl/>
              <w:shd w:val="clear"/>
              <w:jc w:val="left"/>
              <w:rPr>
                <w:rFonts w:hint="eastAsia" w:ascii="宋体" w:hAnsi="宋体" w:eastAsia="宋体" w:cs="宋体"/>
                <w:kern w:val="0"/>
                <w:sz w:val="24"/>
                <w:szCs w:val="24"/>
              </w:rPr>
            </w:pPr>
            <w:r>
              <w:rPr>
                <w:rFonts w:hint="eastAsia" w:ascii="宋体" w:hAnsi="宋体" w:eastAsia="宋体" w:cs="宋体"/>
                <w:kern w:val="0"/>
                <w:sz w:val="24"/>
                <w:szCs w:val="24"/>
              </w:rPr>
              <w:t>新建楼堂馆所投资概算控制率</w:t>
            </w:r>
          </w:p>
        </w:tc>
        <w:tc>
          <w:tcPr>
            <w:tcW w:w="500" w:type="dxa"/>
            <w:tcBorders>
              <w:top w:val="nil"/>
              <w:left w:val="nil"/>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2701" w:type="dxa"/>
            <w:gridSpan w:val="2"/>
            <w:tcBorders>
              <w:top w:val="nil"/>
              <w:left w:val="nil"/>
              <w:bottom w:val="single" w:color="auto" w:sz="4" w:space="0"/>
              <w:right w:val="single" w:color="auto" w:sz="4" w:space="0"/>
            </w:tcBorders>
            <w:vAlign w:val="center"/>
          </w:tcPr>
          <w:p>
            <w:pPr>
              <w:widowControl/>
              <w:shd w:val="clear"/>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100%以下（含）计满分，每超出5%扣2分，扣完为止。</w:t>
            </w:r>
          </w:p>
        </w:tc>
        <w:tc>
          <w:tcPr>
            <w:tcW w:w="2934" w:type="dxa"/>
            <w:tcBorders>
              <w:top w:val="nil"/>
              <w:left w:val="nil"/>
              <w:bottom w:val="single" w:color="auto" w:sz="4" w:space="0"/>
              <w:right w:val="single" w:color="auto" w:sz="4" w:space="0"/>
            </w:tcBorders>
            <w:vAlign w:val="center"/>
          </w:tcPr>
          <w:p>
            <w:pPr>
              <w:widowControl/>
              <w:shd w:val="clear"/>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楼堂馆所投资预算控制率=实际投资金额/批准投资金额×100% 。</w:t>
            </w:r>
            <w:r>
              <w:rPr>
                <w:rFonts w:hint="eastAsia" w:ascii="宋体" w:hAnsi="宋体" w:eastAsia="宋体" w:cs="宋体"/>
                <w:kern w:val="0"/>
                <w:sz w:val="24"/>
                <w:szCs w:val="24"/>
              </w:rPr>
              <w:br w:type="textWrapping"/>
            </w:r>
            <w:r>
              <w:rPr>
                <w:rFonts w:hint="eastAsia" w:ascii="宋体" w:hAnsi="宋体" w:eastAsia="宋体" w:cs="宋体"/>
                <w:kern w:val="0"/>
                <w:sz w:val="24"/>
                <w:szCs w:val="24"/>
              </w:rPr>
              <w:t>该指标以2016年完工的新建楼堂馆所为评价内容。</w:t>
            </w:r>
          </w:p>
        </w:tc>
        <w:tc>
          <w:tcPr>
            <w:tcW w:w="548" w:type="dxa"/>
            <w:tcBorders>
              <w:top w:val="nil"/>
              <w:left w:val="nil"/>
              <w:bottom w:val="single" w:color="auto" w:sz="4" w:space="0"/>
              <w:right w:val="single" w:color="auto" w:sz="4" w:space="0"/>
            </w:tcBorders>
            <w:vAlign w:val="center"/>
          </w:tcPr>
          <w:p>
            <w:pPr>
              <w:widowControl/>
              <w:shd w:val="clear"/>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cs="宋体"/>
                <w:kern w:val="0"/>
                <w:sz w:val="24"/>
                <w:szCs w:val="24"/>
                <w:lang w:val="en-US" w:eastAsia="zh-CN"/>
              </w:rPr>
              <w:t>5</w:t>
            </w:r>
          </w:p>
        </w:tc>
      </w:tr>
      <w:tr>
        <w:tblPrEx>
          <w:tblLayout w:type="fixed"/>
          <w:tblCellMar>
            <w:top w:w="0" w:type="dxa"/>
            <w:left w:w="108" w:type="dxa"/>
            <w:bottom w:w="0" w:type="dxa"/>
            <w:right w:w="108" w:type="dxa"/>
          </w:tblCellMar>
        </w:tblPrEx>
        <w:trPr>
          <w:trHeight w:val="1935" w:hRule="atLeast"/>
          <w:jc w:val="center"/>
        </w:trPr>
        <w:tc>
          <w:tcPr>
            <w:tcW w:w="676"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423"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686" w:type="dxa"/>
            <w:vMerge w:val="restart"/>
            <w:tcBorders>
              <w:top w:val="nil"/>
              <w:left w:val="single" w:color="auto" w:sz="4" w:space="0"/>
              <w:bottom w:val="single" w:color="000000"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预算管理</w:t>
            </w:r>
          </w:p>
        </w:tc>
        <w:tc>
          <w:tcPr>
            <w:tcW w:w="422" w:type="dxa"/>
            <w:vMerge w:val="restart"/>
            <w:tcBorders>
              <w:top w:val="nil"/>
              <w:left w:val="single" w:color="auto" w:sz="4" w:space="0"/>
              <w:bottom w:val="single" w:color="000000"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30</w:t>
            </w:r>
          </w:p>
        </w:tc>
        <w:tc>
          <w:tcPr>
            <w:tcW w:w="1141" w:type="dxa"/>
            <w:tcBorders>
              <w:top w:val="nil"/>
              <w:left w:val="nil"/>
              <w:bottom w:val="single" w:color="auto" w:sz="4" w:space="0"/>
              <w:right w:val="single" w:color="auto" w:sz="4" w:space="0"/>
            </w:tcBorders>
            <w:vAlign w:val="center"/>
          </w:tcPr>
          <w:p>
            <w:pPr>
              <w:widowControl/>
              <w:shd w:val="clear"/>
              <w:jc w:val="left"/>
              <w:rPr>
                <w:rFonts w:hint="eastAsia" w:ascii="宋体" w:hAnsi="宋体" w:eastAsia="宋体" w:cs="宋体"/>
                <w:kern w:val="0"/>
                <w:sz w:val="24"/>
                <w:szCs w:val="24"/>
              </w:rPr>
            </w:pPr>
            <w:r>
              <w:rPr>
                <w:rFonts w:hint="eastAsia" w:ascii="宋体" w:hAnsi="宋体" w:eastAsia="宋体" w:cs="宋体"/>
                <w:kern w:val="0"/>
                <w:sz w:val="24"/>
                <w:szCs w:val="24"/>
              </w:rPr>
              <w:t>公用经费控制率</w:t>
            </w:r>
          </w:p>
        </w:tc>
        <w:tc>
          <w:tcPr>
            <w:tcW w:w="500" w:type="dxa"/>
            <w:tcBorders>
              <w:top w:val="nil"/>
              <w:left w:val="nil"/>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7</w:t>
            </w:r>
          </w:p>
        </w:tc>
        <w:tc>
          <w:tcPr>
            <w:tcW w:w="2701" w:type="dxa"/>
            <w:gridSpan w:val="2"/>
            <w:tcBorders>
              <w:top w:val="nil"/>
              <w:left w:val="nil"/>
              <w:bottom w:val="single" w:color="auto" w:sz="4" w:space="0"/>
              <w:right w:val="single" w:color="auto" w:sz="4" w:space="0"/>
            </w:tcBorders>
            <w:vAlign w:val="center"/>
          </w:tcPr>
          <w:p>
            <w:pPr>
              <w:widowControl/>
              <w:shd w:val="clear"/>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100%以下（含）计满分，每超出1%扣1分，扣完为止。</w:t>
            </w:r>
          </w:p>
        </w:tc>
        <w:tc>
          <w:tcPr>
            <w:tcW w:w="2934" w:type="dxa"/>
            <w:tcBorders>
              <w:top w:val="nil"/>
              <w:left w:val="nil"/>
              <w:bottom w:val="single" w:color="auto" w:sz="4" w:space="0"/>
              <w:right w:val="single" w:color="auto" w:sz="4" w:space="0"/>
            </w:tcBorders>
            <w:vAlign w:val="center"/>
          </w:tcPr>
          <w:p>
            <w:pPr>
              <w:widowControl/>
              <w:shd w:val="clear"/>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公用经费控制率=（实际支出公用经费总额/预算安排公用经费总额）×100%。</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公用经费支出是指部门基本支出中的一般商品和服务支出。</w:t>
            </w:r>
          </w:p>
        </w:tc>
        <w:tc>
          <w:tcPr>
            <w:tcW w:w="548" w:type="dxa"/>
            <w:tcBorders>
              <w:top w:val="nil"/>
              <w:left w:val="nil"/>
              <w:bottom w:val="single" w:color="auto" w:sz="4" w:space="0"/>
              <w:right w:val="single" w:color="auto" w:sz="4" w:space="0"/>
            </w:tcBorders>
            <w:vAlign w:val="center"/>
          </w:tcPr>
          <w:p>
            <w:pPr>
              <w:widowControl/>
              <w:shd w:val="clear"/>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cs="宋体"/>
                <w:kern w:val="0"/>
                <w:sz w:val="24"/>
                <w:szCs w:val="24"/>
                <w:lang w:val="en-US" w:eastAsia="zh-CN"/>
              </w:rPr>
              <w:t>7</w:t>
            </w:r>
          </w:p>
        </w:tc>
      </w:tr>
      <w:tr>
        <w:tblPrEx>
          <w:tblLayout w:type="fixed"/>
          <w:tblCellMar>
            <w:top w:w="0" w:type="dxa"/>
            <w:left w:w="108" w:type="dxa"/>
            <w:bottom w:w="0" w:type="dxa"/>
            <w:right w:w="108" w:type="dxa"/>
          </w:tblCellMar>
        </w:tblPrEx>
        <w:trPr>
          <w:trHeight w:val="1678" w:hRule="atLeast"/>
          <w:jc w:val="center"/>
        </w:trPr>
        <w:tc>
          <w:tcPr>
            <w:tcW w:w="676"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423"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686"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422"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1141" w:type="dxa"/>
            <w:tcBorders>
              <w:top w:val="nil"/>
              <w:left w:val="nil"/>
              <w:bottom w:val="single" w:color="auto" w:sz="4" w:space="0"/>
              <w:right w:val="single" w:color="auto" w:sz="4" w:space="0"/>
            </w:tcBorders>
            <w:vAlign w:val="center"/>
          </w:tcPr>
          <w:p>
            <w:pPr>
              <w:widowControl/>
              <w:shd w:val="clear"/>
              <w:jc w:val="left"/>
              <w:rPr>
                <w:rFonts w:hint="eastAsia" w:ascii="宋体" w:hAnsi="宋体" w:eastAsia="宋体" w:cs="宋体"/>
                <w:kern w:val="0"/>
                <w:sz w:val="24"/>
                <w:szCs w:val="24"/>
              </w:rPr>
            </w:pPr>
            <w:r>
              <w:rPr>
                <w:rFonts w:hint="eastAsia" w:ascii="宋体" w:hAnsi="宋体" w:eastAsia="宋体" w:cs="宋体"/>
                <w:kern w:val="0"/>
                <w:sz w:val="24"/>
                <w:szCs w:val="24"/>
              </w:rPr>
              <w:t>“三公经费”控制率</w:t>
            </w:r>
          </w:p>
        </w:tc>
        <w:tc>
          <w:tcPr>
            <w:tcW w:w="500" w:type="dxa"/>
            <w:tcBorders>
              <w:top w:val="nil"/>
              <w:left w:val="nil"/>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8</w:t>
            </w:r>
          </w:p>
        </w:tc>
        <w:tc>
          <w:tcPr>
            <w:tcW w:w="2701" w:type="dxa"/>
            <w:gridSpan w:val="2"/>
            <w:tcBorders>
              <w:top w:val="nil"/>
              <w:left w:val="nil"/>
              <w:bottom w:val="single" w:color="auto" w:sz="4" w:space="0"/>
              <w:right w:val="single" w:color="auto" w:sz="4" w:space="0"/>
            </w:tcBorders>
            <w:vAlign w:val="center"/>
          </w:tcPr>
          <w:p>
            <w:pPr>
              <w:widowControl/>
              <w:shd w:val="clear"/>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100%以下（含）计满分，每超出1%扣1分，扣完为止。</w:t>
            </w:r>
          </w:p>
        </w:tc>
        <w:tc>
          <w:tcPr>
            <w:tcW w:w="2934" w:type="dxa"/>
            <w:tcBorders>
              <w:top w:val="nil"/>
              <w:left w:val="nil"/>
              <w:bottom w:val="single" w:color="auto" w:sz="4" w:space="0"/>
              <w:right w:val="single" w:color="auto" w:sz="4" w:space="0"/>
            </w:tcBorders>
            <w:vAlign w:val="center"/>
          </w:tcPr>
          <w:p>
            <w:pPr>
              <w:widowControl/>
              <w:shd w:val="clear"/>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“三公经费”控制率=（“三公经费”实际支出数/“三公经费”预算安排数）×100%。</w:t>
            </w:r>
          </w:p>
        </w:tc>
        <w:tc>
          <w:tcPr>
            <w:tcW w:w="548" w:type="dxa"/>
            <w:tcBorders>
              <w:top w:val="nil"/>
              <w:left w:val="nil"/>
              <w:bottom w:val="single" w:color="auto" w:sz="4" w:space="0"/>
              <w:right w:val="single" w:color="auto" w:sz="4" w:space="0"/>
            </w:tcBorders>
            <w:vAlign w:val="center"/>
          </w:tcPr>
          <w:p>
            <w:pPr>
              <w:widowControl/>
              <w:shd w:val="clear"/>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cs="宋体"/>
                <w:kern w:val="0"/>
                <w:sz w:val="24"/>
                <w:szCs w:val="24"/>
                <w:lang w:val="en-US" w:eastAsia="zh-CN"/>
              </w:rPr>
              <w:t>8</w:t>
            </w:r>
          </w:p>
        </w:tc>
      </w:tr>
      <w:tr>
        <w:tblPrEx>
          <w:tblLayout w:type="fixed"/>
          <w:tblCellMar>
            <w:top w:w="0" w:type="dxa"/>
            <w:left w:w="108" w:type="dxa"/>
            <w:bottom w:w="0" w:type="dxa"/>
            <w:right w:w="108" w:type="dxa"/>
          </w:tblCellMar>
        </w:tblPrEx>
        <w:trPr>
          <w:trHeight w:val="2561" w:hRule="atLeast"/>
          <w:jc w:val="center"/>
        </w:trPr>
        <w:tc>
          <w:tcPr>
            <w:tcW w:w="676" w:type="dxa"/>
            <w:vMerge w:val="restart"/>
            <w:tcBorders>
              <w:top w:val="single" w:color="auto" w:sz="4" w:space="0"/>
              <w:left w:val="single" w:color="auto" w:sz="4" w:space="0"/>
              <w:bottom w:val="single" w:color="000000" w:sz="4" w:space="0"/>
              <w:right w:val="single" w:color="auto" w:sz="4" w:space="0"/>
            </w:tcBorders>
            <w:vAlign w:val="center"/>
          </w:tcPr>
          <w:p>
            <w:pPr>
              <w:shd w:val="clear"/>
              <w:jc w:val="left"/>
              <w:rPr>
                <w:rFonts w:hint="eastAsia" w:ascii="宋体" w:hAnsi="宋体" w:eastAsia="宋体" w:cs="宋体"/>
                <w:kern w:val="0"/>
                <w:sz w:val="24"/>
                <w:szCs w:val="24"/>
              </w:rPr>
            </w:pPr>
            <w:r>
              <w:rPr>
                <w:rFonts w:hint="eastAsia" w:ascii="宋体" w:hAnsi="宋体" w:eastAsia="宋体" w:cs="宋体"/>
                <w:kern w:val="0"/>
                <w:sz w:val="24"/>
                <w:szCs w:val="24"/>
              </w:rPr>
              <w:t>过                                                                                                                                       程</w:t>
            </w:r>
          </w:p>
        </w:tc>
        <w:tc>
          <w:tcPr>
            <w:tcW w:w="423" w:type="dxa"/>
            <w:vMerge w:val="restart"/>
            <w:tcBorders>
              <w:top w:val="single" w:color="auto" w:sz="4" w:space="0"/>
              <w:left w:val="single" w:color="auto" w:sz="4" w:space="0"/>
              <w:bottom w:val="single" w:color="000000" w:sz="4" w:space="0"/>
              <w:right w:val="single" w:color="auto" w:sz="4" w:space="0"/>
            </w:tcBorders>
            <w:vAlign w:val="center"/>
          </w:tcPr>
          <w:p>
            <w:pPr>
              <w:shd w:val="clear"/>
              <w:jc w:val="left"/>
              <w:rPr>
                <w:rFonts w:hint="eastAsia" w:ascii="宋体" w:hAnsi="宋体" w:eastAsia="宋体" w:cs="宋体"/>
                <w:kern w:val="0"/>
                <w:sz w:val="24"/>
                <w:szCs w:val="24"/>
              </w:rPr>
            </w:pPr>
            <w:r>
              <w:rPr>
                <w:rFonts w:hint="eastAsia" w:ascii="宋体" w:hAnsi="宋体" w:eastAsia="宋体" w:cs="宋体"/>
                <w:kern w:val="0"/>
                <w:sz w:val="24"/>
                <w:szCs w:val="24"/>
              </w:rPr>
              <w:t>50</w:t>
            </w:r>
          </w:p>
        </w:tc>
        <w:tc>
          <w:tcPr>
            <w:tcW w:w="686" w:type="dxa"/>
            <w:vMerge w:val="restart"/>
            <w:tcBorders>
              <w:top w:val="nil"/>
              <w:left w:val="nil"/>
              <w:bottom w:val="single" w:color="auto" w:sz="4" w:space="0"/>
              <w:right w:val="single" w:color="auto" w:sz="4" w:space="0"/>
            </w:tcBorders>
            <w:vAlign w:val="center"/>
          </w:tcPr>
          <w:p>
            <w:pPr>
              <w:widowControl/>
              <w:shd w:val="clear"/>
              <w:jc w:val="left"/>
              <w:rPr>
                <w:rFonts w:hint="eastAsia" w:ascii="宋体" w:hAnsi="宋体" w:eastAsia="宋体" w:cs="宋体"/>
                <w:kern w:val="0"/>
                <w:sz w:val="24"/>
                <w:szCs w:val="24"/>
              </w:rPr>
            </w:pPr>
            <w:r>
              <w:rPr>
                <w:rFonts w:hint="eastAsia" w:ascii="宋体" w:hAnsi="宋体" w:eastAsia="宋体" w:cs="宋体"/>
                <w:kern w:val="0"/>
                <w:sz w:val="24"/>
                <w:szCs w:val="24"/>
              </w:rPr>
              <w:t>预算管理</w:t>
            </w:r>
          </w:p>
        </w:tc>
        <w:tc>
          <w:tcPr>
            <w:tcW w:w="422"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1141" w:type="dxa"/>
            <w:tcBorders>
              <w:top w:val="nil"/>
              <w:left w:val="nil"/>
              <w:bottom w:val="single" w:color="auto" w:sz="4" w:space="0"/>
              <w:right w:val="single" w:color="auto" w:sz="4" w:space="0"/>
            </w:tcBorders>
            <w:vAlign w:val="center"/>
          </w:tcPr>
          <w:p>
            <w:pPr>
              <w:widowControl/>
              <w:shd w:val="clear"/>
              <w:jc w:val="left"/>
              <w:rPr>
                <w:rFonts w:hint="eastAsia" w:ascii="宋体" w:hAnsi="宋体" w:eastAsia="宋体" w:cs="宋体"/>
                <w:kern w:val="0"/>
                <w:sz w:val="24"/>
                <w:szCs w:val="24"/>
              </w:rPr>
            </w:pPr>
            <w:r>
              <w:rPr>
                <w:rFonts w:hint="eastAsia" w:ascii="宋体" w:hAnsi="宋体" w:eastAsia="宋体" w:cs="宋体"/>
                <w:kern w:val="0"/>
                <w:sz w:val="24"/>
                <w:szCs w:val="24"/>
              </w:rPr>
              <w:t>管理制度健全性</w:t>
            </w:r>
          </w:p>
        </w:tc>
        <w:tc>
          <w:tcPr>
            <w:tcW w:w="500" w:type="dxa"/>
            <w:tcBorders>
              <w:top w:val="nil"/>
              <w:left w:val="nil"/>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8</w:t>
            </w:r>
          </w:p>
        </w:tc>
        <w:tc>
          <w:tcPr>
            <w:tcW w:w="2701" w:type="dxa"/>
            <w:gridSpan w:val="2"/>
            <w:tcBorders>
              <w:top w:val="nil"/>
              <w:left w:val="nil"/>
              <w:bottom w:val="single" w:color="auto" w:sz="4" w:space="0"/>
              <w:right w:val="single" w:color="auto" w:sz="4" w:space="0"/>
            </w:tcBorders>
            <w:vAlign w:val="center"/>
          </w:tcPr>
          <w:p>
            <w:pPr>
              <w:widowControl/>
              <w:shd w:val="clear"/>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每出现一例不符合要求的扣2分，扣完为止。</w:t>
            </w:r>
          </w:p>
        </w:tc>
        <w:tc>
          <w:tcPr>
            <w:tcW w:w="2934" w:type="dxa"/>
            <w:tcBorders>
              <w:top w:val="nil"/>
              <w:left w:val="nil"/>
              <w:bottom w:val="single" w:color="auto" w:sz="4" w:space="0"/>
              <w:right w:val="single" w:color="auto" w:sz="4" w:space="0"/>
            </w:tcBorders>
            <w:vAlign w:val="center"/>
          </w:tcPr>
          <w:p>
            <w:pPr>
              <w:widowControl/>
              <w:shd w:val="clear"/>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①有内部财务管理制度、会计核算制度等管理制度；</w:t>
            </w:r>
            <w:r>
              <w:rPr>
                <w:rFonts w:hint="eastAsia" w:ascii="宋体" w:hAnsi="宋体" w:eastAsia="宋体" w:cs="宋体"/>
                <w:kern w:val="0"/>
                <w:sz w:val="24"/>
                <w:szCs w:val="24"/>
              </w:rPr>
              <w:br w:type="textWrapping"/>
            </w:r>
            <w:r>
              <w:rPr>
                <w:rFonts w:hint="eastAsia" w:ascii="宋体" w:hAnsi="宋体" w:eastAsia="宋体" w:cs="宋体"/>
                <w:kern w:val="0"/>
                <w:sz w:val="24"/>
                <w:szCs w:val="24"/>
              </w:rPr>
              <w:t>②有本部门厉行节约制度；</w:t>
            </w:r>
            <w:r>
              <w:rPr>
                <w:rFonts w:hint="eastAsia" w:ascii="宋体" w:hAnsi="宋体" w:eastAsia="宋体" w:cs="宋体"/>
                <w:kern w:val="0"/>
                <w:sz w:val="24"/>
                <w:szCs w:val="24"/>
              </w:rPr>
              <w:br w:type="textWrapping"/>
            </w:r>
            <w:r>
              <w:rPr>
                <w:rFonts w:hint="eastAsia" w:ascii="宋体" w:hAnsi="宋体" w:eastAsia="宋体" w:cs="宋体"/>
                <w:kern w:val="0"/>
                <w:sz w:val="24"/>
                <w:szCs w:val="24"/>
              </w:rPr>
              <w:t>③相关管理制度合法、合规、完整；④相关管理制度得到有效执行。</w:t>
            </w:r>
          </w:p>
        </w:tc>
        <w:tc>
          <w:tcPr>
            <w:tcW w:w="548" w:type="dxa"/>
            <w:tcBorders>
              <w:top w:val="nil"/>
              <w:left w:val="nil"/>
              <w:bottom w:val="single" w:color="auto" w:sz="4" w:space="0"/>
              <w:right w:val="single" w:color="auto" w:sz="4" w:space="0"/>
            </w:tcBorders>
            <w:vAlign w:val="center"/>
          </w:tcPr>
          <w:p>
            <w:pPr>
              <w:widowControl/>
              <w:shd w:val="clear"/>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cs="宋体"/>
                <w:kern w:val="0"/>
                <w:sz w:val="24"/>
                <w:szCs w:val="24"/>
                <w:lang w:val="en-US" w:eastAsia="zh-CN"/>
              </w:rPr>
              <w:t>7</w:t>
            </w:r>
          </w:p>
        </w:tc>
      </w:tr>
      <w:tr>
        <w:tblPrEx>
          <w:tblLayout w:type="fixed"/>
          <w:tblCellMar>
            <w:top w:w="0" w:type="dxa"/>
            <w:left w:w="108" w:type="dxa"/>
            <w:bottom w:w="0" w:type="dxa"/>
            <w:right w:w="108" w:type="dxa"/>
          </w:tblCellMar>
        </w:tblPrEx>
        <w:trPr>
          <w:trHeight w:val="3191" w:hRule="atLeast"/>
          <w:jc w:val="center"/>
        </w:trPr>
        <w:tc>
          <w:tcPr>
            <w:tcW w:w="676" w:type="dxa"/>
            <w:vMerge w:val="continue"/>
            <w:tcBorders>
              <w:top w:val="single" w:color="auto" w:sz="4" w:space="0"/>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423" w:type="dxa"/>
            <w:vMerge w:val="continue"/>
            <w:tcBorders>
              <w:top w:val="single" w:color="auto" w:sz="4" w:space="0"/>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686" w:type="dxa"/>
            <w:vMerge w:val="continue"/>
            <w:tcBorders>
              <w:top w:val="nil"/>
              <w:left w:val="nil"/>
              <w:bottom w:val="single" w:color="auto" w:sz="4" w:space="0"/>
              <w:right w:val="single" w:color="auto" w:sz="4" w:space="0"/>
            </w:tcBorders>
            <w:vAlign w:val="center"/>
          </w:tcPr>
          <w:p>
            <w:pPr>
              <w:shd w:val="clear"/>
              <w:rPr>
                <w:rFonts w:hint="eastAsia" w:ascii="宋体" w:hAnsi="宋体" w:eastAsia="宋体" w:cs="宋体"/>
                <w:sz w:val="24"/>
                <w:szCs w:val="24"/>
              </w:rPr>
            </w:pPr>
          </w:p>
        </w:tc>
        <w:tc>
          <w:tcPr>
            <w:tcW w:w="422"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1141" w:type="dxa"/>
            <w:tcBorders>
              <w:top w:val="nil"/>
              <w:left w:val="nil"/>
              <w:bottom w:val="single" w:color="auto" w:sz="4" w:space="0"/>
              <w:right w:val="single" w:color="auto" w:sz="4" w:space="0"/>
            </w:tcBorders>
            <w:vAlign w:val="center"/>
          </w:tcPr>
          <w:p>
            <w:pPr>
              <w:widowControl/>
              <w:shd w:val="clear"/>
              <w:jc w:val="left"/>
              <w:rPr>
                <w:rFonts w:hint="eastAsia" w:ascii="宋体" w:hAnsi="宋体" w:eastAsia="宋体" w:cs="宋体"/>
                <w:kern w:val="0"/>
                <w:sz w:val="24"/>
                <w:szCs w:val="24"/>
              </w:rPr>
            </w:pPr>
            <w:r>
              <w:rPr>
                <w:rFonts w:hint="eastAsia" w:ascii="宋体" w:hAnsi="宋体" w:eastAsia="宋体" w:cs="宋体"/>
                <w:kern w:val="0"/>
                <w:sz w:val="24"/>
                <w:szCs w:val="24"/>
              </w:rPr>
              <w:t>资金使用合规性</w:t>
            </w:r>
          </w:p>
        </w:tc>
        <w:tc>
          <w:tcPr>
            <w:tcW w:w="500" w:type="dxa"/>
            <w:tcBorders>
              <w:top w:val="nil"/>
              <w:left w:val="nil"/>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2701" w:type="dxa"/>
            <w:gridSpan w:val="2"/>
            <w:tcBorders>
              <w:top w:val="nil"/>
              <w:left w:val="nil"/>
              <w:bottom w:val="single" w:color="auto" w:sz="4" w:space="0"/>
              <w:right w:val="single" w:color="auto" w:sz="4" w:space="0"/>
            </w:tcBorders>
            <w:vAlign w:val="center"/>
          </w:tcPr>
          <w:p>
            <w:pPr>
              <w:widowControl/>
              <w:shd w:val="clear"/>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br w:type="textWrapping"/>
            </w:r>
            <w:r>
              <w:rPr>
                <w:rFonts w:hint="eastAsia" w:ascii="宋体" w:hAnsi="宋体" w:eastAsia="宋体" w:cs="宋体"/>
                <w:kern w:val="0"/>
                <w:sz w:val="24"/>
                <w:szCs w:val="24"/>
              </w:rPr>
              <w:t>每出现一例不符合要求的扣1分，扣完为止。</w:t>
            </w:r>
          </w:p>
        </w:tc>
        <w:tc>
          <w:tcPr>
            <w:tcW w:w="2934" w:type="dxa"/>
            <w:tcBorders>
              <w:top w:val="nil"/>
              <w:left w:val="nil"/>
              <w:bottom w:val="single" w:color="auto" w:sz="4" w:space="0"/>
              <w:right w:val="single" w:color="auto" w:sz="4" w:space="0"/>
            </w:tcBorders>
            <w:vAlign w:val="center"/>
          </w:tcPr>
          <w:p>
            <w:pPr>
              <w:widowControl/>
              <w:shd w:val="clear"/>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p>
        </w:tc>
        <w:tc>
          <w:tcPr>
            <w:tcW w:w="548" w:type="dxa"/>
            <w:tcBorders>
              <w:top w:val="nil"/>
              <w:left w:val="nil"/>
              <w:bottom w:val="single" w:color="auto" w:sz="4" w:space="0"/>
              <w:right w:val="single" w:color="auto" w:sz="4" w:space="0"/>
            </w:tcBorders>
            <w:vAlign w:val="center"/>
          </w:tcPr>
          <w:p>
            <w:pPr>
              <w:widowControl/>
              <w:shd w:val="clear"/>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cs="宋体"/>
                <w:kern w:val="0"/>
                <w:sz w:val="24"/>
                <w:szCs w:val="24"/>
                <w:lang w:val="en-US" w:eastAsia="zh-CN"/>
              </w:rPr>
              <w:t>4</w:t>
            </w:r>
          </w:p>
        </w:tc>
      </w:tr>
      <w:tr>
        <w:tblPrEx>
          <w:tblLayout w:type="fixed"/>
          <w:tblCellMar>
            <w:top w:w="0" w:type="dxa"/>
            <w:left w:w="108" w:type="dxa"/>
            <w:bottom w:w="0" w:type="dxa"/>
            <w:right w:w="108" w:type="dxa"/>
          </w:tblCellMar>
        </w:tblPrEx>
        <w:trPr>
          <w:trHeight w:val="2247" w:hRule="atLeast"/>
          <w:jc w:val="center"/>
        </w:trPr>
        <w:tc>
          <w:tcPr>
            <w:tcW w:w="676" w:type="dxa"/>
            <w:vMerge w:val="continue"/>
            <w:tcBorders>
              <w:top w:val="single" w:color="auto" w:sz="4" w:space="0"/>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423" w:type="dxa"/>
            <w:vMerge w:val="continue"/>
            <w:tcBorders>
              <w:top w:val="single" w:color="auto" w:sz="4" w:space="0"/>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686" w:type="dxa"/>
            <w:vMerge w:val="continue"/>
            <w:tcBorders>
              <w:top w:val="nil"/>
              <w:left w:val="nil"/>
              <w:bottom w:val="single" w:color="auto" w:sz="4" w:space="0"/>
              <w:right w:val="single" w:color="auto" w:sz="4" w:space="0"/>
            </w:tcBorders>
            <w:vAlign w:val="center"/>
          </w:tcPr>
          <w:p>
            <w:pPr>
              <w:shd w:val="clear"/>
              <w:rPr>
                <w:rFonts w:hint="eastAsia" w:ascii="宋体" w:hAnsi="宋体" w:eastAsia="宋体" w:cs="宋体"/>
                <w:sz w:val="24"/>
                <w:szCs w:val="24"/>
              </w:rPr>
            </w:pPr>
          </w:p>
        </w:tc>
        <w:tc>
          <w:tcPr>
            <w:tcW w:w="422"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1141" w:type="dxa"/>
            <w:tcBorders>
              <w:top w:val="nil"/>
              <w:left w:val="nil"/>
              <w:bottom w:val="single" w:color="auto" w:sz="4" w:space="0"/>
              <w:right w:val="single" w:color="auto" w:sz="4" w:space="0"/>
            </w:tcBorders>
            <w:vAlign w:val="center"/>
          </w:tcPr>
          <w:p>
            <w:pPr>
              <w:widowControl/>
              <w:shd w:val="clear"/>
              <w:jc w:val="left"/>
              <w:rPr>
                <w:rFonts w:hint="eastAsia" w:ascii="宋体" w:hAnsi="宋体" w:eastAsia="宋体" w:cs="宋体"/>
                <w:kern w:val="0"/>
                <w:sz w:val="24"/>
                <w:szCs w:val="24"/>
              </w:rPr>
            </w:pPr>
            <w:r>
              <w:rPr>
                <w:rFonts w:hint="eastAsia" w:ascii="宋体" w:hAnsi="宋体" w:eastAsia="宋体" w:cs="宋体"/>
                <w:kern w:val="0"/>
                <w:sz w:val="24"/>
                <w:szCs w:val="24"/>
              </w:rPr>
              <w:t>预决算信息公开性</w:t>
            </w:r>
          </w:p>
        </w:tc>
        <w:tc>
          <w:tcPr>
            <w:tcW w:w="500" w:type="dxa"/>
            <w:tcBorders>
              <w:top w:val="nil"/>
              <w:left w:val="nil"/>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2701" w:type="dxa"/>
            <w:gridSpan w:val="2"/>
            <w:tcBorders>
              <w:top w:val="nil"/>
              <w:left w:val="nil"/>
              <w:bottom w:val="single" w:color="auto" w:sz="4" w:space="0"/>
              <w:right w:val="single" w:color="auto" w:sz="4" w:space="0"/>
            </w:tcBorders>
            <w:vAlign w:val="center"/>
          </w:tcPr>
          <w:p>
            <w:pPr>
              <w:widowControl/>
              <w:shd w:val="clear"/>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每出现一例不符合要求的扣1分，扣完为止。</w:t>
            </w:r>
          </w:p>
        </w:tc>
        <w:tc>
          <w:tcPr>
            <w:tcW w:w="2934" w:type="dxa"/>
            <w:tcBorders>
              <w:top w:val="nil"/>
              <w:left w:val="nil"/>
              <w:bottom w:val="single" w:color="auto" w:sz="4" w:space="0"/>
              <w:right w:val="single" w:color="auto" w:sz="4" w:space="0"/>
            </w:tcBorders>
            <w:vAlign w:val="center"/>
          </w:tcPr>
          <w:p>
            <w:pPr>
              <w:widowControl/>
              <w:shd w:val="clear"/>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①按规定内容公开预决算信息；</w:t>
            </w:r>
          </w:p>
          <w:p>
            <w:pPr>
              <w:widowControl/>
              <w:shd w:val="clear"/>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②按规定时限公开预决算信息；</w:t>
            </w:r>
          </w:p>
          <w:p>
            <w:pPr>
              <w:widowControl/>
              <w:shd w:val="clear"/>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预决算信息是指与部门预算、执行、决算、监督、绩效等管理相关的信息。</w:t>
            </w:r>
          </w:p>
        </w:tc>
        <w:tc>
          <w:tcPr>
            <w:tcW w:w="548" w:type="dxa"/>
            <w:tcBorders>
              <w:top w:val="nil"/>
              <w:left w:val="nil"/>
              <w:bottom w:val="single" w:color="auto" w:sz="4" w:space="0"/>
              <w:right w:val="single" w:color="auto" w:sz="4" w:space="0"/>
            </w:tcBorders>
            <w:vAlign w:val="center"/>
          </w:tcPr>
          <w:p>
            <w:pPr>
              <w:widowControl/>
              <w:shd w:val="clear"/>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cs="宋体"/>
                <w:kern w:val="0"/>
                <w:sz w:val="24"/>
                <w:szCs w:val="24"/>
                <w:lang w:val="en-US" w:eastAsia="zh-CN"/>
              </w:rPr>
              <w:t>2</w:t>
            </w:r>
          </w:p>
        </w:tc>
      </w:tr>
      <w:tr>
        <w:tblPrEx>
          <w:tblLayout w:type="fixed"/>
          <w:tblCellMar>
            <w:top w:w="0" w:type="dxa"/>
            <w:left w:w="108" w:type="dxa"/>
            <w:bottom w:w="0" w:type="dxa"/>
            <w:right w:w="108" w:type="dxa"/>
          </w:tblCellMar>
        </w:tblPrEx>
        <w:trPr>
          <w:trHeight w:val="1554" w:hRule="atLeast"/>
          <w:jc w:val="center"/>
        </w:trPr>
        <w:tc>
          <w:tcPr>
            <w:tcW w:w="676" w:type="dxa"/>
            <w:vMerge w:val="restart"/>
            <w:tcBorders>
              <w:top w:val="nil"/>
              <w:left w:val="single" w:color="auto" w:sz="4" w:space="0"/>
              <w:bottom w:val="single" w:color="000000"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产出及效率</w:t>
            </w:r>
          </w:p>
        </w:tc>
        <w:tc>
          <w:tcPr>
            <w:tcW w:w="423" w:type="dxa"/>
            <w:vMerge w:val="restart"/>
            <w:tcBorders>
              <w:top w:val="nil"/>
              <w:left w:val="single" w:color="auto" w:sz="4" w:space="0"/>
              <w:bottom w:val="single" w:color="000000"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35</w:t>
            </w:r>
          </w:p>
        </w:tc>
        <w:tc>
          <w:tcPr>
            <w:tcW w:w="686" w:type="dxa"/>
            <w:tcBorders>
              <w:top w:val="nil"/>
              <w:left w:val="nil"/>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职责履行</w:t>
            </w:r>
          </w:p>
        </w:tc>
        <w:tc>
          <w:tcPr>
            <w:tcW w:w="422" w:type="dxa"/>
            <w:tcBorders>
              <w:top w:val="nil"/>
              <w:left w:val="nil"/>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8</w:t>
            </w:r>
          </w:p>
        </w:tc>
        <w:tc>
          <w:tcPr>
            <w:tcW w:w="1141" w:type="dxa"/>
            <w:tcBorders>
              <w:top w:val="nil"/>
              <w:left w:val="nil"/>
              <w:bottom w:val="nil"/>
              <w:right w:val="single" w:color="auto" w:sz="4" w:space="0"/>
            </w:tcBorders>
            <w:vAlign w:val="center"/>
          </w:tcPr>
          <w:p>
            <w:pPr>
              <w:widowControl/>
              <w:shd w:val="clear"/>
              <w:jc w:val="left"/>
              <w:rPr>
                <w:rFonts w:hint="eastAsia" w:ascii="宋体" w:hAnsi="宋体" w:eastAsia="宋体" w:cs="宋体"/>
                <w:kern w:val="0"/>
                <w:sz w:val="24"/>
                <w:szCs w:val="24"/>
              </w:rPr>
            </w:pPr>
            <w:r>
              <w:rPr>
                <w:rFonts w:hint="eastAsia" w:ascii="宋体" w:hAnsi="宋体" w:eastAsia="宋体" w:cs="宋体"/>
                <w:kern w:val="0"/>
                <w:sz w:val="24"/>
                <w:szCs w:val="24"/>
              </w:rPr>
              <w:t>目标任务实际完成率</w:t>
            </w:r>
          </w:p>
        </w:tc>
        <w:tc>
          <w:tcPr>
            <w:tcW w:w="500" w:type="dxa"/>
            <w:tcBorders>
              <w:top w:val="nil"/>
              <w:left w:val="nil"/>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8</w:t>
            </w:r>
          </w:p>
        </w:tc>
        <w:tc>
          <w:tcPr>
            <w:tcW w:w="2701" w:type="dxa"/>
            <w:gridSpan w:val="2"/>
            <w:tcBorders>
              <w:top w:val="nil"/>
              <w:left w:val="nil"/>
              <w:bottom w:val="single" w:color="auto" w:sz="4" w:space="0"/>
              <w:right w:val="single" w:color="auto" w:sz="4" w:space="0"/>
            </w:tcBorders>
            <w:vAlign w:val="center"/>
          </w:tcPr>
          <w:p>
            <w:pPr>
              <w:widowControl/>
              <w:shd w:val="clear"/>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该项得分=（年度综合目标管理考核得分/总分）*8</w:t>
            </w:r>
          </w:p>
        </w:tc>
        <w:tc>
          <w:tcPr>
            <w:tcW w:w="2934" w:type="dxa"/>
            <w:tcBorders>
              <w:top w:val="nil"/>
              <w:left w:val="nil"/>
              <w:bottom w:val="single" w:color="auto" w:sz="4" w:space="0"/>
              <w:right w:val="single" w:color="auto" w:sz="4" w:space="0"/>
            </w:tcBorders>
            <w:vAlign w:val="center"/>
          </w:tcPr>
          <w:p>
            <w:pPr>
              <w:widowControl/>
              <w:shd w:val="clear"/>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根据区年度综合目标管理考核得分折算。</w:t>
            </w:r>
          </w:p>
        </w:tc>
        <w:tc>
          <w:tcPr>
            <w:tcW w:w="548" w:type="dxa"/>
            <w:tcBorders>
              <w:top w:val="nil"/>
              <w:left w:val="nil"/>
              <w:bottom w:val="single" w:color="auto" w:sz="4" w:space="0"/>
              <w:right w:val="single" w:color="auto" w:sz="4" w:space="0"/>
            </w:tcBorders>
            <w:vAlign w:val="center"/>
          </w:tcPr>
          <w:p>
            <w:pPr>
              <w:widowControl/>
              <w:shd w:val="clear"/>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cs="宋体"/>
                <w:kern w:val="0"/>
                <w:sz w:val="24"/>
                <w:szCs w:val="24"/>
                <w:lang w:val="en-US" w:eastAsia="zh-CN"/>
              </w:rPr>
              <w:t>7</w:t>
            </w:r>
          </w:p>
        </w:tc>
      </w:tr>
      <w:tr>
        <w:tblPrEx>
          <w:tblLayout w:type="fixed"/>
          <w:tblCellMar>
            <w:top w:w="0" w:type="dxa"/>
            <w:left w:w="108" w:type="dxa"/>
            <w:bottom w:w="0" w:type="dxa"/>
            <w:right w:w="108" w:type="dxa"/>
          </w:tblCellMar>
        </w:tblPrEx>
        <w:trPr>
          <w:trHeight w:val="797" w:hRule="atLeast"/>
          <w:jc w:val="center"/>
        </w:trPr>
        <w:tc>
          <w:tcPr>
            <w:tcW w:w="676"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423"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686" w:type="dxa"/>
            <w:vMerge w:val="restart"/>
            <w:tcBorders>
              <w:top w:val="nil"/>
              <w:left w:val="single" w:color="auto" w:sz="4" w:space="0"/>
              <w:bottom w:val="single" w:color="000000"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履职 效益</w:t>
            </w:r>
          </w:p>
        </w:tc>
        <w:tc>
          <w:tcPr>
            <w:tcW w:w="422" w:type="dxa"/>
            <w:vMerge w:val="restart"/>
            <w:tcBorders>
              <w:top w:val="nil"/>
              <w:left w:val="single" w:color="auto" w:sz="4" w:space="0"/>
              <w:bottom w:val="single" w:color="000000"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15</w:t>
            </w:r>
          </w:p>
        </w:tc>
        <w:tc>
          <w:tcPr>
            <w:tcW w:w="1141" w:type="dxa"/>
            <w:tcBorders>
              <w:top w:val="single" w:color="auto" w:sz="4" w:space="0"/>
              <w:left w:val="nil"/>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经济效益</w:t>
            </w:r>
          </w:p>
        </w:tc>
        <w:tc>
          <w:tcPr>
            <w:tcW w:w="500" w:type="dxa"/>
            <w:tcBorders>
              <w:top w:val="nil"/>
              <w:left w:val="single" w:color="auto" w:sz="4" w:space="0"/>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5635" w:type="dxa"/>
            <w:gridSpan w:val="3"/>
            <w:vMerge w:val="restart"/>
            <w:tcBorders>
              <w:top w:val="single" w:color="auto" w:sz="4" w:space="0"/>
              <w:left w:val="single" w:color="auto" w:sz="4" w:space="0"/>
              <w:bottom w:val="nil"/>
              <w:right w:val="single" w:color="000000" w:sz="4" w:space="0"/>
            </w:tcBorders>
            <w:vAlign w:val="center"/>
          </w:tcPr>
          <w:p>
            <w:pPr>
              <w:widowControl/>
              <w:shd w:val="clear"/>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此三项指标为设置部门整体支出绩效评价指标时必须考虑的要素，可根据部门实际情况有选择的进行设置，并将其细化为相应的个性化指标。</w:t>
            </w:r>
          </w:p>
        </w:tc>
        <w:tc>
          <w:tcPr>
            <w:tcW w:w="548" w:type="dxa"/>
            <w:vMerge w:val="restart"/>
            <w:tcBorders>
              <w:top w:val="nil"/>
              <w:left w:val="nil"/>
              <w:right w:val="single" w:color="auto" w:sz="4" w:space="0"/>
            </w:tcBorders>
            <w:vAlign w:val="center"/>
          </w:tcPr>
          <w:p>
            <w:pPr>
              <w:widowControl/>
              <w:shd w:val="clear"/>
              <w:jc w:val="left"/>
              <w:rPr>
                <w:rFonts w:hint="eastAsia" w:ascii="宋体" w:hAnsi="宋体" w:eastAsia="宋体" w:cs="宋体"/>
                <w:kern w:val="0"/>
                <w:sz w:val="24"/>
                <w:szCs w:val="24"/>
              </w:rPr>
            </w:pPr>
            <w:r>
              <w:rPr>
                <w:rFonts w:hint="eastAsia" w:ascii="宋体" w:hAnsi="宋体" w:eastAsia="宋体" w:cs="宋体"/>
                <w:kern w:val="0"/>
                <w:sz w:val="24"/>
                <w:szCs w:val="24"/>
              </w:rPr>
              <w:t>　</w:t>
            </w:r>
          </w:p>
          <w:p>
            <w:pPr>
              <w:widowControl/>
              <w:shd w:val="clear"/>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cs="宋体"/>
                <w:kern w:val="0"/>
                <w:sz w:val="24"/>
                <w:szCs w:val="24"/>
                <w:lang w:val="en-US" w:eastAsia="zh-CN"/>
              </w:rPr>
              <w:t>12</w:t>
            </w:r>
          </w:p>
        </w:tc>
      </w:tr>
      <w:tr>
        <w:tblPrEx>
          <w:tblLayout w:type="fixed"/>
          <w:tblCellMar>
            <w:top w:w="0" w:type="dxa"/>
            <w:left w:w="108" w:type="dxa"/>
            <w:bottom w:w="0" w:type="dxa"/>
            <w:right w:w="108" w:type="dxa"/>
          </w:tblCellMar>
        </w:tblPrEx>
        <w:trPr>
          <w:trHeight w:val="797" w:hRule="atLeast"/>
          <w:jc w:val="center"/>
        </w:trPr>
        <w:tc>
          <w:tcPr>
            <w:tcW w:w="676"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423"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686"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422"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1141" w:type="dxa"/>
            <w:tcBorders>
              <w:top w:val="nil"/>
              <w:left w:val="nil"/>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社会效益</w:t>
            </w:r>
          </w:p>
        </w:tc>
        <w:tc>
          <w:tcPr>
            <w:tcW w:w="500" w:type="dxa"/>
            <w:tcBorders>
              <w:top w:val="single" w:color="auto" w:sz="4" w:space="0"/>
              <w:left w:val="single" w:color="auto" w:sz="4" w:space="0"/>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5635" w:type="dxa"/>
            <w:gridSpan w:val="3"/>
            <w:vMerge w:val="continue"/>
            <w:tcBorders>
              <w:top w:val="single" w:color="auto" w:sz="4" w:space="0"/>
              <w:left w:val="single" w:color="auto" w:sz="4" w:space="0"/>
              <w:bottom w:val="nil"/>
              <w:right w:val="single" w:color="000000" w:sz="4" w:space="0"/>
            </w:tcBorders>
            <w:vAlign w:val="center"/>
          </w:tcPr>
          <w:p>
            <w:pPr>
              <w:shd w:val="clear"/>
              <w:spacing w:line="260" w:lineRule="exact"/>
              <w:rPr>
                <w:rFonts w:hint="eastAsia" w:ascii="宋体" w:hAnsi="宋体" w:eastAsia="宋体" w:cs="宋体"/>
                <w:sz w:val="24"/>
                <w:szCs w:val="24"/>
              </w:rPr>
            </w:pPr>
          </w:p>
        </w:tc>
        <w:tc>
          <w:tcPr>
            <w:tcW w:w="548" w:type="dxa"/>
            <w:vMerge w:val="continue"/>
            <w:tcBorders>
              <w:left w:val="nil"/>
              <w:right w:val="single" w:color="auto" w:sz="4" w:space="0"/>
            </w:tcBorders>
            <w:vAlign w:val="center"/>
          </w:tcPr>
          <w:p>
            <w:pPr>
              <w:widowControl/>
              <w:shd w:val="clear"/>
              <w:jc w:val="left"/>
              <w:rPr>
                <w:rFonts w:hint="eastAsia"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797" w:hRule="atLeast"/>
          <w:jc w:val="center"/>
        </w:trPr>
        <w:tc>
          <w:tcPr>
            <w:tcW w:w="676"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423"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686"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422"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1141" w:type="dxa"/>
            <w:tcBorders>
              <w:top w:val="single" w:color="auto" w:sz="4" w:space="0"/>
              <w:left w:val="nil"/>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生态效益</w:t>
            </w:r>
          </w:p>
        </w:tc>
        <w:tc>
          <w:tcPr>
            <w:tcW w:w="500" w:type="dxa"/>
            <w:tcBorders>
              <w:top w:val="single" w:color="auto" w:sz="4" w:space="0"/>
              <w:left w:val="single" w:color="auto" w:sz="4" w:space="0"/>
              <w:bottom w:val="nil"/>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5635" w:type="dxa"/>
            <w:gridSpan w:val="3"/>
            <w:vMerge w:val="continue"/>
            <w:tcBorders>
              <w:top w:val="single" w:color="auto" w:sz="4" w:space="0"/>
              <w:left w:val="single" w:color="auto" w:sz="4" w:space="0"/>
              <w:bottom w:val="nil"/>
              <w:right w:val="single" w:color="000000" w:sz="4" w:space="0"/>
            </w:tcBorders>
            <w:vAlign w:val="center"/>
          </w:tcPr>
          <w:p>
            <w:pPr>
              <w:shd w:val="clear"/>
              <w:spacing w:line="260" w:lineRule="exact"/>
              <w:rPr>
                <w:rFonts w:hint="eastAsia" w:ascii="宋体" w:hAnsi="宋体" w:eastAsia="宋体" w:cs="宋体"/>
                <w:sz w:val="24"/>
                <w:szCs w:val="24"/>
              </w:rPr>
            </w:pPr>
          </w:p>
        </w:tc>
        <w:tc>
          <w:tcPr>
            <w:tcW w:w="548" w:type="dxa"/>
            <w:vMerge w:val="continue"/>
            <w:tcBorders>
              <w:left w:val="nil"/>
              <w:bottom w:val="nil"/>
              <w:right w:val="single" w:color="auto" w:sz="4" w:space="0"/>
            </w:tcBorders>
            <w:vAlign w:val="center"/>
          </w:tcPr>
          <w:p>
            <w:pPr>
              <w:shd w:val="clear"/>
              <w:rPr>
                <w:rFonts w:hint="eastAsia" w:ascii="宋体" w:hAnsi="宋体" w:eastAsia="宋体" w:cs="宋体"/>
                <w:sz w:val="24"/>
                <w:szCs w:val="24"/>
              </w:rPr>
            </w:pPr>
          </w:p>
        </w:tc>
      </w:tr>
      <w:tr>
        <w:tblPrEx>
          <w:tblLayout w:type="fixed"/>
          <w:tblCellMar>
            <w:top w:w="0" w:type="dxa"/>
            <w:left w:w="108" w:type="dxa"/>
            <w:bottom w:w="0" w:type="dxa"/>
            <w:right w:w="108" w:type="dxa"/>
          </w:tblCellMar>
        </w:tblPrEx>
        <w:trPr>
          <w:trHeight w:val="2247" w:hRule="atLeast"/>
          <w:jc w:val="center"/>
        </w:trPr>
        <w:tc>
          <w:tcPr>
            <w:tcW w:w="676"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423"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686" w:type="dxa"/>
            <w:vMerge w:val="continue"/>
            <w:tcBorders>
              <w:top w:val="nil"/>
              <w:left w:val="single" w:color="auto" w:sz="4" w:space="0"/>
              <w:bottom w:val="single" w:color="000000" w:sz="4" w:space="0"/>
              <w:right w:val="single" w:color="auto" w:sz="4" w:space="0"/>
            </w:tcBorders>
            <w:vAlign w:val="center"/>
          </w:tcPr>
          <w:p>
            <w:pPr>
              <w:shd w:val="clear"/>
              <w:rPr>
                <w:rFonts w:hint="eastAsia" w:ascii="宋体" w:hAnsi="宋体" w:eastAsia="宋体" w:cs="宋体"/>
                <w:sz w:val="24"/>
                <w:szCs w:val="24"/>
              </w:rPr>
            </w:pPr>
          </w:p>
        </w:tc>
        <w:tc>
          <w:tcPr>
            <w:tcW w:w="422" w:type="dxa"/>
            <w:vMerge w:val="restart"/>
            <w:tcBorders>
              <w:top w:val="nil"/>
              <w:left w:val="single" w:color="auto" w:sz="4" w:space="0"/>
              <w:bottom w:val="single" w:color="000000"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12</w:t>
            </w:r>
          </w:p>
        </w:tc>
        <w:tc>
          <w:tcPr>
            <w:tcW w:w="1141" w:type="dxa"/>
            <w:tcBorders>
              <w:top w:val="nil"/>
              <w:left w:val="nil"/>
              <w:bottom w:val="single" w:color="auto" w:sz="4" w:space="0"/>
              <w:right w:val="single" w:color="auto" w:sz="4" w:space="0"/>
            </w:tcBorders>
            <w:vAlign w:val="center"/>
          </w:tcPr>
          <w:p>
            <w:pPr>
              <w:widowControl/>
              <w:shd w:val="clear"/>
              <w:jc w:val="left"/>
              <w:rPr>
                <w:rFonts w:hint="eastAsia" w:ascii="宋体" w:hAnsi="宋体" w:eastAsia="宋体" w:cs="宋体"/>
                <w:kern w:val="0"/>
                <w:sz w:val="24"/>
                <w:szCs w:val="24"/>
              </w:rPr>
            </w:pPr>
            <w:r>
              <w:rPr>
                <w:rFonts w:hint="eastAsia" w:ascii="宋体" w:hAnsi="宋体" w:eastAsia="宋体" w:cs="宋体"/>
                <w:kern w:val="0"/>
                <w:sz w:val="24"/>
                <w:szCs w:val="24"/>
              </w:rPr>
              <w:t>行政效能</w:t>
            </w:r>
          </w:p>
        </w:tc>
        <w:tc>
          <w:tcPr>
            <w:tcW w:w="500" w:type="dxa"/>
            <w:tcBorders>
              <w:top w:val="single" w:color="auto" w:sz="4" w:space="0"/>
              <w:left w:val="nil"/>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c>
          <w:tcPr>
            <w:tcW w:w="2700" w:type="dxa"/>
            <w:tcBorders>
              <w:top w:val="single" w:color="auto" w:sz="4" w:space="0"/>
              <w:left w:val="nil"/>
              <w:bottom w:val="single" w:color="auto" w:sz="4" w:space="0"/>
              <w:right w:val="single" w:color="auto" w:sz="4" w:space="0"/>
            </w:tcBorders>
            <w:vAlign w:val="center"/>
          </w:tcPr>
          <w:p>
            <w:pPr>
              <w:widowControl/>
              <w:shd w:val="clear"/>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促进部门改进文风会风，加强经费及资产管理，推动网上办事，提高行政效率，降低行政成本效果较好的计6分；一般3分；无效果或者效果不明显0分。</w:t>
            </w:r>
          </w:p>
        </w:tc>
        <w:tc>
          <w:tcPr>
            <w:tcW w:w="2935" w:type="dxa"/>
            <w:gridSpan w:val="2"/>
            <w:tcBorders>
              <w:top w:val="single" w:color="auto" w:sz="4" w:space="0"/>
              <w:left w:val="nil"/>
              <w:bottom w:val="single" w:color="auto" w:sz="4" w:space="0"/>
              <w:right w:val="single" w:color="auto" w:sz="4" w:space="0"/>
            </w:tcBorders>
            <w:vAlign w:val="center"/>
          </w:tcPr>
          <w:p>
            <w:pPr>
              <w:widowControl/>
              <w:shd w:val="clear"/>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根据部门自评材料评定。</w:t>
            </w:r>
          </w:p>
        </w:tc>
        <w:tc>
          <w:tcPr>
            <w:tcW w:w="548" w:type="dxa"/>
            <w:tcBorders>
              <w:top w:val="single" w:color="auto" w:sz="4" w:space="0"/>
              <w:left w:val="nil"/>
              <w:bottom w:val="single" w:color="auto" w:sz="4" w:space="0"/>
              <w:right w:val="single" w:color="auto" w:sz="4" w:space="0"/>
            </w:tcBorders>
            <w:vAlign w:val="center"/>
          </w:tcPr>
          <w:p>
            <w:pPr>
              <w:widowControl/>
              <w:shd w:val="clear"/>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cs="宋体"/>
                <w:kern w:val="0"/>
                <w:sz w:val="24"/>
                <w:szCs w:val="24"/>
                <w:lang w:val="en-US" w:eastAsia="zh-CN"/>
              </w:rPr>
              <w:t>4.5</w:t>
            </w:r>
          </w:p>
        </w:tc>
      </w:tr>
      <w:tr>
        <w:tblPrEx>
          <w:tblLayout w:type="fixed"/>
          <w:tblCellMar>
            <w:top w:w="0" w:type="dxa"/>
            <w:left w:w="108" w:type="dxa"/>
            <w:bottom w:w="0" w:type="dxa"/>
            <w:right w:w="108" w:type="dxa"/>
          </w:tblCellMar>
        </w:tblPrEx>
        <w:trPr>
          <w:trHeight w:val="1617" w:hRule="atLeast"/>
          <w:jc w:val="center"/>
        </w:trPr>
        <w:tc>
          <w:tcPr>
            <w:tcW w:w="676" w:type="dxa"/>
            <w:vMerge w:val="continue"/>
            <w:tcBorders>
              <w:top w:val="nil"/>
              <w:left w:val="single" w:color="auto" w:sz="4" w:space="0"/>
              <w:bottom w:val="single" w:color="auto" w:sz="4" w:space="0"/>
              <w:right w:val="single" w:color="auto" w:sz="4" w:space="0"/>
            </w:tcBorders>
            <w:vAlign w:val="center"/>
          </w:tcPr>
          <w:p>
            <w:pPr>
              <w:shd w:val="clear"/>
              <w:rPr>
                <w:rFonts w:hint="eastAsia" w:ascii="宋体" w:hAnsi="宋体" w:eastAsia="宋体" w:cs="宋体"/>
                <w:sz w:val="24"/>
                <w:szCs w:val="24"/>
              </w:rPr>
            </w:pPr>
          </w:p>
        </w:tc>
        <w:tc>
          <w:tcPr>
            <w:tcW w:w="423" w:type="dxa"/>
            <w:vMerge w:val="continue"/>
            <w:tcBorders>
              <w:top w:val="nil"/>
              <w:left w:val="single" w:color="auto" w:sz="4" w:space="0"/>
              <w:bottom w:val="single" w:color="auto" w:sz="4" w:space="0"/>
              <w:right w:val="single" w:color="auto" w:sz="4" w:space="0"/>
            </w:tcBorders>
            <w:vAlign w:val="center"/>
          </w:tcPr>
          <w:p>
            <w:pPr>
              <w:shd w:val="clear"/>
              <w:rPr>
                <w:rFonts w:hint="eastAsia" w:ascii="宋体" w:hAnsi="宋体" w:eastAsia="宋体" w:cs="宋体"/>
                <w:sz w:val="24"/>
                <w:szCs w:val="24"/>
              </w:rPr>
            </w:pPr>
          </w:p>
        </w:tc>
        <w:tc>
          <w:tcPr>
            <w:tcW w:w="686" w:type="dxa"/>
            <w:vMerge w:val="continue"/>
            <w:tcBorders>
              <w:top w:val="nil"/>
              <w:left w:val="single" w:color="auto" w:sz="4" w:space="0"/>
              <w:bottom w:val="single" w:color="auto" w:sz="4" w:space="0"/>
              <w:right w:val="single" w:color="auto" w:sz="4" w:space="0"/>
            </w:tcBorders>
            <w:vAlign w:val="center"/>
          </w:tcPr>
          <w:p>
            <w:pPr>
              <w:shd w:val="clear"/>
              <w:rPr>
                <w:rFonts w:hint="eastAsia" w:ascii="宋体" w:hAnsi="宋体" w:eastAsia="宋体" w:cs="宋体"/>
                <w:sz w:val="24"/>
                <w:szCs w:val="24"/>
              </w:rPr>
            </w:pPr>
          </w:p>
        </w:tc>
        <w:tc>
          <w:tcPr>
            <w:tcW w:w="422" w:type="dxa"/>
            <w:vMerge w:val="continue"/>
            <w:tcBorders>
              <w:top w:val="nil"/>
              <w:left w:val="single" w:color="auto" w:sz="4" w:space="0"/>
              <w:bottom w:val="single" w:color="auto" w:sz="4" w:space="0"/>
              <w:right w:val="single" w:color="auto" w:sz="4" w:space="0"/>
            </w:tcBorders>
            <w:vAlign w:val="center"/>
          </w:tcPr>
          <w:p>
            <w:pPr>
              <w:shd w:val="clear"/>
              <w:rPr>
                <w:rFonts w:hint="eastAsia" w:ascii="宋体" w:hAnsi="宋体" w:eastAsia="宋体" w:cs="宋体"/>
                <w:sz w:val="24"/>
                <w:szCs w:val="24"/>
              </w:rPr>
            </w:pPr>
          </w:p>
        </w:tc>
        <w:tc>
          <w:tcPr>
            <w:tcW w:w="1141" w:type="dxa"/>
            <w:tcBorders>
              <w:top w:val="nil"/>
              <w:left w:val="nil"/>
              <w:bottom w:val="single" w:color="auto" w:sz="4" w:space="0"/>
              <w:right w:val="single" w:color="auto" w:sz="4" w:space="0"/>
            </w:tcBorders>
            <w:vAlign w:val="center"/>
          </w:tcPr>
          <w:p>
            <w:pPr>
              <w:widowControl/>
              <w:shd w:val="clear"/>
              <w:jc w:val="left"/>
              <w:rPr>
                <w:rFonts w:hint="eastAsia" w:ascii="宋体" w:hAnsi="宋体" w:eastAsia="宋体" w:cs="宋体"/>
                <w:kern w:val="0"/>
                <w:sz w:val="24"/>
                <w:szCs w:val="24"/>
              </w:rPr>
            </w:pPr>
            <w:r>
              <w:rPr>
                <w:rFonts w:hint="eastAsia" w:ascii="宋体" w:hAnsi="宋体" w:eastAsia="宋体" w:cs="宋体"/>
                <w:kern w:val="0"/>
                <w:sz w:val="24"/>
                <w:szCs w:val="24"/>
              </w:rPr>
              <w:t>社会公众或服务对象满意度</w:t>
            </w:r>
          </w:p>
        </w:tc>
        <w:tc>
          <w:tcPr>
            <w:tcW w:w="500" w:type="dxa"/>
            <w:tcBorders>
              <w:top w:val="nil"/>
              <w:left w:val="nil"/>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c>
          <w:tcPr>
            <w:tcW w:w="2700" w:type="dxa"/>
            <w:tcBorders>
              <w:top w:val="nil"/>
              <w:left w:val="nil"/>
              <w:bottom w:val="single" w:color="auto" w:sz="4" w:space="0"/>
              <w:right w:val="single" w:color="auto" w:sz="4" w:space="0"/>
            </w:tcBorders>
            <w:vAlign w:val="center"/>
          </w:tcPr>
          <w:p>
            <w:pPr>
              <w:widowControl/>
              <w:shd w:val="clear"/>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90%（含）以上计6分；</w:t>
            </w:r>
            <w:r>
              <w:rPr>
                <w:rFonts w:hint="eastAsia" w:ascii="宋体" w:hAnsi="宋体" w:eastAsia="宋体" w:cs="宋体"/>
                <w:kern w:val="0"/>
                <w:sz w:val="24"/>
                <w:szCs w:val="24"/>
              </w:rPr>
              <w:br w:type="textWrapping"/>
            </w:r>
            <w:r>
              <w:rPr>
                <w:rFonts w:hint="eastAsia" w:ascii="宋体" w:hAnsi="宋体" w:eastAsia="宋体" w:cs="宋体"/>
                <w:kern w:val="0"/>
                <w:sz w:val="24"/>
                <w:szCs w:val="24"/>
              </w:rPr>
              <w:t>80%（含）-90%，计4分；</w:t>
            </w:r>
            <w:r>
              <w:rPr>
                <w:rFonts w:hint="eastAsia" w:ascii="宋体" w:hAnsi="宋体" w:eastAsia="宋体" w:cs="宋体"/>
                <w:kern w:val="0"/>
                <w:sz w:val="24"/>
                <w:szCs w:val="24"/>
              </w:rPr>
              <w:br w:type="textWrapping"/>
            </w:r>
            <w:r>
              <w:rPr>
                <w:rFonts w:hint="eastAsia" w:ascii="宋体" w:hAnsi="宋体" w:eastAsia="宋体" w:cs="宋体"/>
                <w:kern w:val="0"/>
                <w:sz w:val="24"/>
                <w:szCs w:val="24"/>
              </w:rPr>
              <w:t>70%（含）-80%，计2分；</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低于70%计0分。</w:t>
            </w:r>
          </w:p>
        </w:tc>
        <w:tc>
          <w:tcPr>
            <w:tcW w:w="2935" w:type="dxa"/>
            <w:gridSpan w:val="2"/>
            <w:tcBorders>
              <w:top w:val="nil"/>
              <w:left w:val="nil"/>
              <w:bottom w:val="single" w:color="auto" w:sz="4" w:space="0"/>
              <w:right w:val="single" w:color="auto" w:sz="4" w:space="0"/>
            </w:tcBorders>
            <w:vAlign w:val="center"/>
          </w:tcPr>
          <w:p>
            <w:pPr>
              <w:widowControl/>
              <w:shd w:val="clear"/>
              <w:spacing w:line="2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社会公众或服务对象是指部门（单位）履行职责而影响到的部门、群体或个人，一般采取社会调查的方式。</w:t>
            </w:r>
          </w:p>
        </w:tc>
        <w:tc>
          <w:tcPr>
            <w:tcW w:w="548" w:type="dxa"/>
            <w:tcBorders>
              <w:top w:val="nil"/>
              <w:left w:val="nil"/>
              <w:bottom w:val="single" w:color="auto" w:sz="4" w:space="0"/>
              <w:right w:val="single" w:color="auto" w:sz="4" w:space="0"/>
            </w:tcBorders>
            <w:vAlign w:val="center"/>
          </w:tcPr>
          <w:p>
            <w:pPr>
              <w:widowControl/>
              <w:shd w:val="clear"/>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cs="宋体"/>
                <w:kern w:val="0"/>
                <w:sz w:val="24"/>
                <w:szCs w:val="24"/>
                <w:lang w:val="en-US" w:eastAsia="zh-CN"/>
              </w:rPr>
              <w:t>5</w:t>
            </w:r>
          </w:p>
        </w:tc>
      </w:tr>
      <w:tr>
        <w:tblPrEx>
          <w:tblLayout w:type="fixed"/>
          <w:tblCellMar>
            <w:top w:w="0" w:type="dxa"/>
            <w:left w:w="108" w:type="dxa"/>
            <w:bottom w:w="0" w:type="dxa"/>
            <w:right w:w="108" w:type="dxa"/>
          </w:tblCellMar>
        </w:tblPrEx>
        <w:trPr>
          <w:trHeight w:val="870" w:hRule="atLeast"/>
          <w:jc w:val="center"/>
        </w:trPr>
        <w:tc>
          <w:tcPr>
            <w:tcW w:w="1785" w:type="dxa"/>
            <w:gridSpan w:val="3"/>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合计</w:t>
            </w:r>
          </w:p>
        </w:tc>
        <w:tc>
          <w:tcPr>
            <w:tcW w:w="422" w:type="dxa"/>
            <w:tcBorders>
              <w:top w:val="single" w:color="auto" w:sz="4" w:space="0"/>
              <w:left w:val="single" w:color="auto" w:sz="4" w:space="0"/>
              <w:bottom w:val="single" w:color="auto" w:sz="4" w:space="0"/>
              <w:right w:val="single" w:color="auto" w:sz="4" w:space="0"/>
            </w:tcBorders>
            <w:vAlign w:val="center"/>
          </w:tcPr>
          <w:p>
            <w:pPr>
              <w:shd w:val="clear"/>
              <w:rPr>
                <w:rFonts w:hint="eastAsia" w:ascii="宋体" w:hAnsi="宋体" w:eastAsia="宋体" w:cs="宋体"/>
                <w:sz w:val="24"/>
                <w:szCs w:val="24"/>
              </w:rPr>
            </w:pPr>
          </w:p>
        </w:tc>
        <w:tc>
          <w:tcPr>
            <w:tcW w:w="1141" w:type="dxa"/>
            <w:tcBorders>
              <w:top w:val="single" w:color="auto" w:sz="4" w:space="0"/>
              <w:left w:val="single" w:color="auto" w:sz="4" w:space="0"/>
              <w:bottom w:val="single" w:color="auto" w:sz="4" w:space="0"/>
              <w:right w:val="single" w:color="auto" w:sz="4" w:space="0"/>
            </w:tcBorders>
            <w:vAlign w:val="center"/>
          </w:tcPr>
          <w:p>
            <w:pPr>
              <w:widowControl/>
              <w:shd w:val="clear"/>
              <w:jc w:val="left"/>
              <w:rPr>
                <w:rFonts w:hint="eastAsia" w:ascii="宋体" w:hAnsi="宋体" w:eastAsia="宋体" w:cs="宋体"/>
                <w:kern w:val="0"/>
                <w:sz w:val="24"/>
                <w:szCs w:val="24"/>
              </w:rPr>
            </w:pPr>
          </w:p>
        </w:tc>
        <w:tc>
          <w:tcPr>
            <w:tcW w:w="500" w:type="dxa"/>
            <w:tcBorders>
              <w:top w:val="single" w:color="auto" w:sz="4" w:space="0"/>
              <w:left w:val="single" w:color="auto" w:sz="4" w:space="0"/>
              <w:bottom w:val="single" w:color="auto" w:sz="4" w:space="0"/>
              <w:right w:val="single" w:color="auto" w:sz="4" w:space="0"/>
            </w:tcBorders>
            <w:vAlign w:val="center"/>
          </w:tcPr>
          <w:p>
            <w:pPr>
              <w:widowControl/>
              <w:shd w:val="clear"/>
              <w:jc w:val="center"/>
              <w:rPr>
                <w:rFonts w:hint="eastAsia" w:ascii="宋体" w:hAnsi="宋体" w:eastAsia="宋体" w:cs="宋体"/>
                <w:kern w:val="0"/>
                <w:sz w:val="24"/>
                <w:szCs w:val="24"/>
              </w:rPr>
            </w:pPr>
          </w:p>
        </w:tc>
        <w:tc>
          <w:tcPr>
            <w:tcW w:w="2700" w:type="dxa"/>
            <w:tcBorders>
              <w:top w:val="single" w:color="auto" w:sz="4" w:space="0"/>
              <w:left w:val="single" w:color="auto" w:sz="4" w:space="0"/>
              <w:bottom w:val="single" w:color="auto" w:sz="4" w:space="0"/>
              <w:right w:val="single" w:color="auto" w:sz="4" w:space="0"/>
            </w:tcBorders>
            <w:vAlign w:val="center"/>
          </w:tcPr>
          <w:p>
            <w:pPr>
              <w:widowControl/>
              <w:shd w:val="clear"/>
              <w:spacing w:line="260" w:lineRule="exact"/>
              <w:jc w:val="left"/>
              <w:rPr>
                <w:rFonts w:hint="eastAsia" w:ascii="宋体" w:hAnsi="宋体" w:eastAsia="宋体" w:cs="宋体"/>
                <w:kern w:val="0"/>
                <w:sz w:val="24"/>
                <w:szCs w:val="24"/>
              </w:rPr>
            </w:pPr>
          </w:p>
        </w:tc>
        <w:tc>
          <w:tcPr>
            <w:tcW w:w="2935" w:type="dxa"/>
            <w:gridSpan w:val="2"/>
            <w:tcBorders>
              <w:top w:val="single" w:color="auto" w:sz="4" w:space="0"/>
              <w:left w:val="single" w:color="auto" w:sz="4" w:space="0"/>
              <w:bottom w:val="single" w:color="auto" w:sz="4" w:space="0"/>
              <w:right w:val="single" w:color="auto" w:sz="4" w:space="0"/>
            </w:tcBorders>
            <w:vAlign w:val="center"/>
          </w:tcPr>
          <w:p>
            <w:pPr>
              <w:widowControl/>
              <w:shd w:val="clear"/>
              <w:spacing w:line="260" w:lineRule="exact"/>
              <w:jc w:val="left"/>
              <w:rPr>
                <w:rFonts w:hint="eastAsia" w:ascii="宋体" w:hAnsi="宋体" w:eastAsia="宋体" w:cs="宋体"/>
                <w:kern w:val="0"/>
                <w:sz w:val="24"/>
                <w:szCs w:val="24"/>
              </w:rPr>
            </w:pPr>
          </w:p>
        </w:tc>
        <w:tc>
          <w:tcPr>
            <w:tcW w:w="548" w:type="dxa"/>
            <w:tcBorders>
              <w:top w:val="single" w:color="auto" w:sz="4" w:space="0"/>
              <w:left w:val="single" w:color="auto" w:sz="4" w:space="0"/>
              <w:bottom w:val="single" w:color="auto" w:sz="4" w:space="0"/>
              <w:right w:val="single" w:color="auto" w:sz="4" w:space="0"/>
            </w:tcBorders>
            <w:vAlign w:val="center"/>
          </w:tcPr>
          <w:p>
            <w:pPr>
              <w:widowControl/>
              <w:shd w:val="clear"/>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91.5</w:t>
            </w:r>
          </w:p>
        </w:tc>
      </w:tr>
    </w:tbl>
    <w:p>
      <w:pPr>
        <w:keepNext w:val="0"/>
        <w:keepLines w:val="0"/>
        <w:pageBreakBefore w:val="0"/>
        <w:widowControl w:val="0"/>
        <w:shd w:val="clear"/>
        <w:kinsoku/>
        <w:wordWrap/>
        <w:overflowPunct/>
        <w:topLinePunct w:val="0"/>
        <w:autoSpaceDE/>
        <w:autoSpaceDN/>
        <w:bidi w:val="0"/>
        <w:adjustRightInd/>
        <w:snapToGrid/>
        <w:spacing w:before="157" w:beforeLines="50" w:after="157" w:afterLines="50" w:line="360" w:lineRule="auto"/>
        <w:ind w:right="0" w:rightChars="0"/>
        <w:textAlignment w:val="auto"/>
        <w:rPr>
          <w:rFonts w:hint="eastAsia" w:ascii="仿宋_GB2312" w:hAnsi="仿宋_GB2312" w:eastAsia="仿宋_GB2312" w:cs="仿宋_GB2312"/>
          <w:b/>
          <w:bCs/>
          <w:sz w:val="30"/>
          <w:szCs w:val="30"/>
        </w:rPr>
      </w:pPr>
    </w:p>
    <w:p>
      <w:pPr>
        <w:keepNext w:val="0"/>
        <w:keepLines w:val="0"/>
        <w:pageBreakBefore w:val="0"/>
        <w:widowControl w:val="0"/>
        <w:shd w:val="clear"/>
        <w:kinsoku/>
        <w:wordWrap/>
        <w:overflowPunct/>
        <w:topLinePunct w:val="0"/>
        <w:autoSpaceDE/>
        <w:autoSpaceDN/>
        <w:bidi w:val="0"/>
        <w:adjustRightInd/>
        <w:snapToGrid/>
        <w:spacing w:before="157" w:beforeLines="50" w:after="157" w:afterLines="50" w:line="360" w:lineRule="auto"/>
        <w:ind w:left="0" w:leftChars="0" w:right="0" w:rightChars="0" w:firstLine="5280" w:firstLineChars="1650"/>
        <w:jc w:val="both"/>
        <w:textAlignment w:val="auto"/>
        <w:outlineLvl w:val="9"/>
        <w:rPr>
          <w:rFonts w:hint="eastAsia" w:ascii="宋体" w:hAnsi="宋体" w:eastAsia="宋体" w:cs="宋体"/>
          <w:sz w:val="32"/>
          <w:szCs w:val="32"/>
        </w:rPr>
      </w:pPr>
    </w:p>
    <w:p>
      <w:pPr>
        <w:keepNext w:val="0"/>
        <w:keepLines w:val="0"/>
        <w:pageBreakBefore w:val="0"/>
        <w:widowControl w:val="0"/>
        <w:shd w:val="clear"/>
        <w:kinsoku/>
        <w:wordWrap/>
        <w:overflowPunct/>
        <w:topLinePunct w:val="0"/>
        <w:autoSpaceDE/>
        <w:autoSpaceDN/>
        <w:bidi w:val="0"/>
        <w:adjustRightInd w:val="0"/>
        <w:spacing w:before="157" w:beforeLines="50" w:after="157" w:afterLines="50" w:line="360" w:lineRule="auto"/>
        <w:ind w:left="0" w:leftChars="0" w:right="641"/>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shd w:val="clear"/>
        <w:kinsoku/>
        <w:wordWrap/>
        <w:overflowPunct/>
        <w:topLinePunct w:val="0"/>
        <w:autoSpaceDE/>
        <w:autoSpaceDN/>
        <w:bidi w:val="0"/>
        <w:adjustRightInd w:val="0"/>
        <w:snapToGrid w:val="0"/>
        <w:spacing w:before="157" w:beforeLines="50" w:after="157" w:afterLines="50" w:line="360" w:lineRule="auto"/>
        <w:ind w:left="0" w:leftChars="0" w:firstLine="600" w:firstLineChars="200"/>
        <w:textAlignment w:val="auto"/>
        <w:outlineLvl w:val="9"/>
        <w:rPr>
          <w:rFonts w:hint="eastAsia" w:ascii="仿宋_GB2312" w:hAnsi="仿宋_GB2312" w:eastAsia="仿宋_GB2312" w:cs="仿宋_GB2312"/>
          <w:sz w:val="30"/>
          <w:szCs w:val="30"/>
        </w:rPr>
      </w:pPr>
    </w:p>
    <w:p>
      <w:pPr>
        <w:keepNext w:val="0"/>
        <w:keepLines w:val="0"/>
        <w:pageBreakBefore w:val="0"/>
        <w:widowControl w:val="0"/>
        <w:shd w:val="clear"/>
        <w:kinsoku/>
        <w:wordWrap/>
        <w:overflowPunct/>
        <w:topLinePunct w:val="0"/>
        <w:autoSpaceDE/>
        <w:autoSpaceDN/>
        <w:bidi w:val="0"/>
        <w:adjustRightInd w:val="0"/>
        <w:snapToGrid w:val="0"/>
        <w:spacing w:before="157" w:beforeLines="50" w:after="157" w:afterLines="50" w:line="360" w:lineRule="auto"/>
        <w:ind w:left="0" w:leftChars="0" w:firstLine="600" w:firstLineChars="200"/>
        <w:textAlignment w:val="auto"/>
        <w:outlineLvl w:val="9"/>
        <w:rPr>
          <w:rFonts w:hint="eastAsia" w:ascii="仿宋_GB2312" w:hAnsi="仿宋_GB2312" w:eastAsia="仿宋_GB2312" w:cs="仿宋_GB2312"/>
          <w:sz w:val="30"/>
          <w:szCs w:val="30"/>
        </w:rPr>
      </w:pPr>
    </w:p>
    <w:p>
      <w:pPr>
        <w:keepNext w:val="0"/>
        <w:keepLines w:val="0"/>
        <w:pageBreakBefore w:val="0"/>
        <w:widowControl w:val="0"/>
        <w:shd w:val="clear"/>
        <w:kinsoku/>
        <w:wordWrap/>
        <w:overflowPunct/>
        <w:topLinePunct w:val="0"/>
        <w:autoSpaceDE/>
        <w:autoSpaceDN/>
        <w:bidi w:val="0"/>
        <w:adjustRightInd w:val="0"/>
        <w:snapToGrid w:val="0"/>
        <w:spacing w:before="157" w:beforeLines="50" w:after="157" w:afterLines="50" w:line="360" w:lineRule="auto"/>
        <w:ind w:left="0" w:leftChars="0" w:firstLine="600" w:firstLineChars="200"/>
        <w:textAlignment w:val="auto"/>
        <w:outlineLvl w:val="9"/>
        <w:rPr>
          <w:rFonts w:hint="eastAsia" w:ascii="仿宋_GB2312" w:hAnsi="仿宋_GB2312" w:eastAsia="仿宋_GB2312" w:cs="仿宋_GB2312"/>
          <w:sz w:val="30"/>
          <w:szCs w:val="30"/>
        </w:rPr>
      </w:pPr>
    </w:p>
    <w:p>
      <w:pPr>
        <w:keepNext w:val="0"/>
        <w:keepLines w:val="0"/>
        <w:pageBreakBefore w:val="0"/>
        <w:widowControl w:val="0"/>
        <w:shd w:val="clear"/>
        <w:kinsoku/>
        <w:wordWrap/>
        <w:overflowPunct/>
        <w:topLinePunct w:val="0"/>
        <w:autoSpaceDE/>
        <w:autoSpaceDN/>
        <w:bidi w:val="0"/>
        <w:adjustRightInd w:val="0"/>
        <w:snapToGrid w:val="0"/>
        <w:spacing w:before="157" w:beforeLines="50" w:after="157" w:afterLines="50" w:line="360" w:lineRule="auto"/>
        <w:ind w:left="0" w:leftChars="0" w:firstLine="600" w:firstLineChars="200"/>
        <w:textAlignment w:val="auto"/>
        <w:outlineLvl w:val="9"/>
        <w:rPr>
          <w:rFonts w:hint="eastAsia" w:ascii="仿宋_GB2312" w:hAnsi="仿宋_GB2312" w:eastAsia="仿宋_GB2312" w:cs="仿宋_GB2312"/>
          <w:sz w:val="30"/>
          <w:szCs w:val="30"/>
        </w:rPr>
      </w:pPr>
    </w:p>
    <w:p>
      <w:pPr>
        <w:keepNext w:val="0"/>
        <w:keepLines w:val="0"/>
        <w:pageBreakBefore w:val="0"/>
        <w:widowControl w:val="0"/>
        <w:shd w:val="clear"/>
        <w:kinsoku/>
        <w:wordWrap/>
        <w:overflowPunct/>
        <w:topLinePunct w:val="0"/>
        <w:autoSpaceDE/>
        <w:autoSpaceDN/>
        <w:bidi w:val="0"/>
        <w:adjustRightInd w:val="0"/>
        <w:snapToGrid w:val="0"/>
        <w:spacing w:before="157" w:beforeLines="50" w:after="157" w:afterLines="50" w:line="360" w:lineRule="auto"/>
        <w:ind w:left="0" w:leftChars="0" w:firstLine="600" w:firstLineChars="200"/>
        <w:textAlignment w:val="auto"/>
        <w:outlineLvl w:val="9"/>
        <w:rPr>
          <w:rFonts w:hint="eastAsia" w:ascii="仿宋_GB2312" w:hAnsi="仿宋_GB2312" w:eastAsia="仿宋_GB2312" w:cs="仿宋_GB2312"/>
          <w:sz w:val="30"/>
          <w:szCs w:val="30"/>
        </w:rPr>
      </w:pPr>
    </w:p>
    <w:p>
      <w:pPr>
        <w:keepNext w:val="0"/>
        <w:keepLines w:val="0"/>
        <w:pageBreakBefore w:val="0"/>
        <w:widowControl w:val="0"/>
        <w:shd w:val="clear"/>
        <w:kinsoku/>
        <w:wordWrap/>
        <w:overflowPunct/>
        <w:topLinePunct w:val="0"/>
        <w:autoSpaceDE/>
        <w:autoSpaceDN/>
        <w:bidi w:val="0"/>
        <w:adjustRightInd w:val="0"/>
        <w:snapToGrid w:val="0"/>
        <w:spacing w:before="157" w:beforeLines="50" w:after="157" w:afterLines="50" w:line="360" w:lineRule="auto"/>
        <w:ind w:left="0" w:leftChars="0" w:firstLine="600" w:firstLineChars="200"/>
        <w:textAlignment w:val="auto"/>
        <w:outlineLvl w:val="9"/>
        <w:rPr>
          <w:rFonts w:hint="eastAsia" w:ascii="仿宋_GB2312" w:hAnsi="仿宋_GB2312" w:eastAsia="仿宋_GB2312" w:cs="仿宋_GB2312"/>
          <w:sz w:val="30"/>
          <w:szCs w:val="30"/>
        </w:rPr>
      </w:pPr>
    </w:p>
    <w:p>
      <w:pPr>
        <w:keepNext w:val="0"/>
        <w:keepLines w:val="0"/>
        <w:pageBreakBefore w:val="0"/>
        <w:widowControl w:val="0"/>
        <w:shd w:val="clear"/>
        <w:kinsoku/>
        <w:wordWrap/>
        <w:overflowPunct/>
        <w:topLinePunct w:val="0"/>
        <w:autoSpaceDE/>
        <w:autoSpaceDN/>
        <w:bidi w:val="0"/>
        <w:adjustRightInd w:val="0"/>
        <w:snapToGrid w:val="0"/>
        <w:spacing w:before="157" w:beforeLines="50" w:after="157" w:afterLines="50" w:line="360" w:lineRule="auto"/>
        <w:ind w:left="0" w:leftChars="0" w:firstLine="600" w:firstLineChars="200"/>
        <w:textAlignment w:val="auto"/>
        <w:outlineLvl w:val="9"/>
        <w:rPr>
          <w:rFonts w:hint="eastAsia" w:ascii="仿宋_GB2312" w:hAnsi="仿宋_GB2312" w:eastAsia="仿宋_GB2312" w:cs="仿宋_GB2312"/>
          <w:sz w:val="30"/>
          <w:szCs w:val="30"/>
        </w:rPr>
      </w:pPr>
    </w:p>
    <w:p>
      <w:pPr>
        <w:keepNext w:val="0"/>
        <w:keepLines w:val="0"/>
        <w:pageBreakBefore w:val="0"/>
        <w:widowControl w:val="0"/>
        <w:shd w:val="clear"/>
        <w:kinsoku/>
        <w:wordWrap/>
        <w:overflowPunct/>
        <w:topLinePunct w:val="0"/>
        <w:autoSpaceDE/>
        <w:autoSpaceDN/>
        <w:bidi w:val="0"/>
        <w:adjustRightInd w:val="0"/>
        <w:snapToGrid w:val="0"/>
        <w:spacing w:before="157" w:beforeLines="50" w:after="157" w:afterLines="50" w:line="360" w:lineRule="auto"/>
        <w:ind w:left="0" w:leftChars="0" w:firstLine="600" w:firstLineChars="200"/>
        <w:textAlignment w:val="auto"/>
        <w:outlineLvl w:val="9"/>
        <w:rPr>
          <w:rFonts w:hint="eastAsia" w:ascii="仿宋_GB2312" w:hAnsi="仿宋_GB2312" w:eastAsia="仿宋_GB2312" w:cs="仿宋_GB2312"/>
          <w:sz w:val="30"/>
          <w:szCs w:val="30"/>
        </w:rPr>
      </w:pPr>
    </w:p>
    <w:p>
      <w:pPr>
        <w:keepNext w:val="0"/>
        <w:keepLines w:val="0"/>
        <w:pageBreakBefore w:val="0"/>
        <w:widowControl w:val="0"/>
        <w:shd w:val="clear"/>
        <w:kinsoku/>
        <w:wordWrap/>
        <w:overflowPunct/>
        <w:topLinePunct w:val="0"/>
        <w:autoSpaceDE/>
        <w:autoSpaceDN/>
        <w:bidi w:val="0"/>
        <w:adjustRightInd w:val="0"/>
        <w:snapToGrid w:val="0"/>
        <w:spacing w:before="157" w:beforeLines="50" w:after="157" w:afterLines="50" w:line="360" w:lineRule="auto"/>
        <w:ind w:left="0" w:leftChars="0" w:firstLine="600" w:firstLineChars="200"/>
        <w:textAlignment w:val="auto"/>
        <w:outlineLvl w:val="9"/>
        <w:rPr>
          <w:rFonts w:hint="eastAsia" w:ascii="仿宋_GB2312" w:hAnsi="仿宋_GB2312" w:eastAsia="仿宋_GB2312" w:cs="仿宋_GB2312"/>
          <w:sz w:val="30"/>
          <w:szCs w:val="30"/>
        </w:rPr>
      </w:pPr>
    </w:p>
    <w:p>
      <w:pPr>
        <w:pStyle w:val="2"/>
        <w:keepNext w:val="0"/>
        <w:keepLines w:val="0"/>
        <w:pageBreakBefore w:val="0"/>
        <w:shd w:val="clear"/>
        <w:kinsoku/>
        <w:wordWrap/>
        <w:overflowPunct/>
        <w:topLinePunct w:val="0"/>
        <w:autoSpaceDE/>
        <w:autoSpaceDN/>
        <w:bidi w:val="0"/>
        <w:adjustRightInd w:val="0"/>
        <w:snapToGrid w:val="0"/>
        <w:spacing w:before="157" w:beforeLines="50" w:beforeAutospacing="0" w:after="157" w:afterLines="50" w:afterAutospacing="0" w:line="360" w:lineRule="auto"/>
        <w:ind w:left="0" w:leftChars="0" w:right="0" w:rightChars="0"/>
        <w:jc w:val="center"/>
        <w:textAlignment w:val="auto"/>
        <w:rPr>
          <w:rFonts w:hint="eastAsia" w:ascii="仿宋_GB2312" w:hAnsi="仿宋_GB2312" w:eastAsia="仿宋_GB2312" w:cs="仿宋_GB2312"/>
          <w:b/>
          <w:bCs/>
          <w:sz w:val="30"/>
          <w:szCs w:val="30"/>
        </w:rPr>
      </w:pPr>
    </w:p>
    <w:p>
      <w:pPr>
        <w:keepNext w:val="0"/>
        <w:keepLines w:val="0"/>
        <w:pageBreakBefore w:val="0"/>
        <w:shd w:val="clear"/>
        <w:kinsoku/>
        <w:wordWrap/>
        <w:overflowPunct/>
        <w:topLinePunct w:val="0"/>
        <w:autoSpaceDE/>
        <w:autoSpaceDN/>
        <w:bidi w:val="0"/>
        <w:spacing w:before="157" w:beforeLines="50" w:beforeAutospacing="0" w:after="157" w:afterLines="50" w:afterAutospacing="0" w:line="360" w:lineRule="auto"/>
        <w:ind w:left="0" w:leftChars="0" w:right="0" w:rightChars="0" w:firstLine="643" w:firstLineChars="200"/>
        <w:textAlignment w:val="auto"/>
        <w:rPr>
          <w:rFonts w:hint="eastAsia" w:ascii="宋体" w:hAnsi="宋体" w:eastAsia="宋体" w:cs="宋体"/>
          <w:b/>
          <w:bCs/>
          <w:sz w:val="32"/>
          <w:szCs w:val="32"/>
        </w:rPr>
      </w:pPr>
    </w:p>
    <w:p>
      <w:pPr>
        <w:keepNext w:val="0"/>
        <w:keepLines w:val="0"/>
        <w:pageBreakBefore w:val="0"/>
        <w:shd w:val="clear"/>
        <w:kinsoku/>
        <w:wordWrap/>
        <w:overflowPunct/>
        <w:topLinePunct w:val="0"/>
        <w:autoSpaceDE/>
        <w:autoSpaceDN/>
        <w:bidi w:val="0"/>
        <w:spacing w:before="157" w:beforeLines="50" w:beforeAutospacing="0" w:after="157" w:afterLines="50" w:afterAutospacing="0" w:line="360" w:lineRule="auto"/>
        <w:ind w:left="0" w:leftChars="0" w:right="0" w:rightChars="0" w:firstLine="643" w:firstLineChars="200"/>
        <w:textAlignment w:val="auto"/>
        <w:rPr>
          <w:rFonts w:hint="eastAsia" w:ascii="宋体" w:hAnsi="宋体" w:eastAsia="宋体" w:cs="宋体"/>
          <w:b/>
          <w:bCs/>
          <w:sz w:val="32"/>
          <w:szCs w:val="32"/>
        </w:rPr>
      </w:pPr>
    </w:p>
    <w:p>
      <w:pPr>
        <w:keepNext w:val="0"/>
        <w:keepLines w:val="0"/>
        <w:pageBreakBefore w:val="0"/>
        <w:shd w:val="clear"/>
        <w:kinsoku/>
        <w:wordWrap/>
        <w:overflowPunct/>
        <w:topLinePunct w:val="0"/>
        <w:autoSpaceDE/>
        <w:autoSpaceDN/>
        <w:bidi w:val="0"/>
        <w:spacing w:before="157" w:beforeLines="50" w:beforeAutospacing="0" w:after="157" w:afterLines="50" w:afterAutospacing="0" w:line="360" w:lineRule="auto"/>
        <w:ind w:left="0" w:leftChars="0" w:right="0" w:rightChars="0" w:firstLine="643" w:firstLineChars="200"/>
        <w:textAlignment w:val="auto"/>
        <w:rPr>
          <w:rFonts w:hint="eastAsia" w:ascii="宋体" w:hAnsi="宋体" w:eastAsia="宋体" w:cs="宋体"/>
          <w:b/>
          <w:bCs/>
          <w:sz w:val="32"/>
          <w:szCs w:val="32"/>
        </w:rPr>
      </w:pPr>
    </w:p>
    <w:p>
      <w:pPr>
        <w:keepNext w:val="0"/>
        <w:keepLines w:val="0"/>
        <w:pageBreakBefore w:val="0"/>
        <w:shd w:val="clear"/>
        <w:kinsoku/>
        <w:wordWrap/>
        <w:overflowPunct/>
        <w:topLinePunct w:val="0"/>
        <w:autoSpaceDE/>
        <w:autoSpaceDN/>
        <w:bidi w:val="0"/>
        <w:spacing w:before="157" w:beforeLines="50" w:beforeAutospacing="0" w:after="157" w:afterLines="50" w:afterAutospacing="0" w:line="360" w:lineRule="auto"/>
        <w:ind w:left="0" w:leftChars="0" w:right="0" w:rightChars="0" w:firstLine="643" w:firstLineChars="200"/>
        <w:textAlignment w:val="auto"/>
        <w:rPr>
          <w:rFonts w:hint="eastAsia" w:ascii="宋体" w:hAnsi="宋体" w:eastAsia="宋体" w:cs="宋体"/>
          <w:b/>
          <w:bCs/>
          <w:sz w:val="32"/>
          <w:szCs w:val="32"/>
        </w:rPr>
      </w:pPr>
    </w:p>
    <w:p>
      <w:pPr>
        <w:keepNext w:val="0"/>
        <w:keepLines w:val="0"/>
        <w:pageBreakBefore w:val="0"/>
        <w:shd w:val="clear"/>
        <w:kinsoku/>
        <w:wordWrap/>
        <w:overflowPunct/>
        <w:topLinePunct w:val="0"/>
        <w:autoSpaceDE/>
        <w:autoSpaceDN/>
        <w:bidi w:val="0"/>
        <w:spacing w:before="157" w:beforeLines="50" w:beforeAutospacing="0" w:after="157" w:afterLines="50" w:afterAutospacing="0"/>
        <w:ind w:left="0" w:leftChars="0" w:right="0" w:rightChars="0"/>
        <w:textAlignment w:val="auto"/>
        <w:rPr>
          <w:rFonts w:hint="eastAsia" w:ascii="宋体" w:hAnsi="宋体" w:eastAsia="宋体" w:cs="宋体"/>
          <w:sz w:val="30"/>
          <w:szCs w:val="30"/>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posOffset>4791710</wp:posOffset>
              </wp:positionH>
              <wp:positionV relativeFrom="paragraph">
                <wp:posOffset>-91440</wp:posOffset>
              </wp:positionV>
              <wp:extent cx="1828800" cy="304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304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30"/>
                              <w:szCs w:val="30"/>
                              <w:lang w:eastAsia="zh-CN"/>
                            </w:rPr>
                          </w:pP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77.3pt;margin-top:-7.2pt;height:24pt;width:144pt;mso-position-horizontal-relative:margin;mso-wrap-style:none;z-index:251658240;mso-width-relative:page;mso-height-relative:page;" filled="f" stroked="f" coordsize="21600,21600" o:gfxdata="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YUWWLaAAAACwEAAA8A&#10;AAAAAAAAAQAgAAAAIgAAAGRycy9kb3ducmV2LnhtbFBLAQIUABQAAAAIAIdO4kAK55tmFQIAABIE&#10;AAAOAAAAAAAAAAEAIAAAACkBAABkcnMvZTJvRG9jLnhtbFBLBQYAAAAABgAGAFkBAACwBQAAAAA=&#10;">
              <v:fill on="f" focussize="0,0"/>
              <v:stroke on="f" weight="0.5pt"/>
              <v:imagedata o:title=""/>
              <o:lock v:ext="edit" aspectratio="f"/>
              <v:textbox inset="0mm,0mm,0mm,0mm">
                <w:txbxContent>
                  <w:p>
                    <w:pPr>
                      <w:pStyle w:val="3"/>
                      <w:rPr>
                        <w:rFonts w:hint="eastAsia" w:ascii="仿宋_GB2312" w:hAnsi="仿宋_GB2312" w:eastAsia="仿宋_GB2312" w:cs="仿宋_GB2312"/>
                        <w:sz w:val="30"/>
                        <w:szCs w:val="30"/>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8F6DFB"/>
    <w:rsid w:val="03232A12"/>
    <w:rsid w:val="041610F4"/>
    <w:rsid w:val="04784665"/>
    <w:rsid w:val="05AF01EE"/>
    <w:rsid w:val="066541B7"/>
    <w:rsid w:val="067C0C28"/>
    <w:rsid w:val="07276AFD"/>
    <w:rsid w:val="078C2EA5"/>
    <w:rsid w:val="08046C87"/>
    <w:rsid w:val="08ED4CFC"/>
    <w:rsid w:val="0AE44C74"/>
    <w:rsid w:val="0BD37FE3"/>
    <w:rsid w:val="0D142FEE"/>
    <w:rsid w:val="0D646DDD"/>
    <w:rsid w:val="0D6A198B"/>
    <w:rsid w:val="0DF62329"/>
    <w:rsid w:val="0F3A5E43"/>
    <w:rsid w:val="0F5E6AAE"/>
    <w:rsid w:val="0F654AA9"/>
    <w:rsid w:val="0F6726FC"/>
    <w:rsid w:val="10CC046A"/>
    <w:rsid w:val="11EF09E0"/>
    <w:rsid w:val="1258274F"/>
    <w:rsid w:val="12FE0502"/>
    <w:rsid w:val="135B4B0D"/>
    <w:rsid w:val="143F7371"/>
    <w:rsid w:val="148A43D9"/>
    <w:rsid w:val="14B66BEF"/>
    <w:rsid w:val="15B879C3"/>
    <w:rsid w:val="19307CEC"/>
    <w:rsid w:val="196E403F"/>
    <w:rsid w:val="1A013DE5"/>
    <w:rsid w:val="1AEB2202"/>
    <w:rsid w:val="1C440DAB"/>
    <w:rsid w:val="1D755FB7"/>
    <w:rsid w:val="1E9701B6"/>
    <w:rsid w:val="1F323751"/>
    <w:rsid w:val="1FFE66C7"/>
    <w:rsid w:val="209A6B81"/>
    <w:rsid w:val="21177392"/>
    <w:rsid w:val="22000334"/>
    <w:rsid w:val="22D46788"/>
    <w:rsid w:val="236E32C0"/>
    <w:rsid w:val="23992939"/>
    <w:rsid w:val="23B673AE"/>
    <w:rsid w:val="259823ED"/>
    <w:rsid w:val="25AE6CA9"/>
    <w:rsid w:val="25D24E59"/>
    <w:rsid w:val="25E90C99"/>
    <w:rsid w:val="2635034A"/>
    <w:rsid w:val="263C563C"/>
    <w:rsid w:val="26E45546"/>
    <w:rsid w:val="28362170"/>
    <w:rsid w:val="29B866FF"/>
    <w:rsid w:val="2B0265B0"/>
    <w:rsid w:val="2B315745"/>
    <w:rsid w:val="2E664085"/>
    <w:rsid w:val="2E711E0C"/>
    <w:rsid w:val="2F0E3B3F"/>
    <w:rsid w:val="308B4799"/>
    <w:rsid w:val="32C55FAB"/>
    <w:rsid w:val="32E80817"/>
    <w:rsid w:val="33681805"/>
    <w:rsid w:val="338D0233"/>
    <w:rsid w:val="35005724"/>
    <w:rsid w:val="36DE27AA"/>
    <w:rsid w:val="3721686E"/>
    <w:rsid w:val="3764085B"/>
    <w:rsid w:val="395C5FAE"/>
    <w:rsid w:val="39696494"/>
    <w:rsid w:val="396F3EBB"/>
    <w:rsid w:val="3BC933AA"/>
    <w:rsid w:val="3C5A5603"/>
    <w:rsid w:val="3CCF0794"/>
    <w:rsid w:val="41493698"/>
    <w:rsid w:val="414B6F7A"/>
    <w:rsid w:val="418548A1"/>
    <w:rsid w:val="41ED2FA5"/>
    <w:rsid w:val="424226BA"/>
    <w:rsid w:val="42D319D7"/>
    <w:rsid w:val="4338780E"/>
    <w:rsid w:val="443C243E"/>
    <w:rsid w:val="4564468C"/>
    <w:rsid w:val="45B57178"/>
    <w:rsid w:val="485036CB"/>
    <w:rsid w:val="488B2196"/>
    <w:rsid w:val="49DF7D0A"/>
    <w:rsid w:val="4AAB6C73"/>
    <w:rsid w:val="4AE22B9E"/>
    <w:rsid w:val="4B1E7455"/>
    <w:rsid w:val="4B3B5AE3"/>
    <w:rsid w:val="4B855B25"/>
    <w:rsid w:val="4D1E6C75"/>
    <w:rsid w:val="4E932EA4"/>
    <w:rsid w:val="4E9F7931"/>
    <w:rsid w:val="4EFA1D2B"/>
    <w:rsid w:val="4F91092C"/>
    <w:rsid w:val="50072555"/>
    <w:rsid w:val="50256A95"/>
    <w:rsid w:val="50705AD9"/>
    <w:rsid w:val="50A32B07"/>
    <w:rsid w:val="50AA2C7B"/>
    <w:rsid w:val="50D54912"/>
    <w:rsid w:val="52CE7C18"/>
    <w:rsid w:val="54DB7D91"/>
    <w:rsid w:val="56552E49"/>
    <w:rsid w:val="5680530C"/>
    <w:rsid w:val="58E75809"/>
    <w:rsid w:val="593B2C5F"/>
    <w:rsid w:val="59F83851"/>
    <w:rsid w:val="5A485624"/>
    <w:rsid w:val="5A9B3833"/>
    <w:rsid w:val="5BAC0D85"/>
    <w:rsid w:val="5D4D2CAB"/>
    <w:rsid w:val="5E874B93"/>
    <w:rsid w:val="5F4056F6"/>
    <w:rsid w:val="60993988"/>
    <w:rsid w:val="60A77395"/>
    <w:rsid w:val="61104758"/>
    <w:rsid w:val="61A163CF"/>
    <w:rsid w:val="637E336D"/>
    <w:rsid w:val="65AB54C5"/>
    <w:rsid w:val="65F33BD6"/>
    <w:rsid w:val="663E4A19"/>
    <w:rsid w:val="668A1274"/>
    <w:rsid w:val="668A5BE0"/>
    <w:rsid w:val="66D319BB"/>
    <w:rsid w:val="66EF7E94"/>
    <w:rsid w:val="68A0627C"/>
    <w:rsid w:val="6A273A69"/>
    <w:rsid w:val="6ABF5344"/>
    <w:rsid w:val="6B1F3A55"/>
    <w:rsid w:val="6B5D7EFD"/>
    <w:rsid w:val="6C975276"/>
    <w:rsid w:val="6CA16D60"/>
    <w:rsid w:val="6D8C7C34"/>
    <w:rsid w:val="6E327C32"/>
    <w:rsid w:val="6EC70F47"/>
    <w:rsid w:val="6EDA5D29"/>
    <w:rsid w:val="6FA75E5D"/>
    <w:rsid w:val="6FD30B51"/>
    <w:rsid w:val="712C5579"/>
    <w:rsid w:val="72213EE0"/>
    <w:rsid w:val="7359557A"/>
    <w:rsid w:val="73BC426F"/>
    <w:rsid w:val="73BE5BA1"/>
    <w:rsid w:val="74392A0E"/>
    <w:rsid w:val="74501464"/>
    <w:rsid w:val="753C4F9B"/>
    <w:rsid w:val="7565581D"/>
    <w:rsid w:val="75CB234A"/>
    <w:rsid w:val="75CF275A"/>
    <w:rsid w:val="76F447E2"/>
    <w:rsid w:val="77864053"/>
    <w:rsid w:val="77E87F01"/>
    <w:rsid w:val="77F64FD4"/>
    <w:rsid w:val="78963F89"/>
    <w:rsid w:val="796A0DF0"/>
    <w:rsid w:val="7A192E73"/>
    <w:rsid w:val="7A2325BA"/>
    <w:rsid w:val="7A4412CA"/>
    <w:rsid w:val="7B392023"/>
    <w:rsid w:val="7B9C4895"/>
    <w:rsid w:val="7BEA72D3"/>
    <w:rsid w:val="7C4B77DB"/>
    <w:rsid w:val="7C8278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widowControl/>
      <w:spacing w:before="100" w:beforeAutospacing="1" w:after="100" w:afterAutospacing="1"/>
      <w:jc w:val="left"/>
      <w:outlineLvl w:val="1"/>
    </w:pPr>
    <w:rPr>
      <w:rFonts w:ascii="宋体" w:hAnsi="宋体" w:cs="宋体"/>
      <w:kern w:val="0"/>
      <w:sz w:val="36"/>
      <w:szCs w:val="36"/>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2017-09-04T07:42:00Z</dcterms:created>
  <dc:creator>DTHLenovo</dc:creator>
  <cp:lastModifiedBy>Administrator</cp:lastModifiedBy>
  <cp:lastPrinted>2018-04-19T02:28:00Z</cp:lastPrinted>
  <dcterms:modified xsi:type="dcterms:W3CDTF">2020-08-19T10:08:29Z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