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360" w:lineRule="auto"/>
        <w:ind w:left="1081" w:leftChars="343" w:hanging="361" w:hangingChars="100"/>
        <w:jc w:val="both"/>
        <w:rPr>
          <w:rFonts w:hint="eastAsia" w:ascii="仿宋_GB2312" w:hAnsi="仿宋_GB2312" w:eastAsia="仿宋_GB2312" w:cs="仿宋_GB2312"/>
          <w:b/>
          <w:bCs w:val="0"/>
          <w:sz w:val="36"/>
          <w:szCs w:val="36"/>
        </w:rPr>
      </w:pPr>
      <w:bookmarkStart w:id="0" w:name="_GoBack"/>
      <w:bookmarkEnd w:id="0"/>
      <w:r>
        <w:rPr>
          <w:rFonts w:hint="eastAsia" w:ascii="仿宋_GB2312" w:hAnsi="仿宋_GB2312" w:eastAsia="仿宋_GB2312" w:cs="仿宋_GB2312"/>
          <w:b/>
          <w:bCs w:val="0"/>
          <w:sz w:val="36"/>
          <w:szCs w:val="36"/>
        </w:rPr>
        <w:t>201</w:t>
      </w:r>
      <w:r>
        <w:rPr>
          <w:rFonts w:hint="eastAsia" w:ascii="仿宋_GB2312" w:hAnsi="仿宋_GB2312" w:eastAsia="仿宋_GB2312" w:cs="仿宋_GB2312"/>
          <w:b/>
          <w:bCs w:val="0"/>
          <w:sz w:val="36"/>
          <w:szCs w:val="36"/>
          <w:lang w:val="en-US" w:eastAsia="zh-CN"/>
        </w:rPr>
        <w:t>9</w:t>
      </w:r>
      <w:r>
        <w:rPr>
          <w:rFonts w:hint="eastAsia" w:ascii="仿宋_GB2312" w:hAnsi="仿宋_GB2312" w:eastAsia="仿宋_GB2312" w:cs="仿宋_GB2312"/>
          <w:b/>
          <w:bCs w:val="0"/>
          <w:sz w:val="36"/>
          <w:szCs w:val="36"/>
        </w:rPr>
        <w:t>年</w:t>
      </w:r>
      <w:r>
        <w:rPr>
          <w:rFonts w:hint="eastAsia" w:ascii="仿宋_GB2312" w:hAnsi="仿宋_GB2312" w:eastAsia="仿宋_GB2312" w:cs="仿宋_GB2312"/>
          <w:b/>
          <w:bCs w:val="0"/>
          <w:sz w:val="36"/>
          <w:szCs w:val="36"/>
          <w:lang w:eastAsia="zh-CN"/>
        </w:rPr>
        <w:t>环境卫生管理中心</w:t>
      </w:r>
      <w:r>
        <w:rPr>
          <w:rFonts w:hint="eastAsia" w:ascii="仿宋_GB2312" w:hAnsi="仿宋_GB2312" w:eastAsia="仿宋_GB2312" w:cs="仿宋_GB2312"/>
          <w:b/>
          <w:bCs w:val="0"/>
          <w:sz w:val="36"/>
          <w:szCs w:val="36"/>
        </w:rPr>
        <w:t>部门整体支出绩效</w:t>
      </w:r>
    </w:p>
    <w:p>
      <w:pPr>
        <w:shd w:val="clear"/>
        <w:spacing w:line="360" w:lineRule="auto"/>
        <w:ind w:left="1079" w:leftChars="514" w:firstLine="2168" w:firstLineChars="600"/>
        <w:jc w:val="both"/>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自评指标计分表</w:t>
      </w:r>
    </w:p>
    <w:tbl>
      <w:tblPr>
        <w:tblStyle w:val="6"/>
        <w:tblW w:w="10031" w:type="dxa"/>
        <w:jc w:val="center"/>
        <w:tblInd w:w="0" w:type="dxa"/>
        <w:tblLayout w:type="fixed"/>
        <w:tblCellMar>
          <w:top w:w="0" w:type="dxa"/>
          <w:left w:w="108" w:type="dxa"/>
          <w:bottom w:w="0" w:type="dxa"/>
          <w:right w:w="108" w:type="dxa"/>
        </w:tblCellMar>
      </w:tblPr>
      <w:tblGrid>
        <w:gridCol w:w="676"/>
        <w:gridCol w:w="423"/>
        <w:gridCol w:w="686"/>
        <w:gridCol w:w="422"/>
        <w:gridCol w:w="1141"/>
        <w:gridCol w:w="500"/>
        <w:gridCol w:w="2700"/>
        <w:gridCol w:w="1"/>
        <w:gridCol w:w="2934"/>
        <w:gridCol w:w="548"/>
      </w:tblGrid>
      <w:tr>
        <w:tblPrEx>
          <w:tblLayout w:type="fixed"/>
          <w:tblCellMar>
            <w:top w:w="0" w:type="dxa"/>
            <w:left w:w="108" w:type="dxa"/>
            <w:bottom w:w="0" w:type="dxa"/>
            <w:right w:w="108" w:type="dxa"/>
          </w:tblCellMar>
        </w:tblPrEx>
        <w:trPr>
          <w:trHeight w:val="1554" w:hRule="atLeast"/>
          <w:tblHeader/>
          <w:jc w:val="center"/>
        </w:trPr>
        <w:tc>
          <w:tcPr>
            <w:tcW w:w="676" w:type="dxa"/>
            <w:tcBorders>
              <w:top w:val="single" w:color="auto" w:sz="4" w:space="0"/>
              <w:left w:val="single" w:color="auto" w:sz="4" w:space="0"/>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rPr>
            </w:pPr>
            <w:r>
              <w:rPr>
                <w:rFonts w:hint="eastAsia" w:ascii="宋体" w:hAnsi="宋体" w:eastAsia="宋体" w:cs="宋体"/>
                <w:kern w:val="0"/>
                <w:sz w:val="24"/>
                <w:szCs w:val="24"/>
              </w:rPr>
              <w:t>一级指标</w:t>
            </w:r>
          </w:p>
        </w:tc>
        <w:tc>
          <w:tcPr>
            <w:tcW w:w="423" w:type="dxa"/>
            <w:tcBorders>
              <w:top w:val="single" w:color="auto" w:sz="4" w:space="0"/>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分值</w:t>
            </w:r>
          </w:p>
        </w:tc>
        <w:tc>
          <w:tcPr>
            <w:tcW w:w="686" w:type="dxa"/>
            <w:tcBorders>
              <w:top w:val="single" w:color="auto" w:sz="4" w:space="0"/>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二级指标</w:t>
            </w:r>
          </w:p>
        </w:tc>
        <w:tc>
          <w:tcPr>
            <w:tcW w:w="422" w:type="dxa"/>
            <w:tcBorders>
              <w:top w:val="single" w:color="auto" w:sz="4" w:space="0"/>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分值</w:t>
            </w:r>
          </w:p>
        </w:tc>
        <w:tc>
          <w:tcPr>
            <w:tcW w:w="1141" w:type="dxa"/>
            <w:tcBorders>
              <w:top w:val="single" w:color="auto" w:sz="4" w:space="0"/>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三级</w:t>
            </w:r>
          </w:p>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指标</w:t>
            </w:r>
          </w:p>
        </w:tc>
        <w:tc>
          <w:tcPr>
            <w:tcW w:w="500" w:type="dxa"/>
            <w:tcBorders>
              <w:top w:val="single" w:color="auto" w:sz="4" w:space="0"/>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分值</w:t>
            </w:r>
          </w:p>
        </w:tc>
        <w:tc>
          <w:tcPr>
            <w:tcW w:w="2701" w:type="dxa"/>
            <w:gridSpan w:val="2"/>
            <w:tcBorders>
              <w:top w:val="single" w:color="auto" w:sz="4" w:space="0"/>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评价标准</w:t>
            </w:r>
          </w:p>
        </w:tc>
        <w:tc>
          <w:tcPr>
            <w:tcW w:w="2934" w:type="dxa"/>
            <w:tcBorders>
              <w:top w:val="single" w:color="auto" w:sz="4" w:space="0"/>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指标说明</w:t>
            </w:r>
          </w:p>
        </w:tc>
        <w:tc>
          <w:tcPr>
            <w:tcW w:w="548" w:type="dxa"/>
            <w:tcBorders>
              <w:top w:val="single" w:color="auto" w:sz="4" w:space="0"/>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得分</w:t>
            </w:r>
          </w:p>
        </w:tc>
      </w:tr>
      <w:tr>
        <w:tblPrEx>
          <w:tblLayout w:type="fixed"/>
          <w:tblCellMar>
            <w:top w:w="0" w:type="dxa"/>
            <w:left w:w="108" w:type="dxa"/>
            <w:bottom w:w="0" w:type="dxa"/>
            <w:right w:w="108" w:type="dxa"/>
          </w:tblCellMar>
        </w:tblPrEx>
        <w:trPr>
          <w:trHeight w:val="2876" w:hRule="atLeast"/>
          <w:jc w:val="center"/>
        </w:trPr>
        <w:tc>
          <w:tcPr>
            <w:tcW w:w="676" w:type="dxa"/>
            <w:vMerge w:val="restart"/>
            <w:tcBorders>
              <w:top w:val="nil"/>
              <w:left w:val="single" w:color="auto" w:sz="4" w:space="0"/>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投入</w:t>
            </w:r>
          </w:p>
        </w:tc>
        <w:tc>
          <w:tcPr>
            <w:tcW w:w="423" w:type="dxa"/>
            <w:vMerge w:val="restart"/>
            <w:tcBorders>
              <w:top w:val="nil"/>
              <w:left w:val="single" w:color="auto" w:sz="4" w:space="0"/>
              <w:bottom w:val="single" w:color="000000"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686" w:type="dxa"/>
            <w:vMerge w:val="restart"/>
            <w:tcBorders>
              <w:top w:val="nil"/>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预算配置</w:t>
            </w:r>
          </w:p>
        </w:tc>
        <w:tc>
          <w:tcPr>
            <w:tcW w:w="422" w:type="dxa"/>
            <w:vMerge w:val="restart"/>
            <w:tcBorders>
              <w:top w:val="nil"/>
              <w:left w:val="single" w:color="auto" w:sz="4" w:space="0"/>
              <w:bottom w:val="single" w:color="000000"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1141"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rPr>
            </w:pPr>
            <w:r>
              <w:rPr>
                <w:rFonts w:hint="eastAsia" w:ascii="宋体" w:hAnsi="宋体" w:eastAsia="宋体" w:cs="宋体"/>
                <w:kern w:val="0"/>
                <w:sz w:val="24"/>
                <w:szCs w:val="24"/>
              </w:rPr>
              <w:t>在职人员控制率</w:t>
            </w:r>
          </w:p>
        </w:tc>
        <w:tc>
          <w:tcPr>
            <w:tcW w:w="500" w:type="dxa"/>
            <w:tcBorders>
              <w:top w:val="nil"/>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701" w:type="dxa"/>
            <w:gridSpan w:val="2"/>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以100%为标准。在职人员控制率≦100%，计7分；每超过一个百分点扣0.2分，扣完为止。</w:t>
            </w:r>
          </w:p>
        </w:tc>
        <w:tc>
          <w:tcPr>
            <w:tcW w:w="2934" w:type="dxa"/>
            <w:tcBorders>
              <w:top w:val="nil"/>
              <w:left w:val="single" w:color="auto" w:sz="4" w:space="0"/>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在职人员控制率=（在职人员数/编制数）×100%，在职人员数：部门（单位）实际在职人数，以财政分局确定的部门决算编制口径为准。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编制数：机构编制部门核定批复的部门（单位）的人员编制数。</w:t>
            </w:r>
          </w:p>
        </w:tc>
        <w:tc>
          <w:tcPr>
            <w:tcW w:w="548"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cs="宋体"/>
                <w:kern w:val="0"/>
                <w:sz w:val="24"/>
                <w:szCs w:val="24"/>
                <w:lang w:val="en-US" w:eastAsia="zh-CN"/>
              </w:rPr>
              <w:t>7</w:t>
            </w:r>
          </w:p>
        </w:tc>
      </w:tr>
      <w:tr>
        <w:tblPrEx>
          <w:tblLayout w:type="fixed"/>
          <w:tblCellMar>
            <w:top w:w="0" w:type="dxa"/>
            <w:left w:w="108" w:type="dxa"/>
            <w:bottom w:w="0" w:type="dxa"/>
            <w:right w:w="108" w:type="dxa"/>
          </w:tblCellMar>
        </w:tblPrEx>
        <w:trPr>
          <w:trHeight w:val="1617" w:hRule="atLeast"/>
          <w:jc w:val="center"/>
        </w:trPr>
        <w:tc>
          <w:tcPr>
            <w:tcW w:w="676" w:type="dxa"/>
            <w:vMerge w:val="continue"/>
            <w:tcBorders>
              <w:top w:val="nil"/>
              <w:left w:val="single" w:color="auto" w:sz="4" w:space="0"/>
              <w:bottom w:val="single" w:color="auto" w:sz="4" w:space="0"/>
              <w:right w:val="single" w:color="auto" w:sz="4" w:space="0"/>
            </w:tcBorders>
            <w:vAlign w:val="center"/>
          </w:tcPr>
          <w:p>
            <w:pPr>
              <w:shd w:val="clear"/>
              <w:rPr>
                <w:rFonts w:hint="eastAsia" w:ascii="宋体" w:hAnsi="宋体" w:eastAsia="宋体" w:cs="宋体"/>
                <w:sz w:val="24"/>
                <w:szCs w:val="24"/>
              </w:rPr>
            </w:pPr>
          </w:p>
        </w:tc>
        <w:tc>
          <w:tcPr>
            <w:tcW w:w="423"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686" w:type="dxa"/>
            <w:vMerge w:val="continue"/>
            <w:tcBorders>
              <w:top w:val="nil"/>
              <w:left w:val="nil"/>
              <w:bottom w:val="single" w:color="auto" w:sz="4" w:space="0"/>
              <w:right w:val="single" w:color="auto" w:sz="4" w:space="0"/>
            </w:tcBorders>
            <w:vAlign w:val="center"/>
          </w:tcPr>
          <w:p>
            <w:pPr>
              <w:shd w:val="clear"/>
              <w:rPr>
                <w:rFonts w:hint="eastAsia" w:ascii="宋体" w:hAnsi="宋体" w:eastAsia="宋体" w:cs="宋体"/>
                <w:sz w:val="24"/>
                <w:szCs w:val="24"/>
              </w:rPr>
            </w:pPr>
          </w:p>
        </w:tc>
        <w:tc>
          <w:tcPr>
            <w:tcW w:w="422"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1141"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rPr>
            </w:pPr>
            <w:r>
              <w:rPr>
                <w:rFonts w:hint="eastAsia" w:ascii="宋体" w:hAnsi="宋体" w:eastAsia="宋体" w:cs="宋体"/>
                <w:kern w:val="0"/>
                <w:sz w:val="24"/>
                <w:szCs w:val="24"/>
              </w:rPr>
              <w:t>“三公经费”变动率</w:t>
            </w:r>
          </w:p>
        </w:tc>
        <w:tc>
          <w:tcPr>
            <w:tcW w:w="500" w:type="dxa"/>
            <w:tcBorders>
              <w:top w:val="nil"/>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701" w:type="dxa"/>
            <w:gridSpan w:val="2"/>
            <w:tcBorders>
              <w:top w:val="single" w:color="auto" w:sz="4" w:space="0"/>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“三公经费”变动率≦0,计8分；“三公经费”＞0，每超过一个百分点扣0.8分，扣完为止。</w:t>
            </w:r>
          </w:p>
        </w:tc>
        <w:tc>
          <w:tcPr>
            <w:tcW w:w="2934" w:type="dxa"/>
            <w:tcBorders>
              <w:top w:val="nil"/>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“三公经费”变动率=[（本年度“三公经费”预算数-上年度“三公经费”预算数）/上年度“三公经费”预算数]×100%</w:t>
            </w:r>
          </w:p>
        </w:tc>
        <w:tc>
          <w:tcPr>
            <w:tcW w:w="548"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cs="宋体"/>
                <w:kern w:val="0"/>
                <w:sz w:val="24"/>
                <w:szCs w:val="24"/>
                <w:lang w:val="en-US" w:eastAsia="zh-CN"/>
              </w:rPr>
              <w:t>8</w:t>
            </w:r>
          </w:p>
        </w:tc>
      </w:tr>
      <w:tr>
        <w:tblPrEx>
          <w:tblLayout w:type="fixed"/>
          <w:tblCellMar>
            <w:top w:w="0" w:type="dxa"/>
            <w:left w:w="108" w:type="dxa"/>
            <w:bottom w:w="0" w:type="dxa"/>
            <w:right w:w="108" w:type="dxa"/>
          </w:tblCellMar>
        </w:tblPrEx>
        <w:trPr>
          <w:trHeight w:val="1617" w:hRule="atLeast"/>
          <w:jc w:val="center"/>
        </w:trPr>
        <w:tc>
          <w:tcPr>
            <w:tcW w:w="676" w:type="dxa"/>
            <w:vMerge w:val="restart"/>
            <w:tcBorders>
              <w:top w:val="nil"/>
              <w:left w:val="single" w:color="auto" w:sz="4" w:space="0"/>
              <w:bottom w:val="single" w:color="000000"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过                                                                                                                                       程</w:t>
            </w:r>
          </w:p>
        </w:tc>
        <w:tc>
          <w:tcPr>
            <w:tcW w:w="423" w:type="dxa"/>
            <w:vMerge w:val="restart"/>
            <w:tcBorders>
              <w:top w:val="nil"/>
              <w:left w:val="single" w:color="auto" w:sz="4" w:space="0"/>
              <w:bottom w:val="single" w:color="000000"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50</w:t>
            </w:r>
          </w:p>
        </w:tc>
        <w:tc>
          <w:tcPr>
            <w:tcW w:w="686" w:type="dxa"/>
            <w:vMerge w:val="restart"/>
            <w:tcBorders>
              <w:top w:val="nil"/>
              <w:left w:val="single" w:color="auto" w:sz="4" w:space="0"/>
              <w:bottom w:val="single" w:color="000000"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预算执行</w:t>
            </w:r>
          </w:p>
        </w:tc>
        <w:tc>
          <w:tcPr>
            <w:tcW w:w="422" w:type="dxa"/>
            <w:vMerge w:val="restart"/>
            <w:tcBorders>
              <w:top w:val="nil"/>
              <w:left w:val="single" w:color="auto" w:sz="4" w:space="0"/>
              <w:bottom w:val="single" w:color="000000"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1141"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rPr>
            </w:pPr>
            <w:r>
              <w:rPr>
                <w:rFonts w:hint="eastAsia" w:ascii="宋体" w:hAnsi="宋体" w:eastAsia="宋体" w:cs="宋体"/>
                <w:kern w:val="0"/>
                <w:sz w:val="24"/>
                <w:szCs w:val="24"/>
              </w:rPr>
              <w:t>预算完成率</w:t>
            </w:r>
          </w:p>
        </w:tc>
        <w:tc>
          <w:tcPr>
            <w:tcW w:w="500" w:type="dxa"/>
            <w:tcBorders>
              <w:top w:val="nil"/>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701" w:type="dxa"/>
            <w:gridSpan w:val="2"/>
            <w:tcBorders>
              <w:top w:val="nil"/>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100%计满分，每低于5%扣2分，扣完为止。</w:t>
            </w:r>
          </w:p>
        </w:tc>
        <w:tc>
          <w:tcPr>
            <w:tcW w:w="2934" w:type="dxa"/>
            <w:tcBorders>
              <w:top w:val="nil"/>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预算完成率=（上年结转+年初预算+本年追加预算-年末结余/上年结转+年初预算+本年追加预算）×100%。</w:t>
            </w:r>
          </w:p>
        </w:tc>
        <w:tc>
          <w:tcPr>
            <w:tcW w:w="548"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rPr>
            </w:pPr>
            <w:r>
              <w:rPr>
                <w:rFonts w:hint="eastAsia" w:ascii="宋体" w:hAnsi="宋体" w:cs="宋体"/>
                <w:kern w:val="0"/>
                <w:sz w:val="24"/>
                <w:szCs w:val="24"/>
                <w:lang w:val="en-US" w:eastAsia="zh-CN"/>
              </w:rPr>
              <w:t>4</w:t>
            </w: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1617" w:hRule="atLeast"/>
          <w:jc w:val="center"/>
        </w:trPr>
        <w:tc>
          <w:tcPr>
            <w:tcW w:w="676"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423"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686"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422"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1141"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rPr>
            </w:pPr>
            <w:r>
              <w:rPr>
                <w:rFonts w:hint="eastAsia" w:ascii="宋体" w:hAnsi="宋体" w:eastAsia="宋体" w:cs="宋体"/>
                <w:kern w:val="0"/>
                <w:sz w:val="24"/>
                <w:szCs w:val="24"/>
              </w:rPr>
              <w:t>预算控制率</w:t>
            </w:r>
          </w:p>
        </w:tc>
        <w:tc>
          <w:tcPr>
            <w:tcW w:w="500" w:type="dxa"/>
            <w:tcBorders>
              <w:top w:val="nil"/>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701" w:type="dxa"/>
            <w:gridSpan w:val="2"/>
            <w:tcBorders>
              <w:top w:val="nil"/>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预算控制率=0，计5分；0-10%（含），计4分；10-20%（含），计3分；20-30%（含），计2分；大于30%不得分</w:t>
            </w:r>
          </w:p>
        </w:tc>
        <w:tc>
          <w:tcPr>
            <w:tcW w:w="2934" w:type="dxa"/>
            <w:tcBorders>
              <w:top w:val="nil"/>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预算控制率=（本年追加预算/年初预算）×100%。</w:t>
            </w:r>
          </w:p>
        </w:tc>
        <w:tc>
          <w:tcPr>
            <w:tcW w:w="548"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cs="宋体"/>
                <w:kern w:val="0"/>
                <w:sz w:val="24"/>
                <w:szCs w:val="24"/>
                <w:lang w:val="en-US" w:eastAsia="zh-CN"/>
              </w:rPr>
              <w:t>5</w:t>
            </w:r>
          </w:p>
        </w:tc>
      </w:tr>
      <w:tr>
        <w:tblPrEx>
          <w:tblLayout w:type="fixed"/>
          <w:tblCellMar>
            <w:top w:w="0" w:type="dxa"/>
            <w:left w:w="108" w:type="dxa"/>
            <w:bottom w:w="0" w:type="dxa"/>
            <w:right w:w="108" w:type="dxa"/>
          </w:tblCellMar>
        </w:tblPrEx>
        <w:trPr>
          <w:trHeight w:val="1932" w:hRule="atLeast"/>
          <w:jc w:val="center"/>
        </w:trPr>
        <w:tc>
          <w:tcPr>
            <w:tcW w:w="676"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423"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686"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422"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1141"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rPr>
            </w:pPr>
            <w:r>
              <w:rPr>
                <w:rFonts w:hint="eastAsia" w:ascii="宋体" w:hAnsi="宋体" w:eastAsia="宋体" w:cs="宋体"/>
                <w:kern w:val="0"/>
                <w:sz w:val="24"/>
                <w:szCs w:val="24"/>
              </w:rPr>
              <w:t>新建楼堂馆所面积控制率</w:t>
            </w:r>
          </w:p>
        </w:tc>
        <w:tc>
          <w:tcPr>
            <w:tcW w:w="500" w:type="dxa"/>
            <w:tcBorders>
              <w:top w:val="nil"/>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701" w:type="dxa"/>
            <w:gridSpan w:val="2"/>
            <w:tcBorders>
              <w:top w:val="nil"/>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100%以下（含）计满分，每超出5%扣2分，扣完为止。没有楼梯馆所项目的部门按满分计算</w:t>
            </w:r>
          </w:p>
        </w:tc>
        <w:tc>
          <w:tcPr>
            <w:tcW w:w="2934" w:type="dxa"/>
            <w:tcBorders>
              <w:top w:val="nil"/>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楼堂馆所面积控制率=实际建设面积/批准建设面积×100%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该指标以2016年完工的新建楼堂馆所为评价内容。</w:t>
            </w:r>
          </w:p>
        </w:tc>
        <w:tc>
          <w:tcPr>
            <w:tcW w:w="548"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cs="宋体"/>
                <w:kern w:val="0"/>
                <w:sz w:val="24"/>
                <w:szCs w:val="24"/>
                <w:lang w:val="en-US" w:eastAsia="zh-CN"/>
              </w:rPr>
              <w:t>5</w:t>
            </w:r>
          </w:p>
        </w:tc>
      </w:tr>
      <w:tr>
        <w:tblPrEx>
          <w:tblLayout w:type="fixed"/>
          <w:tblCellMar>
            <w:top w:w="0" w:type="dxa"/>
            <w:left w:w="108" w:type="dxa"/>
            <w:bottom w:w="0" w:type="dxa"/>
            <w:right w:w="108" w:type="dxa"/>
          </w:tblCellMar>
        </w:tblPrEx>
        <w:trPr>
          <w:trHeight w:val="1932" w:hRule="atLeast"/>
          <w:jc w:val="center"/>
        </w:trPr>
        <w:tc>
          <w:tcPr>
            <w:tcW w:w="676"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423"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686"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422"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1141"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rPr>
            </w:pPr>
            <w:r>
              <w:rPr>
                <w:rFonts w:hint="eastAsia" w:ascii="宋体" w:hAnsi="宋体" w:eastAsia="宋体" w:cs="宋体"/>
                <w:kern w:val="0"/>
                <w:sz w:val="24"/>
                <w:szCs w:val="24"/>
              </w:rPr>
              <w:t>新建楼堂馆所投资概算控制率</w:t>
            </w:r>
          </w:p>
        </w:tc>
        <w:tc>
          <w:tcPr>
            <w:tcW w:w="500" w:type="dxa"/>
            <w:tcBorders>
              <w:top w:val="nil"/>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701" w:type="dxa"/>
            <w:gridSpan w:val="2"/>
            <w:tcBorders>
              <w:top w:val="nil"/>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100%以下（含）计满分，每超出5%扣2分，扣完为止。</w:t>
            </w:r>
          </w:p>
        </w:tc>
        <w:tc>
          <w:tcPr>
            <w:tcW w:w="2934" w:type="dxa"/>
            <w:tcBorders>
              <w:top w:val="nil"/>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楼堂馆所投资预算控制率=实际投资金额/批准投资金额×100%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该指标以2016年完工的新建楼堂馆所为评价内容。</w:t>
            </w:r>
          </w:p>
        </w:tc>
        <w:tc>
          <w:tcPr>
            <w:tcW w:w="548"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cs="宋体"/>
                <w:kern w:val="0"/>
                <w:sz w:val="24"/>
                <w:szCs w:val="24"/>
                <w:lang w:val="en-US" w:eastAsia="zh-CN"/>
              </w:rPr>
              <w:t>5</w:t>
            </w:r>
          </w:p>
        </w:tc>
      </w:tr>
      <w:tr>
        <w:tblPrEx>
          <w:tblLayout w:type="fixed"/>
          <w:tblCellMar>
            <w:top w:w="0" w:type="dxa"/>
            <w:left w:w="108" w:type="dxa"/>
            <w:bottom w:w="0" w:type="dxa"/>
            <w:right w:w="108" w:type="dxa"/>
          </w:tblCellMar>
        </w:tblPrEx>
        <w:trPr>
          <w:trHeight w:val="1935" w:hRule="atLeast"/>
          <w:jc w:val="center"/>
        </w:trPr>
        <w:tc>
          <w:tcPr>
            <w:tcW w:w="676"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423"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686" w:type="dxa"/>
            <w:vMerge w:val="restart"/>
            <w:tcBorders>
              <w:top w:val="nil"/>
              <w:left w:val="single" w:color="auto" w:sz="4" w:space="0"/>
              <w:bottom w:val="single" w:color="000000"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预算管理</w:t>
            </w:r>
          </w:p>
        </w:tc>
        <w:tc>
          <w:tcPr>
            <w:tcW w:w="422" w:type="dxa"/>
            <w:vMerge w:val="restart"/>
            <w:tcBorders>
              <w:top w:val="nil"/>
              <w:left w:val="single" w:color="auto" w:sz="4" w:space="0"/>
              <w:bottom w:val="single" w:color="000000"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30</w:t>
            </w:r>
          </w:p>
        </w:tc>
        <w:tc>
          <w:tcPr>
            <w:tcW w:w="1141"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rPr>
            </w:pPr>
            <w:r>
              <w:rPr>
                <w:rFonts w:hint="eastAsia" w:ascii="宋体" w:hAnsi="宋体" w:eastAsia="宋体" w:cs="宋体"/>
                <w:kern w:val="0"/>
                <w:sz w:val="24"/>
                <w:szCs w:val="24"/>
              </w:rPr>
              <w:t>公用经费控制率</w:t>
            </w:r>
          </w:p>
        </w:tc>
        <w:tc>
          <w:tcPr>
            <w:tcW w:w="500" w:type="dxa"/>
            <w:tcBorders>
              <w:top w:val="nil"/>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701" w:type="dxa"/>
            <w:gridSpan w:val="2"/>
            <w:tcBorders>
              <w:top w:val="nil"/>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100%以下（含）计满分，每超出1%扣1分，扣完为止。</w:t>
            </w:r>
          </w:p>
        </w:tc>
        <w:tc>
          <w:tcPr>
            <w:tcW w:w="2934" w:type="dxa"/>
            <w:tcBorders>
              <w:top w:val="nil"/>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公用经费控制率=（实际支出公用经费总额/预算安排公用经费总额）×100%。</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公用经费支出是指部门基本支出中的一般商品和服务支出。</w:t>
            </w:r>
          </w:p>
        </w:tc>
        <w:tc>
          <w:tcPr>
            <w:tcW w:w="548"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cs="宋体"/>
                <w:kern w:val="0"/>
                <w:sz w:val="24"/>
                <w:szCs w:val="24"/>
                <w:lang w:val="en-US" w:eastAsia="zh-CN"/>
              </w:rPr>
              <w:t>7</w:t>
            </w:r>
          </w:p>
        </w:tc>
      </w:tr>
      <w:tr>
        <w:tblPrEx>
          <w:tblLayout w:type="fixed"/>
          <w:tblCellMar>
            <w:top w:w="0" w:type="dxa"/>
            <w:left w:w="108" w:type="dxa"/>
            <w:bottom w:w="0" w:type="dxa"/>
            <w:right w:w="108" w:type="dxa"/>
          </w:tblCellMar>
        </w:tblPrEx>
        <w:trPr>
          <w:trHeight w:val="1678" w:hRule="atLeast"/>
          <w:jc w:val="center"/>
        </w:trPr>
        <w:tc>
          <w:tcPr>
            <w:tcW w:w="676"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423"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686"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422"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1141"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rPr>
            </w:pPr>
            <w:r>
              <w:rPr>
                <w:rFonts w:hint="eastAsia" w:ascii="宋体" w:hAnsi="宋体" w:eastAsia="宋体" w:cs="宋体"/>
                <w:kern w:val="0"/>
                <w:sz w:val="24"/>
                <w:szCs w:val="24"/>
              </w:rPr>
              <w:t>“三公经费”控制率</w:t>
            </w:r>
          </w:p>
        </w:tc>
        <w:tc>
          <w:tcPr>
            <w:tcW w:w="500" w:type="dxa"/>
            <w:tcBorders>
              <w:top w:val="nil"/>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701" w:type="dxa"/>
            <w:gridSpan w:val="2"/>
            <w:tcBorders>
              <w:top w:val="nil"/>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100%以下（含）计满分，每超出1%扣1分，扣完为止。</w:t>
            </w:r>
          </w:p>
        </w:tc>
        <w:tc>
          <w:tcPr>
            <w:tcW w:w="2934" w:type="dxa"/>
            <w:tcBorders>
              <w:top w:val="nil"/>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“三公经费”控制率=（“三公经费”实际支出数/“三公经费”预算安排数）×100%。</w:t>
            </w:r>
          </w:p>
        </w:tc>
        <w:tc>
          <w:tcPr>
            <w:tcW w:w="548"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cs="宋体"/>
                <w:kern w:val="0"/>
                <w:sz w:val="24"/>
                <w:szCs w:val="24"/>
                <w:lang w:val="en-US" w:eastAsia="zh-CN"/>
              </w:rPr>
              <w:t>8</w:t>
            </w:r>
          </w:p>
        </w:tc>
      </w:tr>
      <w:tr>
        <w:tblPrEx>
          <w:tblLayout w:type="fixed"/>
          <w:tblCellMar>
            <w:top w:w="0" w:type="dxa"/>
            <w:left w:w="108" w:type="dxa"/>
            <w:bottom w:w="0" w:type="dxa"/>
            <w:right w:w="108" w:type="dxa"/>
          </w:tblCellMar>
        </w:tblPrEx>
        <w:trPr>
          <w:trHeight w:val="2561" w:hRule="atLeast"/>
          <w:jc w:val="center"/>
        </w:trPr>
        <w:tc>
          <w:tcPr>
            <w:tcW w:w="676" w:type="dxa"/>
            <w:vMerge w:val="restart"/>
            <w:tcBorders>
              <w:top w:val="single" w:color="auto" w:sz="4" w:space="0"/>
              <w:left w:val="single" w:color="auto" w:sz="4" w:space="0"/>
              <w:bottom w:val="single" w:color="000000" w:sz="4" w:space="0"/>
              <w:right w:val="single" w:color="auto" w:sz="4" w:space="0"/>
            </w:tcBorders>
            <w:vAlign w:val="center"/>
          </w:tcPr>
          <w:p>
            <w:pPr>
              <w:shd w:val="clear"/>
              <w:jc w:val="left"/>
              <w:rPr>
                <w:rFonts w:hint="eastAsia" w:ascii="宋体" w:hAnsi="宋体" w:eastAsia="宋体" w:cs="宋体"/>
                <w:kern w:val="0"/>
                <w:sz w:val="24"/>
                <w:szCs w:val="24"/>
              </w:rPr>
            </w:pPr>
            <w:r>
              <w:rPr>
                <w:rFonts w:hint="eastAsia" w:ascii="宋体" w:hAnsi="宋体" w:eastAsia="宋体" w:cs="宋体"/>
                <w:kern w:val="0"/>
                <w:sz w:val="24"/>
                <w:szCs w:val="24"/>
              </w:rPr>
              <w:t>过                                                                                                                                       程</w:t>
            </w:r>
          </w:p>
        </w:tc>
        <w:tc>
          <w:tcPr>
            <w:tcW w:w="423" w:type="dxa"/>
            <w:vMerge w:val="restart"/>
            <w:tcBorders>
              <w:top w:val="single" w:color="auto" w:sz="4" w:space="0"/>
              <w:left w:val="single" w:color="auto" w:sz="4" w:space="0"/>
              <w:bottom w:val="single" w:color="000000" w:sz="4" w:space="0"/>
              <w:right w:val="single" w:color="auto" w:sz="4" w:space="0"/>
            </w:tcBorders>
            <w:vAlign w:val="center"/>
          </w:tcPr>
          <w:p>
            <w:pPr>
              <w:shd w:val="clear"/>
              <w:jc w:val="left"/>
              <w:rPr>
                <w:rFonts w:hint="eastAsia" w:ascii="宋体" w:hAnsi="宋体" w:eastAsia="宋体" w:cs="宋体"/>
                <w:kern w:val="0"/>
                <w:sz w:val="24"/>
                <w:szCs w:val="24"/>
              </w:rPr>
            </w:pPr>
            <w:r>
              <w:rPr>
                <w:rFonts w:hint="eastAsia" w:ascii="宋体" w:hAnsi="宋体" w:eastAsia="宋体" w:cs="宋体"/>
                <w:kern w:val="0"/>
                <w:sz w:val="24"/>
                <w:szCs w:val="24"/>
              </w:rPr>
              <w:t>50</w:t>
            </w:r>
          </w:p>
        </w:tc>
        <w:tc>
          <w:tcPr>
            <w:tcW w:w="686" w:type="dxa"/>
            <w:vMerge w:val="restart"/>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rPr>
            </w:pPr>
            <w:r>
              <w:rPr>
                <w:rFonts w:hint="eastAsia" w:ascii="宋体" w:hAnsi="宋体" w:eastAsia="宋体" w:cs="宋体"/>
                <w:kern w:val="0"/>
                <w:sz w:val="24"/>
                <w:szCs w:val="24"/>
              </w:rPr>
              <w:t>预算管理</w:t>
            </w:r>
          </w:p>
        </w:tc>
        <w:tc>
          <w:tcPr>
            <w:tcW w:w="422"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1141"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rPr>
            </w:pPr>
            <w:r>
              <w:rPr>
                <w:rFonts w:hint="eastAsia" w:ascii="宋体" w:hAnsi="宋体" w:eastAsia="宋体" w:cs="宋体"/>
                <w:kern w:val="0"/>
                <w:sz w:val="24"/>
                <w:szCs w:val="24"/>
              </w:rPr>
              <w:t>管理制度健全性</w:t>
            </w:r>
          </w:p>
        </w:tc>
        <w:tc>
          <w:tcPr>
            <w:tcW w:w="500" w:type="dxa"/>
            <w:tcBorders>
              <w:top w:val="nil"/>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701" w:type="dxa"/>
            <w:gridSpan w:val="2"/>
            <w:tcBorders>
              <w:top w:val="nil"/>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每出现一例不符合要求的扣2分，扣完为止。</w:t>
            </w:r>
          </w:p>
        </w:tc>
        <w:tc>
          <w:tcPr>
            <w:tcW w:w="2934" w:type="dxa"/>
            <w:tcBorders>
              <w:top w:val="nil"/>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①有内部财务管理制度、会计核算制度等管理制度；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②有本部门厉行节约制度；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③相关管理制度合法、合规、完整；④相关管理制度得到有效执行。</w:t>
            </w:r>
          </w:p>
        </w:tc>
        <w:tc>
          <w:tcPr>
            <w:tcW w:w="548"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cs="宋体"/>
                <w:kern w:val="0"/>
                <w:sz w:val="24"/>
                <w:szCs w:val="24"/>
                <w:lang w:val="en-US" w:eastAsia="zh-CN"/>
              </w:rPr>
              <w:t>7</w:t>
            </w:r>
          </w:p>
        </w:tc>
      </w:tr>
      <w:tr>
        <w:tblPrEx>
          <w:tblLayout w:type="fixed"/>
          <w:tblCellMar>
            <w:top w:w="0" w:type="dxa"/>
            <w:left w:w="108" w:type="dxa"/>
            <w:bottom w:w="0" w:type="dxa"/>
            <w:right w:w="108" w:type="dxa"/>
          </w:tblCellMar>
        </w:tblPrEx>
        <w:trPr>
          <w:trHeight w:val="3191" w:hRule="atLeast"/>
          <w:jc w:val="center"/>
        </w:trPr>
        <w:tc>
          <w:tcPr>
            <w:tcW w:w="676" w:type="dxa"/>
            <w:vMerge w:val="continue"/>
            <w:tcBorders>
              <w:top w:val="single" w:color="auto" w:sz="4" w:space="0"/>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423" w:type="dxa"/>
            <w:vMerge w:val="continue"/>
            <w:tcBorders>
              <w:top w:val="single" w:color="auto" w:sz="4" w:space="0"/>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686" w:type="dxa"/>
            <w:vMerge w:val="continue"/>
            <w:tcBorders>
              <w:top w:val="nil"/>
              <w:left w:val="nil"/>
              <w:bottom w:val="single" w:color="auto" w:sz="4" w:space="0"/>
              <w:right w:val="single" w:color="auto" w:sz="4" w:space="0"/>
            </w:tcBorders>
            <w:vAlign w:val="center"/>
          </w:tcPr>
          <w:p>
            <w:pPr>
              <w:shd w:val="clear"/>
              <w:rPr>
                <w:rFonts w:hint="eastAsia" w:ascii="宋体" w:hAnsi="宋体" w:eastAsia="宋体" w:cs="宋体"/>
                <w:sz w:val="24"/>
                <w:szCs w:val="24"/>
              </w:rPr>
            </w:pPr>
          </w:p>
        </w:tc>
        <w:tc>
          <w:tcPr>
            <w:tcW w:w="422"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1141"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rPr>
            </w:pPr>
            <w:r>
              <w:rPr>
                <w:rFonts w:hint="eastAsia" w:ascii="宋体" w:hAnsi="宋体" w:eastAsia="宋体" w:cs="宋体"/>
                <w:kern w:val="0"/>
                <w:sz w:val="24"/>
                <w:szCs w:val="24"/>
              </w:rPr>
              <w:t>资金使用合规性</w:t>
            </w:r>
          </w:p>
        </w:tc>
        <w:tc>
          <w:tcPr>
            <w:tcW w:w="500" w:type="dxa"/>
            <w:tcBorders>
              <w:top w:val="nil"/>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701" w:type="dxa"/>
            <w:gridSpan w:val="2"/>
            <w:tcBorders>
              <w:top w:val="nil"/>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每出现一例不符合要求的扣1分，扣完为止。</w:t>
            </w:r>
          </w:p>
        </w:tc>
        <w:tc>
          <w:tcPr>
            <w:tcW w:w="2934" w:type="dxa"/>
            <w:tcBorders>
              <w:top w:val="nil"/>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tc>
        <w:tc>
          <w:tcPr>
            <w:tcW w:w="548"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cs="宋体"/>
                <w:kern w:val="0"/>
                <w:sz w:val="24"/>
                <w:szCs w:val="24"/>
                <w:lang w:val="en-US" w:eastAsia="zh-CN"/>
              </w:rPr>
              <w:t>4</w:t>
            </w:r>
          </w:p>
        </w:tc>
      </w:tr>
      <w:tr>
        <w:tblPrEx>
          <w:tblLayout w:type="fixed"/>
          <w:tblCellMar>
            <w:top w:w="0" w:type="dxa"/>
            <w:left w:w="108" w:type="dxa"/>
            <w:bottom w:w="0" w:type="dxa"/>
            <w:right w:w="108" w:type="dxa"/>
          </w:tblCellMar>
        </w:tblPrEx>
        <w:trPr>
          <w:trHeight w:val="2247" w:hRule="atLeast"/>
          <w:jc w:val="center"/>
        </w:trPr>
        <w:tc>
          <w:tcPr>
            <w:tcW w:w="676" w:type="dxa"/>
            <w:vMerge w:val="continue"/>
            <w:tcBorders>
              <w:top w:val="single" w:color="auto" w:sz="4" w:space="0"/>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423" w:type="dxa"/>
            <w:vMerge w:val="continue"/>
            <w:tcBorders>
              <w:top w:val="single" w:color="auto" w:sz="4" w:space="0"/>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686" w:type="dxa"/>
            <w:vMerge w:val="continue"/>
            <w:tcBorders>
              <w:top w:val="nil"/>
              <w:left w:val="nil"/>
              <w:bottom w:val="single" w:color="auto" w:sz="4" w:space="0"/>
              <w:right w:val="single" w:color="auto" w:sz="4" w:space="0"/>
            </w:tcBorders>
            <w:vAlign w:val="center"/>
          </w:tcPr>
          <w:p>
            <w:pPr>
              <w:shd w:val="clear"/>
              <w:rPr>
                <w:rFonts w:hint="eastAsia" w:ascii="宋体" w:hAnsi="宋体" w:eastAsia="宋体" w:cs="宋体"/>
                <w:sz w:val="24"/>
                <w:szCs w:val="24"/>
              </w:rPr>
            </w:pPr>
          </w:p>
        </w:tc>
        <w:tc>
          <w:tcPr>
            <w:tcW w:w="422"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1141"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rPr>
            </w:pPr>
            <w:r>
              <w:rPr>
                <w:rFonts w:hint="eastAsia" w:ascii="宋体" w:hAnsi="宋体" w:eastAsia="宋体" w:cs="宋体"/>
                <w:kern w:val="0"/>
                <w:sz w:val="24"/>
                <w:szCs w:val="24"/>
              </w:rPr>
              <w:t>预决算信息公开性</w:t>
            </w:r>
          </w:p>
        </w:tc>
        <w:tc>
          <w:tcPr>
            <w:tcW w:w="500" w:type="dxa"/>
            <w:tcBorders>
              <w:top w:val="nil"/>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701" w:type="dxa"/>
            <w:gridSpan w:val="2"/>
            <w:tcBorders>
              <w:top w:val="nil"/>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每出现一例不符合要求的扣1分，扣完为止。</w:t>
            </w:r>
          </w:p>
        </w:tc>
        <w:tc>
          <w:tcPr>
            <w:tcW w:w="2934" w:type="dxa"/>
            <w:tcBorders>
              <w:top w:val="nil"/>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①按规定内容公开预决算信息；</w:t>
            </w:r>
          </w:p>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②按规定时限公开预决算信息；</w:t>
            </w:r>
          </w:p>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预决算信息是指与部门预算、执行、决算、监督、绩效等管理相关的信息。</w:t>
            </w:r>
          </w:p>
        </w:tc>
        <w:tc>
          <w:tcPr>
            <w:tcW w:w="548"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cs="宋体"/>
                <w:kern w:val="0"/>
                <w:sz w:val="24"/>
                <w:szCs w:val="24"/>
                <w:lang w:val="en-US" w:eastAsia="zh-CN"/>
              </w:rPr>
              <w:t>2</w:t>
            </w:r>
          </w:p>
        </w:tc>
      </w:tr>
      <w:tr>
        <w:tblPrEx>
          <w:tblLayout w:type="fixed"/>
          <w:tblCellMar>
            <w:top w:w="0" w:type="dxa"/>
            <w:left w:w="108" w:type="dxa"/>
            <w:bottom w:w="0" w:type="dxa"/>
            <w:right w:w="108" w:type="dxa"/>
          </w:tblCellMar>
        </w:tblPrEx>
        <w:trPr>
          <w:trHeight w:val="1554" w:hRule="atLeast"/>
          <w:jc w:val="center"/>
        </w:trPr>
        <w:tc>
          <w:tcPr>
            <w:tcW w:w="676" w:type="dxa"/>
            <w:vMerge w:val="restart"/>
            <w:tcBorders>
              <w:top w:val="nil"/>
              <w:left w:val="single" w:color="auto" w:sz="4" w:space="0"/>
              <w:bottom w:val="single" w:color="000000"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产出及效率</w:t>
            </w:r>
          </w:p>
        </w:tc>
        <w:tc>
          <w:tcPr>
            <w:tcW w:w="423" w:type="dxa"/>
            <w:vMerge w:val="restart"/>
            <w:tcBorders>
              <w:top w:val="nil"/>
              <w:left w:val="single" w:color="auto" w:sz="4" w:space="0"/>
              <w:bottom w:val="single" w:color="000000"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35</w:t>
            </w:r>
          </w:p>
        </w:tc>
        <w:tc>
          <w:tcPr>
            <w:tcW w:w="686" w:type="dxa"/>
            <w:tcBorders>
              <w:top w:val="nil"/>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职责履行</w:t>
            </w:r>
          </w:p>
        </w:tc>
        <w:tc>
          <w:tcPr>
            <w:tcW w:w="422" w:type="dxa"/>
            <w:tcBorders>
              <w:top w:val="nil"/>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141" w:type="dxa"/>
            <w:tcBorders>
              <w:top w:val="nil"/>
              <w:left w:val="nil"/>
              <w:bottom w:val="nil"/>
              <w:right w:val="single" w:color="auto" w:sz="4" w:space="0"/>
            </w:tcBorders>
            <w:vAlign w:val="center"/>
          </w:tcPr>
          <w:p>
            <w:pPr>
              <w:widowControl/>
              <w:shd w:val="clear"/>
              <w:jc w:val="left"/>
              <w:rPr>
                <w:rFonts w:hint="eastAsia" w:ascii="宋体" w:hAnsi="宋体" w:eastAsia="宋体" w:cs="宋体"/>
                <w:kern w:val="0"/>
                <w:sz w:val="24"/>
                <w:szCs w:val="24"/>
              </w:rPr>
            </w:pPr>
            <w:r>
              <w:rPr>
                <w:rFonts w:hint="eastAsia" w:ascii="宋体" w:hAnsi="宋体" w:eastAsia="宋体" w:cs="宋体"/>
                <w:kern w:val="0"/>
                <w:sz w:val="24"/>
                <w:szCs w:val="24"/>
              </w:rPr>
              <w:t>目标任务实际完成率</w:t>
            </w:r>
          </w:p>
        </w:tc>
        <w:tc>
          <w:tcPr>
            <w:tcW w:w="500" w:type="dxa"/>
            <w:tcBorders>
              <w:top w:val="nil"/>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701" w:type="dxa"/>
            <w:gridSpan w:val="2"/>
            <w:tcBorders>
              <w:top w:val="nil"/>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该项得分=（年度综合目标管理考核得分/总分）*8</w:t>
            </w:r>
          </w:p>
        </w:tc>
        <w:tc>
          <w:tcPr>
            <w:tcW w:w="2934" w:type="dxa"/>
            <w:tcBorders>
              <w:top w:val="nil"/>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根据区年度综合目标管理考核得分折算。</w:t>
            </w:r>
          </w:p>
        </w:tc>
        <w:tc>
          <w:tcPr>
            <w:tcW w:w="548"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cs="宋体"/>
                <w:kern w:val="0"/>
                <w:sz w:val="24"/>
                <w:szCs w:val="24"/>
                <w:lang w:val="en-US" w:eastAsia="zh-CN"/>
              </w:rPr>
              <w:t>7</w:t>
            </w:r>
          </w:p>
        </w:tc>
      </w:tr>
      <w:tr>
        <w:tblPrEx>
          <w:tblLayout w:type="fixed"/>
          <w:tblCellMar>
            <w:top w:w="0" w:type="dxa"/>
            <w:left w:w="108" w:type="dxa"/>
            <w:bottom w:w="0" w:type="dxa"/>
            <w:right w:w="108" w:type="dxa"/>
          </w:tblCellMar>
        </w:tblPrEx>
        <w:trPr>
          <w:trHeight w:val="797" w:hRule="atLeast"/>
          <w:jc w:val="center"/>
        </w:trPr>
        <w:tc>
          <w:tcPr>
            <w:tcW w:w="676"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423"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686" w:type="dxa"/>
            <w:vMerge w:val="restart"/>
            <w:tcBorders>
              <w:top w:val="nil"/>
              <w:left w:val="single" w:color="auto" w:sz="4" w:space="0"/>
              <w:bottom w:val="single" w:color="000000"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履职 效益</w:t>
            </w:r>
          </w:p>
        </w:tc>
        <w:tc>
          <w:tcPr>
            <w:tcW w:w="422" w:type="dxa"/>
            <w:vMerge w:val="restart"/>
            <w:tcBorders>
              <w:top w:val="nil"/>
              <w:left w:val="single" w:color="auto" w:sz="4" w:space="0"/>
              <w:bottom w:val="single" w:color="000000"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1141" w:type="dxa"/>
            <w:tcBorders>
              <w:top w:val="single" w:color="auto" w:sz="4" w:space="0"/>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经济效益</w:t>
            </w:r>
          </w:p>
        </w:tc>
        <w:tc>
          <w:tcPr>
            <w:tcW w:w="500" w:type="dxa"/>
            <w:tcBorders>
              <w:top w:val="nil"/>
              <w:left w:val="single" w:color="auto" w:sz="4" w:space="0"/>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5635" w:type="dxa"/>
            <w:gridSpan w:val="3"/>
            <w:vMerge w:val="restart"/>
            <w:tcBorders>
              <w:top w:val="single" w:color="auto" w:sz="4" w:space="0"/>
              <w:left w:val="single" w:color="auto" w:sz="4" w:space="0"/>
              <w:bottom w:val="nil"/>
              <w:right w:val="single" w:color="000000"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此三项指标为设置部门整体支出绩效评价指标时必须考虑的要素，可根据部门实际情况有选择的进行设置，并将其细化为相应的个性化指标。</w:t>
            </w:r>
          </w:p>
        </w:tc>
        <w:tc>
          <w:tcPr>
            <w:tcW w:w="548" w:type="dxa"/>
            <w:vMerge w:val="restart"/>
            <w:tcBorders>
              <w:top w:val="nil"/>
              <w:left w:val="nil"/>
              <w:right w:val="single" w:color="auto" w:sz="4" w:space="0"/>
            </w:tcBorders>
            <w:vAlign w:val="center"/>
          </w:tcPr>
          <w:p>
            <w:pPr>
              <w:widowControl/>
              <w:shd w:val="clear"/>
              <w:jc w:val="left"/>
              <w:rPr>
                <w:rFonts w:hint="eastAsia" w:ascii="宋体" w:hAnsi="宋体" w:eastAsia="宋体" w:cs="宋体"/>
                <w:kern w:val="0"/>
                <w:sz w:val="24"/>
                <w:szCs w:val="24"/>
              </w:rPr>
            </w:pPr>
            <w:r>
              <w:rPr>
                <w:rFonts w:hint="eastAsia" w:ascii="宋体" w:hAnsi="宋体" w:eastAsia="宋体" w:cs="宋体"/>
                <w:kern w:val="0"/>
                <w:sz w:val="24"/>
                <w:szCs w:val="24"/>
              </w:rPr>
              <w:t>　</w:t>
            </w:r>
          </w:p>
          <w:p>
            <w:pPr>
              <w:widowControl/>
              <w:shd w:val="clea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cs="宋体"/>
                <w:kern w:val="0"/>
                <w:sz w:val="24"/>
                <w:szCs w:val="24"/>
                <w:lang w:val="en-US" w:eastAsia="zh-CN"/>
              </w:rPr>
              <w:t>13</w:t>
            </w:r>
          </w:p>
        </w:tc>
      </w:tr>
      <w:tr>
        <w:tblPrEx>
          <w:tblLayout w:type="fixed"/>
          <w:tblCellMar>
            <w:top w:w="0" w:type="dxa"/>
            <w:left w:w="108" w:type="dxa"/>
            <w:bottom w:w="0" w:type="dxa"/>
            <w:right w:w="108" w:type="dxa"/>
          </w:tblCellMar>
        </w:tblPrEx>
        <w:trPr>
          <w:trHeight w:val="797" w:hRule="atLeast"/>
          <w:jc w:val="center"/>
        </w:trPr>
        <w:tc>
          <w:tcPr>
            <w:tcW w:w="676"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423"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686"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422"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1141" w:type="dxa"/>
            <w:tcBorders>
              <w:top w:val="nil"/>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社会效益</w:t>
            </w:r>
          </w:p>
        </w:tc>
        <w:tc>
          <w:tcPr>
            <w:tcW w:w="500" w:type="dxa"/>
            <w:tcBorders>
              <w:top w:val="single" w:color="auto" w:sz="4" w:space="0"/>
              <w:left w:val="single" w:color="auto" w:sz="4" w:space="0"/>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5635" w:type="dxa"/>
            <w:gridSpan w:val="3"/>
            <w:vMerge w:val="continue"/>
            <w:tcBorders>
              <w:top w:val="single" w:color="auto" w:sz="4" w:space="0"/>
              <w:left w:val="single" w:color="auto" w:sz="4" w:space="0"/>
              <w:bottom w:val="nil"/>
              <w:right w:val="single" w:color="000000" w:sz="4" w:space="0"/>
            </w:tcBorders>
            <w:vAlign w:val="center"/>
          </w:tcPr>
          <w:p>
            <w:pPr>
              <w:shd w:val="clear"/>
              <w:spacing w:line="260" w:lineRule="exact"/>
              <w:rPr>
                <w:rFonts w:hint="eastAsia" w:ascii="宋体" w:hAnsi="宋体" w:eastAsia="宋体" w:cs="宋体"/>
                <w:sz w:val="24"/>
                <w:szCs w:val="24"/>
              </w:rPr>
            </w:pPr>
          </w:p>
        </w:tc>
        <w:tc>
          <w:tcPr>
            <w:tcW w:w="548" w:type="dxa"/>
            <w:vMerge w:val="continue"/>
            <w:tcBorders>
              <w:left w:val="nil"/>
              <w:right w:val="single" w:color="auto" w:sz="4" w:space="0"/>
            </w:tcBorders>
            <w:vAlign w:val="center"/>
          </w:tcPr>
          <w:p>
            <w:pPr>
              <w:widowControl/>
              <w:shd w:val="clear"/>
              <w:jc w:val="lef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797" w:hRule="atLeast"/>
          <w:jc w:val="center"/>
        </w:trPr>
        <w:tc>
          <w:tcPr>
            <w:tcW w:w="676"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423"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686"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422"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1141" w:type="dxa"/>
            <w:tcBorders>
              <w:top w:val="single" w:color="auto" w:sz="4" w:space="0"/>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生态效益</w:t>
            </w:r>
          </w:p>
        </w:tc>
        <w:tc>
          <w:tcPr>
            <w:tcW w:w="500" w:type="dxa"/>
            <w:tcBorders>
              <w:top w:val="single" w:color="auto" w:sz="4" w:space="0"/>
              <w:left w:val="single" w:color="auto" w:sz="4" w:space="0"/>
              <w:bottom w:val="nil"/>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5635" w:type="dxa"/>
            <w:gridSpan w:val="3"/>
            <w:vMerge w:val="continue"/>
            <w:tcBorders>
              <w:top w:val="single" w:color="auto" w:sz="4" w:space="0"/>
              <w:left w:val="single" w:color="auto" w:sz="4" w:space="0"/>
              <w:bottom w:val="nil"/>
              <w:right w:val="single" w:color="000000" w:sz="4" w:space="0"/>
            </w:tcBorders>
            <w:vAlign w:val="center"/>
          </w:tcPr>
          <w:p>
            <w:pPr>
              <w:shd w:val="clear"/>
              <w:spacing w:line="260" w:lineRule="exact"/>
              <w:rPr>
                <w:rFonts w:hint="eastAsia" w:ascii="宋体" w:hAnsi="宋体" w:eastAsia="宋体" w:cs="宋体"/>
                <w:sz w:val="24"/>
                <w:szCs w:val="24"/>
              </w:rPr>
            </w:pPr>
          </w:p>
        </w:tc>
        <w:tc>
          <w:tcPr>
            <w:tcW w:w="548" w:type="dxa"/>
            <w:vMerge w:val="continue"/>
            <w:tcBorders>
              <w:left w:val="nil"/>
              <w:bottom w:val="nil"/>
              <w:right w:val="single" w:color="auto" w:sz="4" w:space="0"/>
            </w:tcBorders>
            <w:vAlign w:val="center"/>
          </w:tcPr>
          <w:p>
            <w:pPr>
              <w:shd w:val="clear"/>
              <w:rPr>
                <w:rFonts w:hint="eastAsia" w:ascii="宋体" w:hAnsi="宋体" w:eastAsia="宋体" w:cs="宋体"/>
                <w:sz w:val="24"/>
                <w:szCs w:val="24"/>
              </w:rPr>
            </w:pPr>
          </w:p>
        </w:tc>
      </w:tr>
      <w:tr>
        <w:tblPrEx>
          <w:tblLayout w:type="fixed"/>
          <w:tblCellMar>
            <w:top w:w="0" w:type="dxa"/>
            <w:left w:w="108" w:type="dxa"/>
            <w:bottom w:w="0" w:type="dxa"/>
            <w:right w:w="108" w:type="dxa"/>
          </w:tblCellMar>
        </w:tblPrEx>
        <w:trPr>
          <w:trHeight w:val="2247" w:hRule="atLeast"/>
          <w:jc w:val="center"/>
        </w:trPr>
        <w:tc>
          <w:tcPr>
            <w:tcW w:w="676"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423"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686" w:type="dxa"/>
            <w:vMerge w:val="continue"/>
            <w:tcBorders>
              <w:top w:val="nil"/>
              <w:left w:val="single" w:color="auto" w:sz="4" w:space="0"/>
              <w:bottom w:val="single" w:color="000000" w:sz="4" w:space="0"/>
              <w:right w:val="single" w:color="auto" w:sz="4" w:space="0"/>
            </w:tcBorders>
            <w:vAlign w:val="center"/>
          </w:tcPr>
          <w:p>
            <w:pPr>
              <w:shd w:val="clear"/>
              <w:rPr>
                <w:rFonts w:hint="eastAsia" w:ascii="宋体" w:hAnsi="宋体" w:eastAsia="宋体" w:cs="宋体"/>
                <w:sz w:val="24"/>
                <w:szCs w:val="24"/>
              </w:rPr>
            </w:pPr>
          </w:p>
        </w:tc>
        <w:tc>
          <w:tcPr>
            <w:tcW w:w="422" w:type="dxa"/>
            <w:vMerge w:val="restart"/>
            <w:tcBorders>
              <w:top w:val="nil"/>
              <w:left w:val="single" w:color="auto" w:sz="4" w:space="0"/>
              <w:bottom w:val="single" w:color="000000"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1141"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rPr>
            </w:pPr>
            <w:r>
              <w:rPr>
                <w:rFonts w:hint="eastAsia" w:ascii="宋体" w:hAnsi="宋体" w:eastAsia="宋体" w:cs="宋体"/>
                <w:kern w:val="0"/>
                <w:sz w:val="24"/>
                <w:szCs w:val="24"/>
              </w:rPr>
              <w:t>行政效能</w:t>
            </w:r>
          </w:p>
        </w:tc>
        <w:tc>
          <w:tcPr>
            <w:tcW w:w="500" w:type="dxa"/>
            <w:tcBorders>
              <w:top w:val="single" w:color="auto" w:sz="4" w:space="0"/>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700" w:type="dxa"/>
            <w:tcBorders>
              <w:top w:val="single" w:color="auto" w:sz="4" w:space="0"/>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促进部门改进文风会风，加强经费及资产管理，推动网上办事，提高行政效率，降低行政成本效果较好的计6分；一般3分；无效果或者效果不明显0分。</w:t>
            </w:r>
          </w:p>
        </w:tc>
        <w:tc>
          <w:tcPr>
            <w:tcW w:w="2935" w:type="dxa"/>
            <w:gridSpan w:val="2"/>
            <w:tcBorders>
              <w:top w:val="single" w:color="auto" w:sz="4" w:space="0"/>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根据部门自评材料评定。</w:t>
            </w:r>
          </w:p>
        </w:tc>
        <w:tc>
          <w:tcPr>
            <w:tcW w:w="548" w:type="dxa"/>
            <w:tcBorders>
              <w:top w:val="single" w:color="auto" w:sz="4" w:space="0"/>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cs="宋体"/>
                <w:kern w:val="0"/>
                <w:sz w:val="24"/>
                <w:szCs w:val="24"/>
                <w:lang w:val="en-US" w:eastAsia="zh-CN"/>
              </w:rPr>
              <w:t>5</w:t>
            </w:r>
          </w:p>
        </w:tc>
      </w:tr>
      <w:tr>
        <w:tblPrEx>
          <w:tblLayout w:type="fixed"/>
          <w:tblCellMar>
            <w:top w:w="0" w:type="dxa"/>
            <w:left w:w="108" w:type="dxa"/>
            <w:bottom w:w="0" w:type="dxa"/>
            <w:right w:w="108" w:type="dxa"/>
          </w:tblCellMar>
        </w:tblPrEx>
        <w:trPr>
          <w:trHeight w:val="1617" w:hRule="atLeast"/>
          <w:jc w:val="center"/>
        </w:trPr>
        <w:tc>
          <w:tcPr>
            <w:tcW w:w="676" w:type="dxa"/>
            <w:vMerge w:val="continue"/>
            <w:tcBorders>
              <w:top w:val="nil"/>
              <w:left w:val="single" w:color="auto" w:sz="4" w:space="0"/>
              <w:bottom w:val="single" w:color="auto" w:sz="4" w:space="0"/>
              <w:right w:val="single" w:color="auto" w:sz="4" w:space="0"/>
            </w:tcBorders>
            <w:vAlign w:val="center"/>
          </w:tcPr>
          <w:p>
            <w:pPr>
              <w:shd w:val="clear"/>
              <w:rPr>
                <w:rFonts w:hint="eastAsia" w:ascii="宋体" w:hAnsi="宋体" w:eastAsia="宋体" w:cs="宋体"/>
                <w:sz w:val="24"/>
                <w:szCs w:val="24"/>
              </w:rPr>
            </w:pPr>
          </w:p>
        </w:tc>
        <w:tc>
          <w:tcPr>
            <w:tcW w:w="423" w:type="dxa"/>
            <w:vMerge w:val="continue"/>
            <w:tcBorders>
              <w:top w:val="nil"/>
              <w:left w:val="single" w:color="auto" w:sz="4" w:space="0"/>
              <w:bottom w:val="single" w:color="auto" w:sz="4" w:space="0"/>
              <w:right w:val="single" w:color="auto" w:sz="4" w:space="0"/>
            </w:tcBorders>
            <w:vAlign w:val="center"/>
          </w:tcPr>
          <w:p>
            <w:pPr>
              <w:shd w:val="clear"/>
              <w:rPr>
                <w:rFonts w:hint="eastAsia" w:ascii="宋体" w:hAnsi="宋体" w:eastAsia="宋体" w:cs="宋体"/>
                <w:sz w:val="24"/>
                <w:szCs w:val="24"/>
              </w:rPr>
            </w:pPr>
          </w:p>
        </w:tc>
        <w:tc>
          <w:tcPr>
            <w:tcW w:w="686" w:type="dxa"/>
            <w:vMerge w:val="continue"/>
            <w:tcBorders>
              <w:top w:val="nil"/>
              <w:left w:val="single" w:color="auto" w:sz="4" w:space="0"/>
              <w:bottom w:val="single" w:color="auto" w:sz="4" w:space="0"/>
              <w:right w:val="single" w:color="auto" w:sz="4" w:space="0"/>
            </w:tcBorders>
            <w:vAlign w:val="center"/>
          </w:tcPr>
          <w:p>
            <w:pPr>
              <w:shd w:val="clear"/>
              <w:rPr>
                <w:rFonts w:hint="eastAsia" w:ascii="宋体" w:hAnsi="宋体" w:eastAsia="宋体" w:cs="宋体"/>
                <w:sz w:val="24"/>
                <w:szCs w:val="24"/>
              </w:rPr>
            </w:pPr>
          </w:p>
        </w:tc>
        <w:tc>
          <w:tcPr>
            <w:tcW w:w="422" w:type="dxa"/>
            <w:vMerge w:val="continue"/>
            <w:tcBorders>
              <w:top w:val="nil"/>
              <w:left w:val="single" w:color="auto" w:sz="4" w:space="0"/>
              <w:bottom w:val="single" w:color="auto" w:sz="4" w:space="0"/>
              <w:right w:val="single" w:color="auto" w:sz="4" w:space="0"/>
            </w:tcBorders>
            <w:vAlign w:val="center"/>
          </w:tcPr>
          <w:p>
            <w:pPr>
              <w:shd w:val="clear"/>
              <w:rPr>
                <w:rFonts w:hint="eastAsia" w:ascii="宋体" w:hAnsi="宋体" w:eastAsia="宋体" w:cs="宋体"/>
                <w:sz w:val="24"/>
                <w:szCs w:val="24"/>
              </w:rPr>
            </w:pPr>
          </w:p>
        </w:tc>
        <w:tc>
          <w:tcPr>
            <w:tcW w:w="1141"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rPr>
            </w:pPr>
            <w:r>
              <w:rPr>
                <w:rFonts w:hint="eastAsia" w:ascii="宋体" w:hAnsi="宋体" w:eastAsia="宋体" w:cs="宋体"/>
                <w:kern w:val="0"/>
                <w:sz w:val="24"/>
                <w:szCs w:val="24"/>
              </w:rPr>
              <w:t>社会公众或服务对象满意度</w:t>
            </w:r>
          </w:p>
        </w:tc>
        <w:tc>
          <w:tcPr>
            <w:tcW w:w="500" w:type="dxa"/>
            <w:tcBorders>
              <w:top w:val="nil"/>
              <w:left w:val="nil"/>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700" w:type="dxa"/>
            <w:tcBorders>
              <w:top w:val="nil"/>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90%（含）以上计6分；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80%（含）-90%，计4分；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70%（含）-80%，计2分；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低于70%计0分。</w:t>
            </w:r>
          </w:p>
        </w:tc>
        <w:tc>
          <w:tcPr>
            <w:tcW w:w="2935" w:type="dxa"/>
            <w:gridSpan w:val="2"/>
            <w:tcBorders>
              <w:top w:val="nil"/>
              <w:left w:val="nil"/>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社会公众或服务对象是指部门（单位）履行职责而影响到的部门、群体或个人，一般采取社会调查的方式。</w:t>
            </w:r>
          </w:p>
        </w:tc>
        <w:tc>
          <w:tcPr>
            <w:tcW w:w="548" w:type="dxa"/>
            <w:tcBorders>
              <w:top w:val="nil"/>
              <w:left w:val="nil"/>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cs="宋体"/>
                <w:kern w:val="0"/>
                <w:sz w:val="24"/>
                <w:szCs w:val="24"/>
                <w:lang w:val="en-US" w:eastAsia="zh-CN"/>
              </w:rPr>
              <w:t>5</w:t>
            </w:r>
          </w:p>
        </w:tc>
      </w:tr>
      <w:tr>
        <w:tblPrEx>
          <w:tblLayout w:type="fixed"/>
          <w:tblCellMar>
            <w:top w:w="0" w:type="dxa"/>
            <w:left w:w="108" w:type="dxa"/>
            <w:bottom w:w="0" w:type="dxa"/>
            <w:right w:w="108" w:type="dxa"/>
          </w:tblCellMar>
        </w:tblPrEx>
        <w:trPr>
          <w:trHeight w:val="870" w:hRule="atLeast"/>
          <w:jc w:val="center"/>
        </w:trPr>
        <w:tc>
          <w:tcPr>
            <w:tcW w:w="1785"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w:t>
            </w:r>
          </w:p>
        </w:tc>
        <w:tc>
          <w:tcPr>
            <w:tcW w:w="422" w:type="dxa"/>
            <w:tcBorders>
              <w:top w:val="single" w:color="auto" w:sz="4" w:space="0"/>
              <w:left w:val="single" w:color="auto" w:sz="4" w:space="0"/>
              <w:bottom w:val="single" w:color="auto" w:sz="4" w:space="0"/>
              <w:right w:val="single" w:color="auto" w:sz="4" w:space="0"/>
            </w:tcBorders>
            <w:vAlign w:val="center"/>
          </w:tcPr>
          <w:p>
            <w:pPr>
              <w:shd w:val="clear"/>
              <w:rPr>
                <w:rFonts w:hint="eastAsia" w:ascii="宋体" w:hAnsi="宋体" w:eastAsia="宋体" w:cs="宋体"/>
                <w:sz w:val="24"/>
                <w:szCs w:val="24"/>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rPr>
            </w:pPr>
          </w:p>
        </w:tc>
        <w:tc>
          <w:tcPr>
            <w:tcW w:w="500" w:type="dxa"/>
            <w:tcBorders>
              <w:top w:val="single" w:color="auto" w:sz="4" w:space="0"/>
              <w:left w:val="single" w:color="auto" w:sz="4" w:space="0"/>
              <w:bottom w:val="single" w:color="auto" w:sz="4" w:space="0"/>
              <w:right w:val="single" w:color="auto" w:sz="4" w:space="0"/>
            </w:tcBorders>
            <w:vAlign w:val="center"/>
          </w:tcPr>
          <w:p>
            <w:pPr>
              <w:widowControl/>
              <w:shd w:val="clear"/>
              <w:jc w:val="center"/>
              <w:rPr>
                <w:rFonts w:hint="eastAsia" w:ascii="宋体" w:hAnsi="宋体" w:eastAsia="宋体" w:cs="宋体"/>
                <w:kern w:val="0"/>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p>
        </w:tc>
        <w:tc>
          <w:tcPr>
            <w:tcW w:w="2935" w:type="dxa"/>
            <w:gridSpan w:val="2"/>
            <w:tcBorders>
              <w:top w:val="single" w:color="auto" w:sz="4" w:space="0"/>
              <w:left w:val="single" w:color="auto" w:sz="4" w:space="0"/>
              <w:bottom w:val="single" w:color="auto" w:sz="4" w:space="0"/>
              <w:right w:val="single" w:color="auto" w:sz="4" w:space="0"/>
            </w:tcBorders>
            <w:vAlign w:val="center"/>
          </w:tcPr>
          <w:p>
            <w:pPr>
              <w:widowControl/>
              <w:shd w:val="clear"/>
              <w:spacing w:line="260" w:lineRule="exact"/>
              <w:jc w:val="left"/>
              <w:rPr>
                <w:rFonts w:hint="eastAsia" w:ascii="宋体" w:hAnsi="宋体" w:eastAsia="宋体" w:cs="宋体"/>
                <w:kern w:val="0"/>
                <w:sz w:val="24"/>
                <w:szCs w:val="24"/>
              </w:rPr>
            </w:pPr>
          </w:p>
        </w:tc>
        <w:tc>
          <w:tcPr>
            <w:tcW w:w="548" w:type="dxa"/>
            <w:tcBorders>
              <w:top w:val="single" w:color="auto" w:sz="4" w:space="0"/>
              <w:left w:val="single" w:color="auto" w:sz="4" w:space="0"/>
              <w:bottom w:val="single" w:color="auto" w:sz="4" w:space="0"/>
              <w:right w:val="single" w:color="auto" w:sz="4" w:space="0"/>
            </w:tcBorders>
            <w:vAlign w:val="center"/>
          </w:tcPr>
          <w:p>
            <w:pPr>
              <w:widowControl/>
              <w:shd w:val="clear"/>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93</w:t>
            </w:r>
          </w:p>
        </w:tc>
      </w:tr>
    </w:tbl>
    <w:p>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360" w:lineRule="auto"/>
        <w:ind w:right="0" w:rightChars="0"/>
        <w:textAlignment w:val="auto"/>
        <w:rPr>
          <w:rFonts w:hint="eastAsia" w:ascii="仿宋_GB2312" w:hAnsi="仿宋_GB2312" w:eastAsia="仿宋_GB2312" w:cs="仿宋_GB2312"/>
          <w:b/>
          <w:bCs/>
          <w:sz w:val="30"/>
          <w:szCs w:val="30"/>
        </w:rPr>
      </w:pPr>
    </w:p>
    <w:p>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360" w:lineRule="auto"/>
        <w:ind w:left="0" w:leftChars="0" w:right="0" w:rightChars="0" w:firstLine="5280" w:firstLineChars="1650"/>
        <w:jc w:val="both"/>
        <w:textAlignment w:val="auto"/>
        <w:outlineLvl w:val="9"/>
        <w:rPr>
          <w:rFonts w:hint="eastAsia" w:ascii="宋体" w:hAnsi="宋体" w:eastAsia="宋体" w:cs="宋体"/>
          <w:sz w:val="32"/>
          <w:szCs w:val="32"/>
        </w:rPr>
      </w:pPr>
    </w:p>
    <w:p>
      <w:pPr>
        <w:keepNext w:val="0"/>
        <w:keepLines w:val="0"/>
        <w:pageBreakBefore w:val="0"/>
        <w:widowControl w:val="0"/>
        <w:shd w:val="clear"/>
        <w:kinsoku/>
        <w:wordWrap/>
        <w:overflowPunct/>
        <w:topLinePunct w:val="0"/>
        <w:autoSpaceDE/>
        <w:autoSpaceDN/>
        <w:bidi w:val="0"/>
        <w:adjustRightInd w:val="0"/>
        <w:spacing w:before="157" w:beforeLines="50" w:after="157" w:afterLines="50" w:line="360" w:lineRule="auto"/>
        <w:ind w:left="0" w:leftChars="0" w:right="641"/>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shd w:val="clear"/>
        <w:kinsoku/>
        <w:wordWrap/>
        <w:overflowPunct/>
        <w:topLinePunct w:val="0"/>
        <w:autoSpaceDE/>
        <w:autoSpaceDN/>
        <w:bidi w:val="0"/>
        <w:adjustRightInd w:val="0"/>
        <w:snapToGrid w:val="0"/>
        <w:spacing w:before="157" w:beforeLines="50" w:after="157" w:afterLines="50" w:line="360" w:lineRule="auto"/>
        <w:ind w:left="0" w:leftChars="0" w:firstLine="600" w:firstLineChars="200"/>
        <w:textAlignment w:val="auto"/>
        <w:outlineLvl w:val="9"/>
        <w:rPr>
          <w:rFonts w:hint="eastAsia" w:ascii="仿宋_GB2312" w:hAnsi="仿宋_GB2312" w:eastAsia="仿宋_GB2312" w:cs="仿宋_GB2312"/>
          <w:sz w:val="30"/>
          <w:szCs w:val="30"/>
        </w:rPr>
      </w:pPr>
    </w:p>
    <w:p>
      <w:pPr>
        <w:keepNext w:val="0"/>
        <w:keepLines w:val="0"/>
        <w:pageBreakBefore w:val="0"/>
        <w:widowControl w:val="0"/>
        <w:shd w:val="clear"/>
        <w:kinsoku/>
        <w:wordWrap/>
        <w:overflowPunct/>
        <w:topLinePunct w:val="0"/>
        <w:autoSpaceDE/>
        <w:autoSpaceDN/>
        <w:bidi w:val="0"/>
        <w:adjustRightInd w:val="0"/>
        <w:snapToGrid w:val="0"/>
        <w:spacing w:before="157" w:beforeLines="50" w:after="157" w:afterLines="50" w:line="360" w:lineRule="auto"/>
        <w:ind w:left="0" w:leftChars="0" w:firstLine="600" w:firstLineChars="200"/>
        <w:textAlignment w:val="auto"/>
        <w:outlineLvl w:val="9"/>
        <w:rPr>
          <w:rFonts w:hint="eastAsia" w:ascii="仿宋_GB2312" w:hAnsi="仿宋_GB2312" w:eastAsia="仿宋_GB2312" w:cs="仿宋_GB2312"/>
          <w:sz w:val="30"/>
          <w:szCs w:val="30"/>
        </w:rPr>
      </w:pPr>
    </w:p>
    <w:p>
      <w:pPr>
        <w:keepNext w:val="0"/>
        <w:keepLines w:val="0"/>
        <w:pageBreakBefore w:val="0"/>
        <w:widowControl w:val="0"/>
        <w:shd w:val="clear"/>
        <w:kinsoku/>
        <w:wordWrap/>
        <w:overflowPunct/>
        <w:topLinePunct w:val="0"/>
        <w:autoSpaceDE/>
        <w:autoSpaceDN/>
        <w:bidi w:val="0"/>
        <w:adjustRightInd w:val="0"/>
        <w:snapToGrid w:val="0"/>
        <w:spacing w:before="157" w:beforeLines="50" w:after="157" w:afterLines="50" w:line="360" w:lineRule="auto"/>
        <w:ind w:left="0" w:leftChars="0" w:firstLine="600" w:firstLineChars="200"/>
        <w:textAlignment w:val="auto"/>
        <w:outlineLvl w:val="9"/>
        <w:rPr>
          <w:rFonts w:hint="eastAsia" w:ascii="仿宋_GB2312" w:hAnsi="仿宋_GB2312" w:eastAsia="仿宋_GB2312" w:cs="仿宋_GB2312"/>
          <w:sz w:val="30"/>
          <w:szCs w:val="30"/>
        </w:rPr>
      </w:pPr>
    </w:p>
    <w:p>
      <w:pPr>
        <w:keepNext w:val="0"/>
        <w:keepLines w:val="0"/>
        <w:pageBreakBefore w:val="0"/>
        <w:widowControl w:val="0"/>
        <w:shd w:val="clear"/>
        <w:kinsoku/>
        <w:wordWrap/>
        <w:overflowPunct/>
        <w:topLinePunct w:val="0"/>
        <w:autoSpaceDE/>
        <w:autoSpaceDN/>
        <w:bidi w:val="0"/>
        <w:adjustRightInd w:val="0"/>
        <w:snapToGrid w:val="0"/>
        <w:spacing w:before="157" w:beforeLines="50" w:after="157" w:afterLines="50" w:line="360" w:lineRule="auto"/>
        <w:ind w:left="0" w:leftChars="0" w:firstLine="600" w:firstLineChars="200"/>
        <w:textAlignment w:val="auto"/>
        <w:outlineLvl w:val="9"/>
        <w:rPr>
          <w:rFonts w:hint="eastAsia" w:ascii="仿宋_GB2312" w:hAnsi="仿宋_GB2312" w:eastAsia="仿宋_GB2312" w:cs="仿宋_GB2312"/>
          <w:sz w:val="30"/>
          <w:szCs w:val="30"/>
        </w:rPr>
      </w:pPr>
    </w:p>
    <w:p>
      <w:pPr>
        <w:keepNext w:val="0"/>
        <w:keepLines w:val="0"/>
        <w:pageBreakBefore w:val="0"/>
        <w:widowControl w:val="0"/>
        <w:shd w:val="clear"/>
        <w:kinsoku/>
        <w:wordWrap/>
        <w:overflowPunct/>
        <w:topLinePunct w:val="0"/>
        <w:autoSpaceDE/>
        <w:autoSpaceDN/>
        <w:bidi w:val="0"/>
        <w:adjustRightInd w:val="0"/>
        <w:snapToGrid w:val="0"/>
        <w:spacing w:before="157" w:beforeLines="50" w:after="157" w:afterLines="50" w:line="360" w:lineRule="auto"/>
        <w:ind w:left="0" w:leftChars="0" w:firstLine="600" w:firstLineChars="200"/>
        <w:textAlignment w:val="auto"/>
        <w:outlineLvl w:val="9"/>
        <w:rPr>
          <w:rFonts w:hint="eastAsia" w:ascii="仿宋_GB2312" w:hAnsi="仿宋_GB2312" w:eastAsia="仿宋_GB2312" w:cs="仿宋_GB2312"/>
          <w:sz w:val="30"/>
          <w:szCs w:val="30"/>
        </w:rPr>
      </w:pPr>
    </w:p>
    <w:p>
      <w:pPr>
        <w:keepNext w:val="0"/>
        <w:keepLines w:val="0"/>
        <w:pageBreakBefore w:val="0"/>
        <w:widowControl w:val="0"/>
        <w:shd w:val="clear"/>
        <w:kinsoku/>
        <w:wordWrap/>
        <w:overflowPunct/>
        <w:topLinePunct w:val="0"/>
        <w:autoSpaceDE/>
        <w:autoSpaceDN/>
        <w:bidi w:val="0"/>
        <w:adjustRightInd w:val="0"/>
        <w:snapToGrid w:val="0"/>
        <w:spacing w:before="157" w:beforeLines="50" w:after="157" w:afterLines="50" w:line="360" w:lineRule="auto"/>
        <w:ind w:left="0" w:leftChars="0" w:firstLine="600" w:firstLineChars="200"/>
        <w:textAlignment w:val="auto"/>
        <w:outlineLvl w:val="9"/>
        <w:rPr>
          <w:rFonts w:hint="eastAsia" w:ascii="仿宋_GB2312" w:hAnsi="仿宋_GB2312" w:eastAsia="仿宋_GB2312" w:cs="仿宋_GB2312"/>
          <w:sz w:val="30"/>
          <w:szCs w:val="30"/>
        </w:rPr>
      </w:pPr>
    </w:p>
    <w:p>
      <w:pPr>
        <w:keepNext w:val="0"/>
        <w:keepLines w:val="0"/>
        <w:pageBreakBefore w:val="0"/>
        <w:widowControl w:val="0"/>
        <w:shd w:val="clear"/>
        <w:kinsoku/>
        <w:wordWrap/>
        <w:overflowPunct/>
        <w:topLinePunct w:val="0"/>
        <w:autoSpaceDE/>
        <w:autoSpaceDN/>
        <w:bidi w:val="0"/>
        <w:adjustRightInd w:val="0"/>
        <w:snapToGrid w:val="0"/>
        <w:spacing w:before="157" w:beforeLines="50" w:after="157" w:afterLines="50" w:line="360" w:lineRule="auto"/>
        <w:ind w:left="0" w:leftChars="0" w:firstLine="600" w:firstLineChars="200"/>
        <w:textAlignment w:val="auto"/>
        <w:outlineLvl w:val="9"/>
        <w:rPr>
          <w:rFonts w:hint="eastAsia" w:ascii="仿宋_GB2312" w:hAnsi="仿宋_GB2312" w:eastAsia="仿宋_GB2312" w:cs="仿宋_GB2312"/>
          <w:sz w:val="30"/>
          <w:szCs w:val="30"/>
        </w:rPr>
      </w:pPr>
    </w:p>
    <w:p>
      <w:pPr>
        <w:keepNext w:val="0"/>
        <w:keepLines w:val="0"/>
        <w:pageBreakBefore w:val="0"/>
        <w:widowControl w:val="0"/>
        <w:shd w:val="clear"/>
        <w:kinsoku/>
        <w:wordWrap/>
        <w:overflowPunct/>
        <w:topLinePunct w:val="0"/>
        <w:autoSpaceDE/>
        <w:autoSpaceDN/>
        <w:bidi w:val="0"/>
        <w:adjustRightInd w:val="0"/>
        <w:snapToGrid w:val="0"/>
        <w:spacing w:before="157" w:beforeLines="50" w:after="157" w:afterLines="50" w:line="360" w:lineRule="auto"/>
        <w:ind w:left="0" w:leftChars="0" w:firstLine="600" w:firstLineChars="200"/>
        <w:textAlignment w:val="auto"/>
        <w:outlineLvl w:val="9"/>
        <w:rPr>
          <w:rFonts w:hint="eastAsia" w:ascii="仿宋_GB2312" w:hAnsi="仿宋_GB2312" w:eastAsia="仿宋_GB2312" w:cs="仿宋_GB2312"/>
          <w:sz w:val="30"/>
          <w:szCs w:val="30"/>
        </w:rPr>
      </w:pPr>
    </w:p>
    <w:p>
      <w:pPr>
        <w:keepNext w:val="0"/>
        <w:keepLines w:val="0"/>
        <w:pageBreakBefore w:val="0"/>
        <w:widowControl w:val="0"/>
        <w:shd w:val="clear"/>
        <w:kinsoku/>
        <w:wordWrap/>
        <w:overflowPunct/>
        <w:topLinePunct w:val="0"/>
        <w:autoSpaceDE/>
        <w:autoSpaceDN/>
        <w:bidi w:val="0"/>
        <w:adjustRightInd w:val="0"/>
        <w:snapToGrid w:val="0"/>
        <w:spacing w:before="157" w:beforeLines="50" w:after="157" w:afterLines="50" w:line="360" w:lineRule="auto"/>
        <w:ind w:left="0" w:leftChars="0" w:firstLine="600" w:firstLineChars="200"/>
        <w:textAlignment w:val="auto"/>
        <w:outlineLvl w:val="9"/>
        <w:rPr>
          <w:rFonts w:hint="eastAsia" w:ascii="仿宋_GB2312" w:hAnsi="仿宋_GB2312" w:eastAsia="仿宋_GB2312" w:cs="仿宋_GB2312"/>
          <w:sz w:val="30"/>
          <w:szCs w:val="30"/>
        </w:rPr>
      </w:pPr>
    </w:p>
    <w:p>
      <w:pPr>
        <w:pStyle w:val="2"/>
        <w:keepNext w:val="0"/>
        <w:keepLines w:val="0"/>
        <w:pageBreakBefore w:val="0"/>
        <w:shd w:val="clear"/>
        <w:kinsoku/>
        <w:wordWrap/>
        <w:overflowPunct/>
        <w:topLinePunct w:val="0"/>
        <w:autoSpaceDE/>
        <w:autoSpaceDN/>
        <w:bidi w:val="0"/>
        <w:adjustRightInd w:val="0"/>
        <w:snapToGrid w:val="0"/>
        <w:spacing w:before="157" w:beforeLines="50" w:beforeAutospacing="0" w:after="157" w:afterLines="50" w:afterAutospacing="0" w:line="360" w:lineRule="auto"/>
        <w:ind w:left="0" w:leftChars="0" w:right="0" w:rightChars="0"/>
        <w:jc w:val="center"/>
        <w:textAlignment w:val="auto"/>
        <w:rPr>
          <w:rFonts w:hint="eastAsia" w:ascii="仿宋_GB2312" w:hAnsi="仿宋_GB2312" w:eastAsia="仿宋_GB2312" w:cs="仿宋_GB2312"/>
          <w:b/>
          <w:bCs/>
          <w:sz w:val="30"/>
          <w:szCs w:val="30"/>
        </w:rPr>
      </w:pPr>
    </w:p>
    <w:p>
      <w:pPr>
        <w:keepNext w:val="0"/>
        <w:keepLines w:val="0"/>
        <w:pageBreakBefore w:val="0"/>
        <w:shd w:val="clear"/>
        <w:kinsoku/>
        <w:wordWrap/>
        <w:overflowPunct/>
        <w:topLinePunct w:val="0"/>
        <w:autoSpaceDE/>
        <w:autoSpaceDN/>
        <w:bidi w:val="0"/>
        <w:spacing w:before="157" w:beforeLines="50" w:beforeAutospacing="0" w:after="157" w:afterLines="50" w:afterAutospacing="0" w:line="360" w:lineRule="auto"/>
        <w:ind w:left="0" w:leftChars="0" w:right="0" w:rightChars="0" w:firstLine="643" w:firstLineChars="200"/>
        <w:textAlignment w:val="auto"/>
        <w:rPr>
          <w:rFonts w:hint="eastAsia" w:ascii="宋体" w:hAnsi="宋体" w:eastAsia="宋体" w:cs="宋体"/>
          <w:b/>
          <w:bCs/>
          <w:sz w:val="32"/>
          <w:szCs w:val="32"/>
        </w:rPr>
      </w:pPr>
    </w:p>
    <w:p>
      <w:pPr>
        <w:keepNext w:val="0"/>
        <w:keepLines w:val="0"/>
        <w:pageBreakBefore w:val="0"/>
        <w:shd w:val="clear"/>
        <w:kinsoku/>
        <w:wordWrap/>
        <w:overflowPunct/>
        <w:topLinePunct w:val="0"/>
        <w:autoSpaceDE/>
        <w:autoSpaceDN/>
        <w:bidi w:val="0"/>
        <w:spacing w:before="157" w:beforeLines="50" w:beforeAutospacing="0" w:after="157" w:afterLines="50" w:afterAutospacing="0" w:line="360" w:lineRule="auto"/>
        <w:ind w:left="0" w:leftChars="0" w:right="0" w:rightChars="0" w:firstLine="643" w:firstLineChars="200"/>
        <w:textAlignment w:val="auto"/>
        <w:rPr>
          <w:rFonts w:hint="eastAsia" w:ascii="宋体" w:hAnsi="宋体" w:eastAsia="宋体" w:cs="宋体"/>
          <w:b/>
          <w:bCs/>
          <w:sz w:val="32"/>
          <w:szCs w:val="32"/>
        </w:rPr>
      </w:pPr>
    </w:p>
    <w:p>
      <w:pPr>
        <w:keepNext w:val="0"/>
        <w:keepLines w:val="0"/>
        <w:pageBreakBefore w:val="0"/>
        <w:shd w:val="clear"/>
        <w:kinsoku/>
        <w:wordWrap/>
        <w:overflowPunct/>
        <w:topLinePunct w:val="0"/>
        <w:autoSpaceDE/>
        <w:autoSpaceDN/>
        <w:bidi w:val="0"/>
        <w:spacing w:before="157" w:beforeLines="50" w:beforeAutospacing="0" w:after="157" w:afterLines="50" w:afterAutospacing="0" w:line="360" w:lineRule="auto"/>
        <w:ind w:left="0" w:leftChars="0" w:right="0" w:rightChars="0" w:firstLine="643" w:firstLineChars="200"/>
        <w:textAlignment w:val="auto"/>
        <w:rPr>
          <w:rFonts w:hint="eastAsia" w:ascii="宋体" w:hAnsi="宋体" w:eastAsia="宋体" w:cs="宋体"/>
          <w:b/>
          <w:bCs/>
          <w:sz w:val="32"/>
          <w:szCs w:val="32"/>
        </w:rPr>
      </w:pPr>
    </w:p>
    <w:p>
      <w:pPr>
        <w:keepNext w:val="0"/>
        <w:keepLines w:val="0"/>
        <w:pageBreakBefore w:val="0"/>
        <w:shd w:val="clear"/>
        <w:kinsoku/>
        <w:wordWrap/>
        <w:overflowPunct/>
        <w:topLinePunct w:val="0"/>
        <w:autoSpaceDE/>
        <w:autoSpaceDN/>
        <w:bidi w:val="0"/>
        <w:spacing w:before="157" w:beforeLines="50" w:beforeAutospacing="0" w:after="157" w:afterLines="50" w:afterAutospacing="0" w:line="360" w:lineRule="auto"/>
        <w:ind w:left="0" w:leftChars="0" w:right="0" w:rightChars="0" w:firstLine="643" w:firstLineChars="200"/>
        <w:textAlignment w:val="auto"/>
        <w:rPr>
          <w:rFonts w:hint="eastAsia" w:ascii="宋体" w:hAnsi="宋体" w:eastAsia="宋体" w:cs="宋体"/>
          <w:b/>
          <w:bCs/>
          <w:sz w:val="32"/>
          <w:szCs w:val="32"/>
        </w:rPr>
      </w:pPr>
    </w:p>
    <w:p>
      <w:pPr>
        <w:keepNext w:val="0"/>
        <w:keepLines w:val="0"/>
        <w:pageBreakBefore w:val="0"/>
        <w:shd w:val="clear"/>
        <w:kinsoku/>
        <w:wordWrap/>
        <w:overflowPunct/>
        <w:topLinePunct w:val="0"/>
        <w:autoSpaceDE/>
        <w:autoSpaceDN/>
        <w:bidi w:val="0"/>
        <w:spacing w:before="157" w:beforeLines="50" w:beforeAutospacing="0" w:after="157" w:afterLines="50" w:afterAutospacing="0"/>
        <w:ind w:left="0" w:leftChars="0" w:right="0" w:rightChars="0"/>
        <w:textAlignment w:val="auto"/>
        <w:rPr>
          <w:rFonts w:hint="eastAsia" w:ascii="宋体" w:hAnsi="宋体" w:eastAsia="宋体" w:cs="宋体"/>
          <w:sz w:val="30"/>
          <w:szCs w:val="30"/>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4791710</wp:posOffset>
              </wp:positionH>
              <wp:positionV relativeFrom="paragraph">
                <wp:posOffset>-91440</wp:posOffset>
              </wp:positionV>
              <wp:extent cx="1828800" cy="304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304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30"/>
                              <w:szCs w:val="30"/>
                              <w:lang w:eastAsia="zh-CN"/>
                            </w:rPr>
                          </w:pP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7.3pt;margin-top:-7.2pt;height:24pt;width:144pt;mso-position-horizontal-relative:margin;mso-wrap-style:none;z-index:251658240;mso-width-relative:page;mso-height-relative:page;" filled="f" stroked="f" coordsize="21600,21600" o:gfxdata="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YUWWLaAAAACwEAAA8A&#10;AAAAAAAAAQAgAAAAIgAAAGRycy9kb3ducmV2LnhtbFBLAQIUABQAAAAIAIdO4kAK55tmFQIAABIE&#10;AAAOAAAAAAAAAAEAIAAAACkBAABkcnMvZTJvRG9jLnhtbFBLBQYAAAAABgAGAFkBAACwBQAAAAA=&#10;">
              <v:fill on="f" focussize="0,0"/>
              <v:stroke on="f" weight="0.5pt"/>
              <v:imagedata o:title=""/>
              <o:lock v:ext="edit" aspectratio="f"/>
              <v:textbox inset="0mm,0mm,0mm,0mm">
                <w:txbxContent>
                  <w:p>
                    <w:pPr>
                      <w:pStyle w:val="3"/>
                      <w:rPr>
                        <w:rFonts w:hint="eastAsia" w:ascii="仿宋_GB2312" w:hAnsi="仿宋_GB2312" w:eastAsia="仿宋_GB2312" w:cs="仿宋_GB2312"/>
                        <w:sz w:val="30"/>
                        <w:szCs w:val="30"/>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F6DFB"/>
    <w:rsid w:val="03232A12"/>
    <w:rsid w:val="041610F4"/>
    <w:rsid w:val="04784665"/>
    <w:rsid w:val="05AF01EE"/>
    <w:rsid w:val="066541B7"/>
    <w:rsid w:val="067C0C28"/>
    <w:rsid w:val="07276AFD"/>
    <w:rsid w:val="078C2EA5"/>
    <w:rsid w:val="08046C87"/>
    <w:rsid w:val="08ED4CFC"/>
    <w:rsid w:val="0AE44C74"/>
    <w:rsid w:val="0BD37FE3"/>
    <w:rsid w:val="0D142FEE"/>
    <w:rsid w:val="0D646DDD"/>
    <w:rsid w:val="0D6A198B"/>
    <w:rsid w:val="0DF62329"/>
    <w:rsid w:val="0F3A5E43"/>
    <w:rsid w:val="0F5E6AAE"/>
    <w:rsid w:val="0F654AA9"/>
    <w:rsid w:val="0F6726FC"/>
    <w:rsid w:val="10CC046A"/>
    <w:rsid w:val="11EF09E0"/>
    <w:rsid w:val="1258274F"/>
    <w:rsid w:val="12FE0502"/>
    <w:rsid w:val="135B4B0D"/>
    <w:rsid w:val="143F7371"/>
    <w:rsid w:val="148A43D9"/>
    <w:rsid w:val="14B66BEF"/>
    <w:rsid w:val="15B879C3"/>
    <w:rsid w:val="19307CEC"/>
    <w:rsid w:val="196E403F"/>
    <w:rsid w:val="1A013DE5"/>
    <w:rsid w:val="1AEB2202"/>
    <w:rsid w:val="1C440DAB"/>
    <w:rsid w:val="1D755FB7"/>
    <w:rsid w:val="1E9701B6"/>
    <w:rsid w:val="1F323751"/>
    <w:rsid w:val="1FFE66C7"/>
    <w:rsid w:val="209A6B81"/>
    <w:rsid w:val="21177392"/>
    <w:rsid w:val="21B233FC"/>
    <w:rsid w:val="22000334"/>
    <w:rsid w:val="22D46788"/>
    <w:rsid w:val="236E32C0"/>
    <w:rsid w:val="23992939"/>
    <w:rsid w:val="23B673AE"/>
    <w:rsid w:val="259823ED"/>
    <w:rsid w:val="25AE6CA9"/>
    <w:rsid w:val="25D24E59"/>
    <w:rsid w:val="25E90C99"/>
    <w:rsid w:val="2635034A"/>
    <w:rsid w:val="263C563C"/>
    <w:rsid w:val="26E45546"/>
    <w:rsid w:val="28362170"/>
    <w:rsid w:val="29B866FF"/>
    <w:rsid w:val="2B0265B0"/>
    <w:rsid w:val="2B315745"/>
    <w:rsid w:val="2E664085"/>
    <w:rsid w:val="2E711E0C"/>
    <w:rsid w:val="2F0E3B3F"/>
    <w:rsid w:val="308B4799"/>
    <w:rsid w:val="32C55FAB"/>
    <w:rsid w:val="32E80817"/>
    <w:rsid w:val="33681805"/>
    <w:rsid w:val="338D0233"/>
    <w:rsid w:val="35005724"/>
    <w:rsid w:val="36DE27AA"/>
    <w:rsid w:val="3721686E"/>
    <w:rsid w:val="3764085B"/>
    <w:rsid w:val="395C5FAE"/>
    <w:rsid w:val="39696494"/>
    <w:rsid w:val="396F3EBB"/>
    <w:rsid w:val="3BC933AA"/>
    <w:rsid w:val="3C5A5603"/>
    <w:rsid w:val="3CCF0794"/>
    <w:rsid w:val="41493698"/>
    <w:rsid w:val="414B6F7A"/>
    <w:rsid w:val="418548A1"/>
    <w:rsid w:val="41ED2FA5"/>
    <w:rsid w:val="424226BA"/>
    <w:rsid w:val="42D319D7"/>
    <w:rsid w:val="4338780E"/>
    <w:rsid w:val="443C243E"/>
    <w:rsid w:val="4564468C"/>
    <w:rsid w:val="45B57178"/>
    <w:rsid w:val="485036CB"/>
    <w:rsid w:val="488B2196"/>
    <w:rsid w:val="49DF7D0A"/>
    <w:rsid w:val="4AAB6C73"/>
    <w:rsid w:val="4AE22B9E"/>
    <w:rsid w:val="4B1E7455"/>
    <w:rsid w:val="4B3B5AE3"/>
    <w:rsid w:val="4B855B25"/>
    <w:rsid w:val="4D1E6C75"/>
    <w:rsid w:val="4E932EA4"/>
    <w:rsid w:val="4E9F7931"/>
    <w:rsid w:val="4EFA1D2B"/>
    <w:rsid w:val="4F91092C"/>
    <w:rsid w:val="50072555"/>
    <w:rsid w:val="50256A95"/>
    <w:rsid w:val="50705AD9"/>
    <w:rsid w:val="50A32B07"/>
    <w:rsid w:val="50AA2C7B"/>
    <w:rsid w:val="50D54912"/>
    <w:rsid w:val="52CE7C18"/>
    <w:rsid w:val="54DB7D91"/>
    <w:rsid w:val="56552E49"/>
    <w:rsid w:val="5680530C"/>
    <w:rsid w:val="58E75809"/>
    <w:rsid w:val="593B2C5F"/>
    <w:rsid w:val="59F83851"/>
    <w:rsid w:val="5A485624"/>
    <w:rsid w:val="5A9B3833"/>
    <w:rsid w:val="5BAC0D85"/>
    <w:rsid w:val="5D4D2CAB"/>
    <w:rsid w:val="5E874B93"/>
    <w:rsid w:val="5EF53E08"/>
    <w:rsid w:val="5F4056F6"/>
    <w:rsid w:val="60993988"/>
    <w:rsid w:val="60A77395"/>
    <w:rsid w:val="61104758"/>
    <w:rsid w:val="61A163CF"/>
    <w:rsid w:val="637E336D"/>
    <w:rsid w:val="65AB54C5"/>
    <w:rsid w:val="65F33BD6"/>
    <w:rsid w:val="663E4A19"/>
    <w:rsid w:val="668A1274"/>
    <w:rsid w:val="668A5BE0"/>
    <w:rsid w:val="66D319BB"/>
    <w:rsid w:val="66EF7E94"/>
    <w:rsid w:val="68A0627C"/>
    <w:rsid w:val="6A273A69"/>
    <w:rsid w:val="6ABF5344"/>
    <w:rsid w:val="6B1F3A55"/>
    <w:rsid w:val="6B5D7EFD"/>
    <w:rsid w:val="6C975276"/>
    <w:rsid w:val="6CA16D60"/>
    <w:rsid w:val="6D8C7C34"/>
    <w:rsid w:val="6E327C32"/>
    <w:rsid w:val="6EC70F47"/>
    <w:rsid w:val="6EDA5D29"/>
    <w:rsid w:val="6FA75E5D"/>
    <w:rsid w:val="6FD30B51"/>
    <w:rsid w:val="712C5579"/>
    <w:rsid w:val="72213EE0"/>
    <w:rsid w:val="7359557A"/>
    <w:rsid w:val="73BC426F"/>
    <w:rsid w:val="73BE5BA1"/>
    <w:rsid w:val="74392A0E"/>
    <w:rsid w:val="74501464"/>
    <w:rsid w:val="753C4F9B"/>
    <w:rsid w:val="7565581D"/>
    <w:rsid w:val="75CB234A"/>
    <w:rsid w:val="75CF275A"/>
    <w:rsid w:val="76F447E2"/>
    <w:rsid w:val="77864053"/>
    <w:rsid w:val="77E87F01"/>
    <w:rsid w:val="77F64FD4"/>
    <w:rsid w:val="78963F89"/>
    <w:rsid w:val="796A0DF0"/>
    <w:rsid w:val="7A192E73"/>
    <w:rsid w:val="7A2325BA"/>
    <w:rsid w:val="7A4412CA"/>
    <w:rsid w:val="7B392023"/>
    <w:rsid w:val="7B9C4895"/>
    <w:rsid w:val="7BEA72D3"/>
    <w:rsid w:val="7C4B77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widowControl/>
      <w:spacing w:before="100" w:beforeAutospacing="1" w:after="100" w:afterAutospacing="1"/>
      <w:jc w:val="left"/>
      <w:outlineLvl w:val="1"/>
    </w:pPr>
    <w:rPr>
      <w:rFonts w:ascii="宋体" w:hAnsi="宋体" w:cs="宋体"/>
      <w:kern w:val="0"/>
      <w:sz w:val="36"/>
      <w:szCs w:val="36"/>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2017-09-04T07:42:00Z</dcterms:created>
  <dc:creator>DTHLenovo</dc:creator>
  <cp:lastModifiedBy>Administrator</cp:lastModifiedBy>
  <cp:lastPrinted>2018-04-19T02:28:00Z</cp:lastPrinted>
  <dcterms:modified xsi:type="dcterms:W3CDTF">2020-09-01T08:39:10Z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