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ind w:left="91"/>
        <w:jc w:val="left"/>
        <w:rPr>
          <w:rFonts w:hint="eastAsia" w:ascii="黑体" w:hAnsi="宋体" w:eastAsia="黑体" w:cs="宋体"/>
          <w:kern w:val="0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-104775</wp:posOffset>
                </wp:positionV>
                <wp:extent cx="200660" cy="63366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33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05pt;margin-top:-8.25pt;height:498.95pt;width:15.8pt;z-index:251660288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cXnjNcAAAAKAQAADwAAAAAAAAABACAAAAAiAAAA&#10;ZHJzL2Rvd25yZXYueG1sUEsBAhQAFAAAAAgAh07iQF59Oz3PAQAAlwMAAA4AAAAAAAAAAQAgAAAA&#10;J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wordWrap w:val="0"/>
                        <w:spacing w:line="360" w:lineRule="exact"/>
                        <w:jc w:val="right"/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24"/>
          <w:szCs w:val="24"/>
        </w:rPr>
        <w:t>附件：</w: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>
      <w:pPr>
        <w:widowControl/>
        <w:spacing w:after="117" w:afterLines="20" w:line="500" w:lineRule="exact"/>
        <w:ind w:left="91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专项资金绩效监控情况表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区卫生财务核算中心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tbl>
      <w:tblPr>
        <w:tblStyle w:val="2"/>
        <w:tblW w:w="16251" w:type="dxa"/>
        <w:tblInd w:w="-92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9"/>
        <w:gridCol w:w="40"/>
        <w:gridCol w:w="1443"/>
        <w:gridCol w:w="880"/>
        <w:gridCol w:w="69"/>
        <w:gridCol w:w="932"/>
        <w:gridCol w:w="953"/>
        <w:gridCol w:w="791"/>
        <w:gridCol w:w="871"/>
        <w:gridCol w:w="791"/>
        <w:gridCol w:w="953"/>
        <w:gridCol w:w="750"/>
        <w:gridCol w:w="1062"/>
        <w:gridCol w:w="675"/>
        <w:gridCol w:w="510"/>
        <w:gridCol w:w="975"/>
        <w:gridCol w:w="224"/>
        <w:gridCol w:w="871"/>
        <w:gridCol w:w="360"/>
        <w:gridCol w:w="796"/>
        <w:gridCol w:w="9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乡镇卫生院及乡村医生零差价补贴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预算安排资金(万元)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功能科目编码及名称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210.03.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99其他基层医疗卫生机构支出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区卫生财务核算中心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新增项目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18390407250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  <w:t>该项目是为了维护群众的基本医疗卫生权益，体现基本医疗卫生的公益性。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项目组织管理情况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是否实施招投标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是否实施政府采购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□是　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是否实行合同管理制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 □否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  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都严格按照财政规定执行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单位已有的（或拟订的）保证项目实施的制度、措施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财务管理制度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、《基层医疗卫生机构实施国家基本药物制度补助资金管理办法》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具体工作措施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由卫生核算中心分配至乡镇卫生院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资金安排使用情况（万元）</w:t>
            </w:r>
          </w:p>
        </w:tc>
        <w:tc>
          <w:tcPr>
            <w:tcW w:w="23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全年安排资金额</w:t>
            </w: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5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已到位资金（万元）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当季已到位资金(万元)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累计已到位资金（万元）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(万元)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资金总额 (=1+2+3)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其中：1.财政拨款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2.自有资金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其中:事业收入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经营性收入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其他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3.其他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产出成果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4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下一步改进意见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0E5B"/>
    <w:rsid w:val="26D621D4"/>
    <w:rsid w:val="6F8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2020-10-20T02:25:00Z</dcterms:created>
  <dc:creator>嗯！不瘦20斤我就不改名字了</dc:creator>
  <cp:lastModifiedBy>嗯！不瘦20斤我就不改名字了</cp:lastModifiedBy>
  <dcterms:modified xsi:type="dcterms:W3CDTF">2020-12-09T08:22:44Z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