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tabs>
          <w:tab w:val="left" w:pos="770"/>
          <w:tab w:val="left" w:pos="1933"/>
          <w:tab w:val="left" w:pos="2813"/>
          <w:tab w:val="left" w:pos="3933"/>
          <w:tab w:val="left" w:pos="4733"/>
          <w:tab w:val="left" w:pos="547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pacing w:line="500" w:lineRule="exact"/>
        <w:ind w:left="91"/>
        <w:jc w:val="left"/>
        <w:rPr>
          <w:rFonts w:hint="eastAsia" w:ascii="黑体" w:hAnsi="宋体" w:eastAsia="黑体" w:cs="宋体"/>
          <w:kern w:val="0"/>
          <w:szCs w:val="32"/>
        </w:rPr>
      </w:pPr>
      <w:bookmarkStart w:id="0" w:name="_GoBack"/>
      <w:bookmarkEnd w:id="0"/>
      <w:r>
        <w:rPr>
          <w:rFonts w:hint="eastAsia" w:ascii="黑体" w:hAnsi="宋体" w:eastAsia="黑体" w:cs="宋体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-229235</wp:posOffset>
                </wp:positionH>
                <wp:positionV relativeFrom="paragraph">
                  <wp:posOffset>-104775</wp:posOffset>
                </wp:positionV>
                <wp:extent cx="200660" cy="6336665"/>
                <wp:effectExtent l="0" t="0" r="0" b="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660" cy="63366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wordWrap w:val="0"/>
                              <w:spacing w:line="360" w:lineRule="exact"/>
                              <w:jc w:val="right"/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宋体" w:hAnsi="宋体" w:eastAsia="宋体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eaVert" wrap="square" lIns="0" tIns="0" rIns="0" bIns="0" anchor="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18.05pt;margin-top:-8.25pt;height:498.95pt;width:15.8pt;z-index:251658240;mso-width-relative:page;mso-height-relative:page;" filled="f" stroked="f" coordsize="21600,21600" o:gfxdata="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C3F54zXAAAACgEAAA8A&#10;AAAAAAAAAQAgAAAAIgAAAGRycy9kb3ducmV2LnhtbFBLAQIUABQAAAAIAIdO4kCc5hGN3wEAALAD&#10;AAAOAAAAAAAAAAEAIAAAACYBAABkcnMvZTJvRG9jLnhtbFBLBQYAAAAABgAGAFkBAAB3BQAAAAA=&#10;">
                <v:fill on="f" focussize="0,0"/>
                <v:stroke on="f"/>
                <v:imagedata o:title=""/>
                <o:lock v:ext="edit" aspectratio="f"/>
                <v:textbox inset="0mm,0mm,0mm,0mm" style="layout-flow:vertical-ideographic;">
                  <w:txbxContent>
                    <w:p>
                      <w:pPr>
                        <w:wordWrap w:val="0"/>
                        <w:spacing w:line="360" w:lineRule="exact"/>
                        <w:jc w:val="right"/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宋体" w:hAnsi="宋体" w:eastAsia="宋体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黑体" w:hAnsi="宋体" w:eastAsia="黑体" w:cs="宋体"/>
          <w:kern w:val="0"/>
          <w:sz w:val="24"/>
          <w:szCs w:val="24"/>
        </w:rPr>
        <w:t>附件：</w:t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  <w:r>
        <w:rPr>
          <w:rFonts w:hint="eastAsia" w:ascii="黑体" w:hAnsi="宋体" w:eastAsia="黑体" w:cs="宋体"/>
          <w:kern w:val="0"/>
          <w:szCs w:val="32"/>
        </w:rPr>
        <w:tab/>
      </w:r>
    </w:p>
    <w:p>
      <w:pPr>
        <w:widowControl/>
        <w:spacing w:after="117" w:afterLines="20" w:line="500" w:lineRule="exact"/>
        <w:ind w:left="91"/>
        <w:jc w:val="center"/>
        <w:rPr>
          <w:rFonts w:hint="eastAsia" w:ascii="黑体" w:hAnsi="宋体" w:eastAsia="黑体" w:cs="宋体"/>
          <w:bCs/>
          <w:kern w:val="0"/>
          <w:sz w:val="36"/>
          <w:szCs w:val="36"/>
        </w:rPr>
      </w:pPr>
      <w:r>
        <w:rPr>
          <w:rFonts w:hint="eastAsia" w:ascii="黑体" w:hAnsi="宋体" w:eastAsia="黑体" w:cs="宋体"/>
          <w:bCs/>
          <w:kern w:val="0"/>
          <w:sz w:val="36"/>
          <w:szCs w:val="36"/>
        </w:rPr>
        <w:t>专项资金绩效监控情况表</w:t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18"/>
          <w:szCs w:val="18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填报单位（盖章）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区卫生财务核算中心</w:t>
      </w:r>
      <w:r>
        <w:rPr>
          <w:rFonts w:ascii="宋体" w:hAnsi="宋体" w:eastAsia="宋体" w:cs="宋体"/>
          <w:kern w:val="0"/>
          <w:sz w:val="18"/>
          <w:szCs w:val="18"/>
        </w:rPr>
        <w:tab/>
      </w:r>
    </w:p>
    <w:p>
      <w:pPr>
        <w:widowControl/>
        <w:tabs>
          <w:tab w:val="left" w:pos="1933"/>
          <w:tab w:val="left" w:pos="2813"/>
          <w:tab w:val="left" w:pos="3933"/>
          <w:tab w:val="left" w:pos="6493"/>
          <w:tab w:val="left" w:pos="7653"/>
          <w:tab w:val="left" w:pos="8933"/>
          <w:tab w:val="left" w:pos="9953"/>
          <w:tab w:val="left" w:pos="10933"/>
          <w:tab w:val="left" w:pos="12233"/>
          <w:tab w:val="left" w:pos="13393"/>
          <w:tab w:val="left" w:pos="14413"/>
          <w:tab w:val="left" w:pos="15433"/>
          <w:tab w:val="left" w:pos="16593"/>
          <w:tab w:val="left" w:pos="17753"/>
        </w:tabs>
        <w:snapToGrid w:val="0"/>
        <w:ind w:left="91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  <w:r>
        <w:rPr>
          <w:rFonts w:ascii="宋体" w:hAnsi="宋体" w:eastAsia="宋体" w:cs="宋体"/>
          <w:kern w:val="0"/>
          <w:sz w:val="24"/>
          <w:szCs w:val="24"/>
        </w:rPr>
        <w:tab/>
      </w:r>
    </w:p>
    <w:tbl>
      <w:tblPr>
        <w:tblStyle w:val="3"/>
        <w:tblW w:w="16251" w:type="dxa"/>
        <w:tblInd w:w="-929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79"/>
        <w:gridCol w:w="40"/>
        <w:gridCol w:w="1443"/>
        <w:gridCol w:w="880"/>
        <w:gridCol w:w="69"/>
        <w:gridCol w:w="932"/>
        <w:gridCol w:w="953"/>
        <w:gridCol w:w="791"/>
        <w:gridCol w:w="871"/>
        <w:gridCol w:w="791"/>
        <w:gridCol w:w="953"/>
        <w:gridCol w:w="750"/>
        <w:gridCol w:w="1062"/>
        <w:gridCol w:w="675"/>
        <w:gridCol w:w="510"/>
        <w:gridCol w:w="975"/>
        <w:gridCol w:w="224"/>
        <w:gridCol w:w="871"/>
        <w:gridCol w:w="360"/>
        <w:gridCol w:w="796"/>
        <w:gridCol w:w="926"/>
      </w:tblGrid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89" w:hRule="atLeast"/>
        </w:trPr>
        <w:tc>
          <w:tcPr>
            <w:tcW w:w="13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基本情况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基层医疗机构药品零售差价补贴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预算安排资金(万元)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290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功能科目编码及名称</w:t>
            </w:r>
          </w:p>
        </w:tc>
        <w:tc>
          <w:tcPr>
            <w:tcW w:w="317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210.03.02乡镇卫生院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59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项目实施单位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区卫生财务核算中心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项目类型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延续项目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新增项目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18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联络人：</w:t>
            </w:r>
          </w:p>
        </w:tc>
        <w:tc>
          <w:tcPr>
            <w:tcW w:w="9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455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联系电话：</w:t>
            </w:r>
          </w:p>
        </w:tc>
        <w:tc>
          <w:tcPr>
            <w:tcW w:w="172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18390407250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10" w:hRule="atLeast"/>
        </w:trPr>
        <w:tc>
          <w:tcPr>
            <w:tcW w:w="13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项目概况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宋体" w:cs="宋体"/>
                <w:kern w:val="0"/>
                <w:sz w:val="24"/>
                <w:szCs w:val="24"/>
                <w:lang w:val="en-US" w:eastAsia="zh-CN"/>
              </w:rPr>
              <w:t>该项目是为了保证群众基本用药需求，维护群众的基本医疗卫生权益，改变医疗机构“以药补医”的运行机制，体现基本医疗卫生的公益性。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8" w:hRule="atLeast"/>
        </w:trPr>
        <w:tc>
          <w:tcPr>
            <w:tcW w:w="137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项目组织管理情况</w:t>
            </w: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是否实施招投标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是否实施政府采购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□是　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否    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是否实行合同管理制</w:t>
            </w:r>
          </w:p>
        </w:tc>
        <w:tc>
          <w:tcPr>
            <w:tcW w:w="26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是 □否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  <w:tc>
          <w:tcPr>
            <w:tcW w:w="166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采购金额</w:t>
            </w:r>
          </w:p>
        </w:tc>
        <w:tc>
          <w:tcPr>
            <w:tcW w:w="8102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万元     实际采购金额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万元   </w:t>
            </w:r>
          </w:p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sym w:font="Wingdings 2" w:char="0052"/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无该项内容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87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项目调整内容及报批程序和手续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都严格按照财政规定执行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8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单位已有的（或拟订的）保证项目实施的制度、措施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《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val="en-US" w:eastAsia="zh-CN"/>
              </w:rPr>
              <w:t>财务管理制度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》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</w:rPr>
              <w:t>　</w:t>
            </w: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、《基层医疗卫生机构实施国家基本药物制度补助资金管理办法》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3" w:hRule="atLeast"/>
        </w:trPr>
        <w:tc>
          <w:tcPr>
            <w:tcW w:w="13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43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具体工作措施</w:t>
            </w:r>
          </w:p>
        </w:tc>
        <w:tc>
          <w:tcPr>
            <w:tcW w:w="12440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cs="宋体"/>
                <w:kern w:val="0"/>
                <w:sz w:val="24"/>
                <w:szCs w:val="24"/>
                <w:lang w:eastAsia="zh-CN"/>
              </w:rPr>
              <w:t>由卫生核算中心按乡镇卫生院服务人口核定数进行分配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143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分 季 度 执 行 情 况 （一）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资金安排使用情况（万元）</w:t>
            </w:r>
          </w:p>
        </w:tc>
        <w:tc>
          <w:tcPr>
            <w:tcW w:w="232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全年安排资金额</w:t>
            </w: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第1-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季度</w:t>
            </w:r>
          </w:p>
        </w:tc>
        <w:tc>
          <w:tcPr>
            <w:tcW w:w="276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第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季度</w:t>
            </w:r>
          </w:p>
        </w:tc>
        <w:tc>
          <w:tcPr>
            <w:tcW w:w="5337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年度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0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已到位资金（万元）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当季已到位资金(万元)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出资金(万元)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支出实现率</w:t>
            </w: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累计已到位资金（万元）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到位率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实际支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出资金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(万元)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支出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实现率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83" w:hRule="atLeast"/>
        </w:trPr>
        <w:tc>
          <w:tcPr>
            <w:tcW w:w="1419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资金总额 (=1+2+3)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53.31%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7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87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53.31%</w:t>
            </w:r>
          </w:p>
        </w:tc>
        <w:tc>
          <w:tcPr>
            <w:tcW w:w="115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9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其中：1.财政拨款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290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53.31%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53.31%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154.6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100%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2.自有资金 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15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其中:事业收入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3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righ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经营性收入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5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     其他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74" w:hRule="atLeast"/>
        </w:trPr>
        <w:tc>
          <w:tcPr>
            <w:tcW w:w="141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3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3.其他 </w:t>
            </w:r>
          </w:p>
        </w:tc>
        <w:tc>
          <w:tcPr>
            <w:tcW w:w="10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0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7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11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0" w:hRule="atLeast"/>
        </w:trPr>
        <w:tc>
          <w:tcPr>
            <w:tcW w:w="16251" w:type="dxa"/>
            <w:gridSpan w:val="2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监    控    报    告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3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产出成果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基层医疗机构药品零售差价补贴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已全部分配上半年资金，收益人口覆盖全区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96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存在的问题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由于部分基药网上采购不到，及有些药品采购量少，运送公司不愿意运送，造成部门药品采购价格高于市场价格；2.基本药品配送速度较慢；3.医疗卫生机构使用的药品价格相对固定，与药品零售店自主的定价机制比较起来，显得灵活性不足，削减了医疗机构的竞争力</w:t>
            </w:r>
          </w:p>
        </w:tc>
      </w:tr>
      <w:tr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304" w:hRule="atLeast"/>
        </w:trPr>
        <w:tc>
          <w:tcPr>
            <w:tcW w:w="28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下一步改进意见</w:t>
            </w:r>
          </w:p>
        </w:tc>
        <w:tc>
          <w:tcPr>
            <w:tcW w:w="13389" w:type="dxa"/>
            <w:gridSpan w:val="1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1.完善基本药品网上采购制度，尽量让群众能普遍用到基本药物；2.建议主管部门与药品运送企业协商解决药品配送问题；3.完善省级药品政策，完善省级药品采购平台的功能。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557544"/>
    <w:rsid w:val="300F1137"/>
    <w:rsid w:val="65557544"/>
    <w:rsid w:val="72E47A7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semiHidden/>
    <w:qFormat/>
    <w:uiPriority w:val="0"/>
    <w:pPr>
      <w:spacing w:line="580" w:lineRule="exact"/>
      <w:ind w:left="350" w:hanging="350" w:hangingChars="350"/>
    </w:pPr>
    <w:rPr>
      <w:rFonts w:ascii="仿宋_GB2312" w:hAnsi="Calibri" w:cs="Arial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2020-10-20T01:37:00Z</dcterms:created>
  <dc:creator>嗯！不瘦20斤我就不改名字了</dc:creator>
  <cp:lastModifiedBy>嗯！不瘦20斤我就不改名字了</cp:lastModifiedBy>
  <dcterms:modified xsi:type="dcterms:W3CDTF">2020-12-09T08:23:31Z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