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17" w:afterLines="20" w:line="500" w:lineRule="exact"/>
        <w:ind w:left="91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专项资金绩效监控情况表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ab/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</w:p>
    <w:tbl>
      <w:tblPr>
        <w:tblStyle w:val="4"/>
        <w:tblW w:w="16251" w:type="dxa"/>
        <w:tblInd w:w="-92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9"/>
        <w:gridCol w:w="40"/>
        <w:gridCol w:w="833"/>
        <w:gridCol w:w="1490"/>
        <w:gridCol w:w="69"/>
        <w:gridCol w:w="932"/>
        <w:gridCol w:w="953"/>
        <w:gridCol w:w="791"/>
        <w:gridCol w:w="871"/>
        <w:gridCol w:w="791"/>
        <w:gridCol w:w="953"/>
        <w:gridCol w:w="750"/>
        <w:gridCol w:w="1062"/>
        <w:gridCol w:w="675"/>
        <w:gridCol w:w="510"/>
        <w:gridCol w:w="975"/>
        <w:gridCol w:w="224"/>
        <w:gridCol w:w="871"/>
        <w:gridCol w:w="360"/>
        <w:gridCol w:w="796"/>
        <w:gridCol w:w="9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宣传经费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预算安排资金(万元)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功能科目编码及名称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2079999其他文化体育与传媒支出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区委宣传统战部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新增项目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联络人：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18397649043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  <w:t>用于宣传费用支出，其中主要包括益阳日报宣传费8万、湖南日报宣传费13万、红网30万、益阳电视台新闻联播节目费用5万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项目组织管理情况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是否实施招投标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是否实施政府采购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□是　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               □无该项内容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是否实行合同管理制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采购金额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  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万元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都严格按照财政规定执行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单位已有的（或拟订的）保证项目实施的制度、措施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财务管理制度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内部控制制度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具体工作措施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在我区疫情防控、防汛抗灾、脱贫攻坚、建区20周年等专题宣传及日常宣传上借助益阳日报、湖南日报、红网、益阳电视台等媒体平台的宣传，并将在11月或12月出版大通湖宣传推介专版或专题。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分 季 度 执 行 情 况 （一）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资金安排使用情况（万元）</w:t>
            </w:r>
          </w:p>
        </w:tc>
        <w:tc>
          <w:tcPr>
            <w:tcW w:w="23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全年安排资金额</w:t>
            </w: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第1-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季度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季度</w:t>
            </w:r>
          </w:p>
        </w:tc>
        <w:tc>
          <w:tcPr>
            <w:tcW w:w="5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已到位资金（万元）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当季已到位资金(万元)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累计已到位资金（万元）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出资金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(万元)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实现率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资金总额 (=1+2+3)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其中：1.财政拨款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2.自有资金 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其中:事业收入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经营性收入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其他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3.其他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监    控    报    告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3" w:hRule="atLeast"/>
        </w:trPr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产出成果</w:t>
            </w:r>
          </w:p>
        </w:tc>
        <w:tc>
          <w:tcPr>
            <w:tcW w:w="139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日报、红网、华声在线、益阳日报、益阳电视台等媒体，在我区疫情防控、防汛抗灾、脱贫攻坚、建区20周年等专题宣传及日常宣传上给予了大力支持，并将在11月或12月出版大通湖宣传推介专版或专题，对2020年大通湖区的外宣工作起到了很好的效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</w:trPr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39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目实际实施中与预算有偏差；系统暂不能实现信息共享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4" w:hRule="atLeast"/>
        </w:trPr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下一步改进意见</w:t>
            </w:r>
          </w:p>
        </w:tc>
        <w:tc>
          <w:tcPr>
            <w:tcW w:w="139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1.细化预算，保证预决算一致；2.完善信息平台，保证信息共享；3.进一步加强资产的管理，完善了固定资产档案，严格报批、销审等手续。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C26F7"/>
    <w:rsid w:val="03D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580" w:lineRule="exact"/>
      <w:ind w:left="350" w:hanging="350" w:hangingChars="350"/>
    </w:pPr>
    <w:rPr>
      <w:rFonts w:ascii="仿宋_GB2312" w:hAnsi="Calibri" w:cs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2020-12-17T10:50:00Z</dcterms:created>
  <dc:creator>Administrator</dc:creator>
  <cp:lastModifiedBy>Administrator</cp:lastModifiedBy>
  <dcterms:modified xsi:type="dcterms:W3CDTF">2020-12-17T10:51:01Z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