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eastAsia="华康简标题宋"/>
          <w:sz w:val="44"/>
          <w:szCs w:val="44"/>
          <w:lang w:eastAsia="zh-CN"/>
        </w:rPr>
      </w:pPr>
      <w:r>
        <w:rPr>
          <w:rFonts w:hint="eastAsia" w:eastAsia="华康简标题宋"/>
          <w:sz w:val="44"/>
          <w:szCs w:val="44"/>
        </w:rPr>
        <w:t>大通湖区</w:t>
      </w:r>
      <w:r>
        <w:rPr>
          <w:rFonts w:hint="eastAsia" w:eastAsia="华康简标题宋"/>
          <w:sz w:val="44"/>
          <w:szCs w:val="44"/>
          <w:lang w:eastAsia="zh-CN"/>
        </w:rPr>
        <w:t>委宣传统战部</w:t>
      </w:r>
    </w:p>
    <w:p>
      <w:pPr>
        <w:ind w:firstLine="0" w:firstLineChars="0"/>
        <w:jc w:val="center"/>
        <w:rPr>
          <w:rFonts w:eastAsia="华康简标题宋"/>
          <w:sz w:val="44"/>
          <w:szCs w:val="44"/>
        </w:rPr>
      </w:pPr>
      <w:r>
        <w:rPr>
          <w:rFonts w:hint="eastAsia" w:eastAsia="华康简标题宋"/>
          <w:sz w:val="44"/>
          <w:szCs w:val="44"/>
        </w:rPr>
        <w:t>201</w:t>
      </w:r>
      <w:r>
        <w:rPr>
          <w:rFonts w:hint="eastAsia" w:eastAsia="华康简标题宋"/>
          <w:sz w:val="44"/>
          <w:szCs w:val="44"/>
          <w:lang w:val="en-US" w:eastAsia="zh-CN"/>
        </w:rPr>
        <w:t>9</w:t>
      </w:r>
      <w:r>
        <w:rPr>
          <w:rFonts w:hint="eastAsia" w:eastAsia="华康简标题宋"/>
          <w:sz w:val="44"/>
          <w:szCs w:val="44"/>
        </w:rPr>
        <w:t>年部门整体支出绩效评价报告</w:t>
      </w:r>
    </w:p>
    <w:p>
      <w:pPr>
        <w:ind w:firstLine="640"/>
        <w:rPr>
          <w:rFonts w:ascii="仿宋" w:eastAsia="仿宋" w:cs="??_GB2312"/>
          <w:kern w:val="0"/>
          <w:szCs w:val="32"/>
        </w:rPr>
      </w:pPr>
    </w:p>
    <w:p>
      <w:pPr>
        <w:ind w:firstLine="640"/>
        <w:rPr>
          <w:rFonts w:ascii="仿宋" w:eastAsia="仿宋" w:cs="??_GB2312"/>
          <w:kern w:val="0"/>
          <w:szCs w:val="32"/>
        </w:rPr>
      </w:pPr>
      <w:r>
        <w:rPr>
          <w:rFonts w:hint="eastAsia" w:ascii="仿宋" w:eastAsia="仿宋" w:cs="??_GB2312"/>
          <w:kern w:val="0"/>
          <w:szCs w:val="32"/>
        </w:rPr>
        <w:t>根据财政部《财政支出绩效评价管理暂行办法》、《益阳市财政局关于转发〈湖南省预算绩效管理工作规程（试行）〉的通知》以及中央、省、市有关政策精神，我局认真组织进行了201</w:t>
      </w:r>
      <w:r>
        <w:rPr>
          <w:rFonts w:hint="eastAsia" w:ascii="仿宋" w:eastAsia="仿宋" w:cs="??_GB2312"/>
          <w:kern w:val="0"/>
          <w:szCs w:val="32"/>
          <w:lang w:val="en-US" w:eastAsia="zh-CN"/>
        </w:rPr>
        <w:t>8</w:t>
      </w:r>
      <w:r>
        <w:rPr>
          <w:rFonts w:hint="eastAsia" w:ascii="仿宋" w:eastAsia="仿宋" w:cs="??_GB2312"/>
          <w:kern w:val="0"/>
          <w:szCs w:val="32"/>
        </w:rPr>
        <w:t>年度预算绩效自评工作，自评分</w:t>
      </w:r>
      <w:r>
        <w:rPr>
          <w:rFonts w:hint="eastAsia" w:ascii="仿宋" w:eastAsia="仿宋" w:cs="??_GB2312"/>
          <w:kern w:val="0"/>
          <w:szCs w:val="32"/>
          <w:lang w:val="en-US" w:eastAsia="zh-CN"/>
        </w:rPr>
        <w:t>95.64</w:t>
      </w:r>
      <w:r>
        <w:rPr>
          <w:rFonts w:hint="eastAsia" w:ascii="仿宋" w:eastAsia="仿宋" w:cs="??_GB2312"/>
          <w:kern w:val="0"/>
          <w:szCs w:val="32"/>
        </w:rPr>
        <w:t>分。现将我部门整体支出绩效评价情况报告如下：</w:t>
      </w:r>
    </w:p>
    <w:p>
      <w:pPr>
        <w:ind w:firstLine="640"/>
        <w:rPr>
          <w:rFonts w:ascii="仿宋" w:eastAsia="仿宋" w:cs="??_GB2312"/>
          <w:kern w:val="0"/>
          <w:szCs w:val="32"/>
        </w:rPr>
      </w:pPr>
      <w:r>
        <w:rPr>
          <w:rFonts w:hint="eastAsia" w:ascii="仿宋" w:eastAsia="仿宋" w:cs="??_GB2312"/>
          <w:kern w:val="0"/>
          <w:szCs w:val="32"/>
        </w:rPr>
        <w:t>一、基本情况</w:t>
      </w:r>
    </w:p>
    <w:p>
      <w:pPr>
        <w:ind w:firstLine="640"/>
        <w:rPr>
          <w:rFonts w:ascii="仿宋" w:eastAsia="仿宋" w:cs="??_GB2312"/>
          <w:kern w:val="0"/>
          <w:szCs w:val="32"/>
        </w:rPr>
      </w:pPr>
      <w:r>
        <w:rPr>
          <w:rFonts w:hint="eastAsia" w:ascii="仿宋" w:eastAsia="仿宋" w:cs="??_GB2312"/>
          <w:kern w:val="0"/>
          <w:szCs w:val="32"/>
        </w:rPr>
        <w:t>（一）大通湖区</w:t>
      </w:r>
      <w:r>
        <w:rPr>
          <w:rFonts w:hint="eastAsia" w:ascii="仿宋" w:eastAsia="仿宋" w:cs="??_GB2312"/>
          <w:kern w:val="0"/>
          <w:szCs w:val="32"/>
          <w:lang w:eastAsia="zh-CN"/>
        </w:rPr>
        <w:t>委宣传统战部</w:t>
      </w:r>
      <w:r>
        <w:rPr>
          <w:rFonts w:hint="eastAsia" w:ascii="仿宋" w:eastAsia="仿宋" w:cs="??_GB2312"/>
          <w:kern w:val="0"/>
          <w:szCs w:val="32"/>
        </w:rPr>
        <w:t>是主管全区</w:t>
      </w:r>
      <w:r>
        <w:rPr>
          <w:rFonts w:hint="eastAsia" w:ascii="仿宋" w:eastAsia="仿宋" w:cs="??_GB2312"/>
          <w:kern w:val="0"/>
          <w:szCs w:val="32"/>
          <w:lang w:eastAsia="zh-CN"/>
        </w:rPr>
        <w:t>意识形态</w:t>
      </w:r>
      <w:r>
        <w:rPr>
          <w:rFonts w:hint="eastAsia" w:ascii="仿宋" w:eastAsia="仿宋" w:cs="??_GB2312"/>
          <w:kern w:val="0"/>
          <w:szCs w:val="32"/>
        </w:rPr>
        <w:t>、</w:t>
      </w:r>
      <w:r>
        <w:rPr>
          <w:rFonts w:hint="eastAsia" w:ascii="仿宋" w:eastAsia="仿宋" w:cs="??_GB2312"/>
          <w:kern w:val="0"/>
          <w:szCs w:val="32"/>
          <w:lang w:eastAsia="zh-CN"/>
        </w:rPr>
        <w:t>网络舆情安全、民族宗教</w:t>
      </w:r>
      <w:r>
        <w:rPr>
          <w:rFonts w:hint="eastAsia" w:ascii="仿宋" w:eastAsia="仿宋" w:cs="??_GB2312"/>
          <w:kern w:val="0"/>
          <w:szCs w:val="32"/>
        </w:rPr>
        <w:t>、</w:t>
      </w:r>
      <w:r>
        <w:rPr>
          <w:rFonts w:hint="eastAsia" w:ascii="仿宋" w:eastAsia="仿宋" w:cs="??_GB2312"/>
          <w:kern w:val="0"/>
          <w:szCs w:val="32"/>
          <w:lang w:eastAsia="zh-CN"/>
        </w:rPr>
        <w:t>工商联、统战、文化和旅游等工作</w:t>
      </w:r>
      <w:r>
        <w:rPr>
          <w:rFonts w:hint="eastAsia" w:ascii="仿宋" w:eastAsia="仿宋" w:cs="??_GB2312"/>
          <w:kern w:val="0"/>
          <w:szCs w:val="32"/>
        </w:rPr>
        <w:t>的部门。内设办公室、</w:t>
      </w:r>
      <w:r>
        <w:rPr>
          <w:rFonts w:hint="eastAsia" w:ascii="仿宋" w:eastAsia="仿宋" w:cs="??_GB2312"/>
          <w:kern w:val="0"/>
          <w:szCs w:val="32"/>
          <w:lang w:eastAsia="zh-CN"/>
        </w:rPr>
        <w:t>宣传网信办、统战办、文旅广体办等四个</w:t>
      </w:r>
      <w:r>
        <w:rPr>
          <w:rFonts w:hint="eastAsia" w:ascii="仿宋" w:eastAsia="仿宋" w:cs="??_GB2312"/>
          <w:kern w:val="0"/>
          <w:szCs w:val="32"/>
        </w:rPr>
        <w:t>股室和</w:t>
      </w:r>
      <w:r>
        <w:rPr>
          <w:rFonts w:hint="eastAsia" w:ascii="仿宋" w:eastAsia="仿宋" w:cs="??_GB2312"/>
          <w:kern w:val="0"/>
          <w:szCs w:val="32"/>
          <w:lang w:eastAsia="zh-CN"/>
        </w:rPr>
        <w:t>设立区融媒体中心、大通湖区新时代文明实践中心、文化综合执法大队三个</w:t>
      </w:r>
      <w:r>
        <w:rPr>
          <w:rFonts w:hint="eastAsia" w:ascii="仿宋" w:eastAsia="仿宋" w:cs="??_GB2312"/>
          <w:kern w:val="0"/>
          <w:szCs w:val="32"/>
        </w:rPr>
        <w:t>二级机构。201</w:t>
      </w:r>
      <w:r>
        <w:rPr>
          <w:rFonts w:hint="eastAsia" w:ascii="仿宋" w:eastAsia="仿宋" w:cs="??_GB2312"/>
          <w:kern w:val="0"/>
          <w:szCs w:val="32"/>
          <w:lang w:val="en-US" w:eastAsia="zh-CN"/>
        </w:rPr>
        <w:t>9</w:t>
      </w:r>
      <w:r>
        <w:rPr>
          <w:rFonts w:hint="eastAsia" w:ascii="仿宋" w:eastAsia="仿宋" w:cs="??_GB2312"/>
          <w:kern w:val="0"/>
          <w:szCs w:val="32"/>
        </w:rPr>
        <w:t>年底编制</w:t>
      </w:r>
      <w:r>
        <w:rPr>
          <w:rFonts w:hint="eastAsia" w:ascii="仿宋" w:eastAsia="仿宋" w:cs="??_GB2312"/>
          <w:kern w:val="0"/>
          <w:szCs w:val="32"/>
          <w:lang w:val="en-US" w:eastAsia="zh-CN"/>
        </w:rPr>
        <w:t>13</w:t>
      </w:r>
      <w:r>
        <w:rPr>
          <w:rFonts w:hint="eastAsia" w:ascii="仿宋" w:eastAsia="仿宋" w:cs="??_GB2312"/>
          <w:kern w:val="0"/>
          <w:szCs w:val="32"/>
        </w:rPr>
        <w:t>人，实有人数</w:t>
      </w:r>
      <w:r>
        <w:rPr>
          <w:rFonts w:hint="eastAsia" w:ascii="仿宋" w:eastAsia="仿宋" w:cs="??_GB2312"/>
          <w:kern w:val="0"/>
          <w:szCs w:val="32"/>
          <w:lang w:val="en-US" w:eastAsia="zh-CN"/>
        </w:rPr>
        <w:t>9</w:t>
      </w:r>
      <w:r>
        <w:rPr>
          <w:rFonts w:hint="eastAsia" w:ascii="仿宋" w:eastAsia="仿宋" w:cs="??_GB2312"/>
          <w:kern w:val="0"/>
          <w:szCs w:val="32"/>
        </w:rPr>
        <w:t>人，退休干部</w:t>
      </w:r>
      <w:r>
        <w:rPr>
          <w:rFonts w:hint="eastAsia" w:ascii="仿宋" w:eastAsia="仿宋" w:cs="??_GB2312"/>
          <w:kern w:val="0"/>
          <w:szCs w:val="32"/>
          <w:lang w:val="en-US" w:eastAsia="zh-CN"/>
        </w:rPr>
        <w:t>0</w:t>
      </w:r>
      <w:r>
        <w:rPr>
          <w:rFonts w:hint="eastAsia" w:ascii="仿宋" w:eastAsia="仿宋" w:cs="??_GB2312"/>
          <w:kern w:val="0"/>
          <w:szCs w:val="32"/>
        </w:rPr>
        <w:t>人。</w:t>
      </w:r>
    </w:p>
    <w:p>
      <w:pPr>
        <w:ind w:firstLine="640"/>
        <w:rPr>
          <w:rFonts w:ascii="仿宋" w:eastAsia="仿宋" w:cs="??_GB2312"/>
          <w:kern w:val="0"/>
          <w:szCs w:val="32"/>
        </w:rPr>
      </w:pPr>
      <w:r>
        <w:rPr>
          <w:rFonts w:hint="eastAsia" w:ascii="仿宋" w:eastAsia="仿宋" w:cs="??_GB2312"/>
          <w:kern w:val="0"/>
          <w:szCs w:val="32"/>
        </w:rPr>
        <w:t>（二）部门整体支出概况。</w:t>
      </w:r>
    </w:p>
    <w:p>
      <w:pPr>
        <w:pStyle w:val="11"/>
        <w:rPr>
          <w:rFonts w:hint="eastAsia" w:ascii="宋体" w:hAnsi="宋体" w:eastAsia="仿宋_GB2312"/>
          <w:bCs/>
          <w:lang w:val="en-US" w:eastAsia="zh-CN"/>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年初区</w:t>
      </w:r>
      <w:r>
        <w:rPr>
          <w:rFonts w:hint="eastAsia" w:ascii="仿宋" w:eastAsia="仿宋" w:cs="??_GB2312"/>
          <w:kern w:val="0"/>
          <w:szCs w:val="32"/>
          <w:lang w:eastAsia="zh-CN"/>
        </w:rPr>
        <w:t>委宣传统战部</w:t>
      </w:r>
      <w:r>
        <w:rPr>
          <w:rFonts w:hint="eastAsia" w:ascii="仿宋" w:eastAsia="仿宋" w:cs="??_GB2312"/>
          <w:kern w:val="0"/>
          <w:szCs w:val="32"/>
        </w:rPr>
        <w:t>批复部门预算为</w:t>
      </w:r>
      <w:r>
        <w:rPr>
          <w:rFonts w:hint="eastAsia" w:ascii="仿宋" w:eastAsia="仿宋" w:cs="??_GB2312"/>
          <w:kern w:val="0"/>
          <w:szCs w:val="32"/>
          <w:lang w:val="en-US" w:eastAsia="zh-CN"/>
        </w:rPr>
        <w:t>310.16</w:t>
      </w:r>
      <w:r>
        <w:rPr>
          <w:rFonts w:hint="eastAsia" w:ascii="仿宋" w:eastAsia="仿宋" w:cs="??_GB2312"/>
          <w:kern w:val="0"/>
          <w:szCs w:val="32"/>
        </w:rPr>
        <w:t>万元；全年经费收入</w:t>
      </w:r>
      <w:r>
        <w:rPr>
          <w:rFonts w:hint="eastAsia" w:ascii="仿宋" w:eastAsia="仿宋" w:cs="??_GB2312"/>
          <w:kern w:val="0"/>
          <w:szCs w:val="32"/>
          <w:lang w:val="en-US" w:eastAsia="zh-CN"/>
        </w:rPr>
        <w:t>310.16</w:t>
      </w:r>
      <w:r>
        <w:rPr>
          <w:rFonts w:hint="eastAsia" w:ascii="仿宋" w:eastAsia="仿宋" w:cs="??_GB2312"/>
          <w:kern w:val="0"/>
          <w:szCs w:val="32"/>
        </w:rPr>
        <w:t>万元</w:t>
      </w:r>
      <w:r>
        <w:rPr>
          <w:rFonts w:hint="eastAsia" w:ascii="仿宋" w:eastAsia="仿宋" w:cs="??_GB2312"/>
          <w:kern w:val="0"/>
          <w:szCs w:val="32"/>
          <w:lang w:eastAsia="zh-CN"/>
        </w:rPr>
        <w:t>，</w:t>
      </w:r>
      <w:r>
        <w:rPr>
          <w:rFonts w:hint="eastAsia" w:ascii="仿宋" w:eastAsia="仿宋" w:cs="??_GB2312"/>
          <w:kern w:val="0"/>
          <w:szCs w:val="32"/>
        </w:rPr>
        <w:t>其中财政拨款收入为</w:t>
      </w:r>
      <w:r>
        <w:rPr>
          <w:rFonts w:hint="eastAsia" w:ascii="仿宋" w:eastAsia="仿宋" w:cs="??_GB2312"/>
          <w:kern w:val="0"/>
          <w:szCs w:val="32"/>
          <w:lang w:val="en-US" w:eastAsia="zh-CN"/>
        </w:rPr>
        <w:t>20</w:t>
      </w:r>
      <w:r>
        <w:rPr>
          <w:rFonts w:hint="eastAsia" w:ascii="仿宋" w:eastAsia="仿宋" w:cs="??_GB2312"/>
          <w:kern w:val="0"/>
          <w:szCs w:val="32"/>
        </w:rPr>
        <w:t>7</w:t>
      </w:r>
      <w:r>
        <w:rPr>
          <w:rFonts w:hint="eastAsia" w:ascii="仿宋" w:eastAsia="仿宋" w:cs="??_GB2312"/>
          <w:kern w:val="0"/>
          <w:szCs w:val="32"/>
          <w:lang w:val="en-US" w:eastAsia="zh-CN"/>
        </w:rPr>
        <w:t>.94</w:t>
      </w:r>
      <w:r>
        <w:rPr>
          <w:rFonts w:hint="eastAsia" w:ascii="仿宋" w:eastAsia="仿宋" w:cs="??_GB2312"/>
          <w:kern w:val="0"/>
          <w:szCs w:val="32"/>
        </w:rPr>
        <w:t>万元</w:t>
      </w:r>
      <w:r>
        <w:rPr>
          <w:rFonts w:hint="eastAsia" w:ascii="仿宋" w:eastAsia="仿宋" w:cs="??_GB2312"/>
          <w:kern w:val="0"/>
          <w:szCs w:val="32"/>
          <w:lang w:eastAsia="zh-CN"/>
        </w:rPr>
        <w:t>，</w:t>
      </w:r>
      <w:r>
        <w:rPr>
          <w:rFonts w:hint="eastAsia" w:ascii="宋体" w:hAnsi="宋体"/>
          <w:bCs/>
        </w:rPr>
        <w:t>其他收入</w:t>
      </w:r>
      <w:r>
        <w:rPr>
          <w:rFonts w:ascii="宋体" w:hAnsi="宋体"/>
          <w:bCs/>
        </w:rPr>
        <w:t>102</w:t>
      </w:r>
      <w:r>
        <w:rPr>
          <w:rFonts w:hint="eastAsia" w:ascii="宋体" w:hAnsi="宋体"/>
          <w:bCs/>
          <w:lang w:val="en-US" w:eastAsia="zh-CN"/>
        </w:rPr>
        <w:t>.</w:t>
      </w:r>
      <w:r>
        <w:rPr>
          <w:rFonts w:ascii="宋体" w:hAnsi="宋体"/>
          <w:bCs/>
        </w:rPr>
        <w:t>21</w:t>
      </w:r>
      <w:r>
        <w:rPr>
          <w:rFonts w:hint="eastAsia" w:ascii="宋体" w:hAnsi="宋体"/>
          <w:bCs/>
          <w:lang w:eastAsia="zh-CN"/>
        </w:rPr>
        <w:t>万</w:t>
      </w:r>
      <w:r>
        <w:rPr>
          <w:rFonts w:hint="eastAsia" w:ascii="宋体" w:hAnsi="宋体"/>
          <w:bCs/>
        </w:rPr>
        <w:t>元</w:t>
      </w:r>
      <w:r>
        <w:rPr>
          <w:rFonts w:hint="eastAsia" w:ascii="宋体" w:hAnsi="宋体"/>
          <w:bCs/>
          <w:lang w:eastAsia="zh-CN"/>
        </w:rPr>
        <w:t>（</w:t>
      </w:r>
      <w:r>
        <w:rPr>
          <w:rFonts w:hint="eastAsia" w:ascii="宋体" w:hAnsi="宋体"/>
          <w:bCs/>
        </w:rPr>
        <w:t>其他收入为财政专户拨入公共文化服务资金32万元,区财政存量资金安排稻虾美食节专项68万元，南洞庭保护区大通湖管理局转入大湖治理工作经费2万元,区办转穆斯林肉食补贴资金2150元</w:t>
      </w:r>
      <w:r>
        <w:rPr>
          <w:rFonts w:hint="eastAsia" w:ascii="宋体" w:hAnsi="宋体"/>
          <w:bCs/>
          <w:lang w:eastAsia="zh-CN"/>
        </w:rPr>
        <w:t>），因区委宣传统战部为</w:t>
      </w:r>
      <w:r>
        <w:rPr>
          <w:rFonts w:hint="eastAsia" w:ascii="宋体" w:hAnsi="宋体"/>
          <w:bCs/>
          <w:lang w:val="en-US" w:eastAsia="zh-CN"/>
        </w:rPr>
        <w:t>2019年新增单位，故无上年度结余。</w:t>
      </w:r>
    </w:p>
    <w:p>
      <w:pPr>
        <w:ind w:firstLine="640"/>
        <w:rPr>
          <w:rFonts w:ascii="仿宋" w:eastAsia="仿宋" w:cs="??_GB2312"/>
          <w:kern w:val="0"/>
          <w:szCs w:val="32"/>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年决算总支出</w:t>
      </w:r>
      <w:r>
        <w:rPr>
          <w:rFonts w:ascii="宋体" w:hAnsi="宋体"/>
          <w:bCs/>
        </w:rPr>
        <w:t>3057071.18</w:t>
      </w:r>
      <w:r>
        <w:rPr>
          <w:rFonts w:hint="eastAsia" w:ascii="仿宋" w:eastAsia="仿宋" w:cs="??_GB2312"/>
          <w:kern w:val="0"/>
          <w:szCs w:val="32"/>
        </w:rPr>
        <w:t>元，其中工资福利支出</w:t>
      </w:r>
      <w:r>
        <w:rPr>
          <w:rFonts w:ascii="宋体" w:hAnsi="宋体"/>
          <w:bCs/>
        </w:rPr>
        <w:t>458800.03</w:t>
      </w:r>
      <w:r>
        <w:rPr>
          <w:rFonts w:hint="eastAsia" w:ascii="仿宋" w:eastAsia="仿宋" w:cs="??_GB2312"/>
          <w:kern w:val="0"/>
          <w:szCs w:val="32"/>
        </w:rPr>
        <w:t>元、商品和服务支出</w:t>
      </w:r>
      <w:r>
        <w:rPr>
          <w:rFonts w:ascii="宋体" w:hAnsi="宋体"/>
          <w:bCs/>
        </w:rPr>
        <w:t>2352810.15</w:t>
      </w:r>
      <w:r>
        <w:rPr>
          <w:rFonts w:hint="eastAsia" w:ascii="仿宋" w:eastAsia="仿宋" w:cs="??_GB2312"/>
          <w:kern w:val="0"/>
          <w:szCs w:val="32"/>
        </w:rPr>
        <w:t>元、对个人和家庭的补助</w:t>
      </w:r>
      <w:r>
        <w:rPr>
          <w:rFonts w:hint="eastAsia" w:ascii="仿宋" w:eastAsia="仿宋" w:cs="??_GB2312"/>
          <w:kern w:val="0"/>
          <w:szCs w:val="32"/>
          <w:lang w:val="en-US" w:eastAsia="zh-CN"/>
        </w:rPr>
        <w:t>114250</w:t>
      </w:r>
      <w:r>
        <w:rPr>
          <w:rFonts w:hint="eastAsia" w:ascii="仿宋" w:eastAsia="仿宋" w:cs="??_GB2312"/>
          <w:kern w:val="0"/>
          <w:szCs w:val="32"/>
        </w:rPr>
        <w:t>元</w:t>
      </w:r>
      <w:r>
        <w:rPr>
          <w:rFonts w:hint="eastAsia" w:ascii="仿宋" w:eastAsia="仿宋" w:cs="??_GB2312"/>
          <w:kern w:val="0"/>
          <w:szCs w:val="32"/>
          <w:lang w:eastAsia="zh-CN"/>
        </w:rPr>
        <w:t>、</w:t>
      </w:r>
      <w:r>
        <w:rPr>
          <w:rFonts w:hint="eastAsia" w:ascii="仿宋" w:eastAsia="仿宋" w:cs="??_GB2312"/>
          <w:kern w:val="0"/>
          <w:szCs w:val="32"/>
        </w:rPr>
        <w:t>其他资本性支出</w:t>
      </w:r>
      <w:r>
        <w:rPr>
          <w:rFonts w:hint="eastAsia" w:ascii="仿宋" w:eastAsia="仿宋" w:cs="??_GB2312"/>
          <w:kern w:val="0"/>
          <w:szCs w:val="32"/>
          <w:lang w:val="en-US" w:eastAsia="zh-CN"/>
        </w:rPr>
        <w:t>131211</w:t>
      </w:r>
      <w:r>
        <w:rPr>
          <w:rFonts w:hint="eastAsia" w:ascii="仿宋" w:eastAsia="仿宋" w:cs="??_GB2312"/>
          <w:kern w:val="0"/>
          <w:szCs w:val="32"/>
        </w:rPr>
        <w:t>元。上述决算支出中基本支出</w:t>
      </w:r>
      <w:r>
        <w:rPr>
          <w:rFonts w:ascii="宋体" w:hAnsi="宋体"/>
          <w:bCs/>
        </w:rPr>
        <w:t>1682306.67</w:t>
      </w:r>
      <w:r>
        <w:rPr>
          <w:rFonts w:hint="eastAsia" w:ascii="仿宋" w:eastAsia="仿宋" w:cs="??_GB2312"/>
          <w:kern w:val="0"/>
          <w:szCs w:val="32"/>
        </w:rPr>
        <w:t>元（基本支出是为保障单位正常运转、完成日常工作任务而发生的各项支出，包括人员经费和日常公用经费。），项目支出</w:t>
      </w:r>
      <w:r>
        <w:rPr>
          <w:rFonts w:ascii="宋体" w:hAnsi="宋体"/>
          <w:bCs/>
        </w:rPr>
        <w:t>1374764.51</w:t>
      </w:r>
      <w:r>
        <w:rPr>
          <w:rFonts w:hint="eastAsia" w:ascii="仿宋" w:eastAsia="仿宋" w:cs="??_GB2312"/>
          <w:kern w:val="0"/>
          <w:szCs w:val="32"/>
        </w:rPr>
        <w:t>元（项目支出是为完成特定工作任务发生的专项支出）。详见支出结构分析表:</w:t>
      </w:r>
    </w:p>
    <w:tbl>
      <w:tblPr>
        <w:tblStyle w:val="10"/>
        <w:tblW w:w="8835" w:type="dxa"/>
        <w:tblInd w:w="0" w:type="dxa"/>
        <w:tblLayout w:type="fixed"/>
        <w:tblCellMar>
          <w:top w:w="15" w:type="dxa"/>
          <w:left w:w="15" w:type="dxa"/>
          <w:bottom w:w="15" w:type="dxa"/>
          <w:right w:w="15" w:type="dxa"/>
        </w:tblCellMar>
      </w:tblPr>
      <w:tblGrid>
        <w:gridCol w:w="2075"/>
        <w:gridCol w:w="1500"/>
        <w:gridCol w:w="825"/>
        <w:gridCol w:w="1515"/>
        <w:gridCol w:w="795"/>
        <w:gridCol w:w="1230"/>
        <w:gridCol w:w="895"/>
      </w:tblGrid>
      <w:tr>
        <w:tblPrEx>
          <w:tblLayout w:type="fixed"/>
          <w:tblCellMar>
            <w:top w:w="15" w:type="dxa"/>
            <w:left w:w="15" w:type="dxa"/>
            <w:bottom w:w="15" w:type="dxa"/>
            <w:right w:w="15" w:type="dxa"/>
          </w:tblCellMar>
        </w:tblPrEx>
        <w:trPr>
          <w:trHeight w:val="426" w:hRule="atLeast"/>
        </w:trPr>
        <w:tc>
          <w:tcPr>
            <w:tcW w:w="8835" w:type="dxa"/>
            <w:gridSpan w:val="7"/>
            <w:vAlign w:val="center"/>
          </w:tcPr>
          <w:p>
            <w:pPr>
              <w:widowControl/>
              <w:ind w:firstLine="562"/>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支出结构分析表</w:t>
            </w:r>
            <w:r>
              <w:fldChar w:fldCharType="begin"/>
            </w:r>
            <w:r>
              <w:instrText xml:space="preserve"> HYPERLINK \l "基本信息!A1" </w:instrText>
            </w:r>
            <w:r>
              <w:fldChar w:fldCharType="separate"/>
            </w:r>
            <w:r>
              <w:fldChar w:fldCharType="end"/>
            </w:r>
          </w:p>
        </w:tc>
      </w:tr>
      <w:tr>
        <w:tblPrEx>
          <w:tblLayout w:type="fixed"/>
          <w:tblCellMar>
            <w:top w:w="15" w:type="dxa"/>
            <w:left w:w="15" w:type="dxa"/>
            <w:bottom w:w="15" w:type="dxa"/>
            <w:right w:w="15" w:type="dxa"/>
          </w:tblCellMar>
        </w:tblPrEx>
        <w:trPr>
          <w:trHeight w:val="285" w:hRule="atLeast"/>
        </w:trPr>
        <w:tc>
          <w:tcPr>
            <w:tcW w:w="2075" w:type="dxa"/>
            <w:vMerge w:val="restart"/>
            <w:tcBorders>
              <w:top w:val="single" w:color="000000" w:sz="4" w:space="0"/>
              <w:left w:val="single" w:color="000000" w:sz="4" w:space="0"/>
            </w:tcBorders>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项   目</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本年决算</w:t>
            </w:r>
          </w:p>
        </w:tc>
        <w:tc>
          <w:tcPr>
            <w:tcW w:w="2310"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基本支出</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hint="eastAsia" w:ascii="宋体" w:hAnsi="宋体" w:eastAsia="宋体" w:cs="宋体"/>
                <w:color w:val="000000"/>
                <w:kern w:val="0"/>
                <w:sz w:val="21"/>
                <w:szCs w:val="21"/>
              </w:rPr>
            </w:pPr>
          </w:p>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项目支出</w:t>
            </w:r>
          </w:p>
        </w:tc>
      </w:tr>
      <w:tr>
        <w:tblPrEx>
          <w:tblLayout w:type="fixed"/>
          <w:tblCellMar>
            <w:top w:w="15" w:type="dxa"/>
            <w:left w:w="15" w:type="dxa"/>
            <w:bottom w:w="15" w:type="dxa"/>
            <w:right w:w="15" w:type="dxa"/>
          </w:tblCellMar>
        </w:tblPrEx>
        <w:trPr>
          <w:trHeight w:val="285" w:hRule="atLeast"/>
        </w:trPr>
        <w:tc>
          <w:tcPr>
            <w:tcW w:w="2075" w:type="dxa"/>
            <w:vMerge w:val="continue"/>
            <w:tcBorders>
              <w:left w:val="single" w:color="000000" w:sz="4" w:space="0"/>
              <w:bottom w:val="single" w:color="000000" w:sz="4" w:space="0"/>
            </w:tcBorders>
            <w:vAlign w:val="center"/>
          </w:tcPr>
          <w:p>
            <w:pPr>
              <w:ind w:firstLine="420"/>
              <w:jc w:val="center"/>
              <w:rPr>
                <w:rFonts w:ascii="宋体" w:hAnsi="宋体" w:eastAsia="宋体" w:cs="宋体"/>
                <w:color w:val="000000"/>
                <w:sz w:val="21"/>
                <w:szCs w:val="21"/>
              </w:rPr>
            </w:pP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金额</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比率%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金额</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ind w:firstLine="199" w:firstLineChars="95"/>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比率%</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ascii="宋体" w:hAnsi="宋体" w:eastAsia="宋体" w:cs="宋体"/>
                <w:sz w:val="21"/>
                <w:szCs w:val="21"/>
                <w:u w:val="none"/>
              </w:rPr>
            </w:pPr>
            <w:r>
              <w:rPr>
                <w:u w:val="none"/>
              </w:rPr>
              <w:fldChar w:fldCharType="begin"/>
            </w:r>
            <w:r>
              <w:rPr>
                <w:u w:val="none"/>
              </w:rPr>
              <w:instrText xml:space="preserve"> HYPERLINK \l "基本信息!A1" </w:instrText>
            </w:r>
            <w:r>
              <w:rPr>
                <w:u w:val="none"/>
              </w:rPr>
              <w:fldChar w:fldCharType="separate"/>
            </w:r>
            <w:r>
              <w:rPr>
                <w:rStyle w:val="9"/>
                <w:rFonts w:hint="eastAsia" w:ascii="宋体" w:hAnsi="宋体" w:eastAsia="宋体" w:cs="宋体"/>
                <w:color w:val="auto"/>
                <w:sz w:val="21"/>
                <w:szCs w:val="21"/>
                <w:u w:val="none"/>
              </w:rPr>
              <w:t>金额</w:t>
            </w:r>
            <w:r>
              <w:rPr>
                <w:rStyle w:val="9"/>
                <w:rFonts w:hint="eastAsia" w:ascii="宋体" w:hAnsi="宋体" w:eastAsia="宋体" w:cs="宋体"/>
                <w:color w:val="auto"/>
                <w:sz w:val="21"/>
                <w:szCs w:val="21"/>
                <w:u w:val="none"/>
              </w:rPr>
              <w:fldChar w:fldCharType="end"/>
            </w:r>
          </w:p>
        </w:tc>
        <w:tc>
          <w:tcPr>
            <w:tcW w:w="895" w:type="dxa"/>
            <w:tcBorders>
              <w:top w:val="single" w:color="000000" w:sz="4" w:space="0"/>
              <w:left w:val="single" w:color="000000" w:sz="4" w:space="0"/>
              <w:bottom w:val="single" w:color="000000" w:sz="4" w:space="0"/>
              <w:right w:val="single" w:color="000000" w:sz="4" w:space="0"/>
            </w:tcBorders>
            <w:vAlign w:val="center"/>
          </w:tcPr>
          <w:p>
            <w:pPr>
              <w:widowControl/>
              <w:ind w:left="0" w:leftChars="0" w:firstLine="0" w:firstLineChars="0"/>
              <w:jc w:val="both"/>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比率%</w:t>
            </w:r>
          </w:p>
        </w:tc>
      </w:tr>
      <w:tr>
        <w:tblPrEx>
          <w:tblLayout w:type="fixed"/>
          <w:tblCellMar>
            <w:top w:w="15" w:type="dxa"/>
            <w:left w:w="15" w:type="dxa"/>
            <w:bottom w:w="15" w:type="dxa"/>
            <w:right w:w="15" w:type="dxa"/>
          </w:tblCellMar>
        </w:tblPrEx>
        <w:trPr>
          <w:trHeight w:val="600" w:hRule="atLeast"/>
        </w:trPr>
        <w:tc>
          <w:tcPr>
            <w:tcW w:w="2075" w:type="dxa"/>
            <w:tcBorders>
              <w:top w:val="single" w:color="000000" w:sz="4" w:space="0"/>
              <w:left w:val="single" w:color="000000" w:sz="4" w:space="0"/>
              <w:bottom w:val="single" w:color="000000" w:sz="4" w:space="0"/>
            </w:tcBorders>
            <w:shd w:val="clear" w:color="auto" w:fill="FFFFFF"/>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工资福利支出</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ind w:left="0" w:leftChars="0"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458800.03</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458800.03</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100</w:t>
            </w:r>
          </w:p>
        </w:tc>
        <w:tc>
          <w:tcPr>
            <w:tcW w:w="1230" w:type="dxa"/>
            <w:tcBorders>
              <w:top w:val="single" w:color="000000" w:sz="4" w:space="0"/>
              <w:left w:val="single" w:color="000000" w:sz="4" w:space="0"/>
              <w:bottom w:val="single" w:color="000000" w:sz="4" w:space="0"/>
              <w:right w:val="single" w:color="000000" w:sz="4" w:space="0"/>
            </w:tcBorders>
            <w:vAlign w:val="center"/>
          </w:tcPr>
          <w:p>
            <w:pPr>
              <w:ind w:firstLine="420"/>
              <w:jc w:val="center"/>
              <w:rPr>
                <w:rFonts w:ascii="宋体" w:hAnsi="宋体" w:eastAsia="宋体" w:cs="宋体"/>
                <w:color w:val="000000"/>
                <w:sz w:val="21"/>
                <w:szCs w:val="21"/>
              </w:rPr>
            </w:pPr>
          </w:p>
        </w:tc>
        <w:tc>
          <w:tcPr>
            <w:tcW w:w="895" w:type="dxa"/>
            <w:tcBorders>
              <w:top w:val="single" w:color="000000" w:sz="4" w:space="0"/>
              <w:left w:val="single" w:color="000000" w:sz="4" w:space="0"/>
              <w:bottom w:val="single" w:color="000000" w:sz="4" w:space="0"/>
              <w:right w:val="single" w:color="000000" w:sz="4" w:space="0"/>
            </w:tcBorders>
            <w:vAlign w:val="center"/>
          </w:tcPr>
          <w:p>
            <w:pPr>
              <w:ind w:firstLine="420"/>
              <w:jc w:val="center"/>
              <w:rPr>
                <w:rFonts w:ascii="宋体" w:hAnsi="宋体" w:eastAsia="宋体" w:cs="宋体"/>
                <w:color w:val="000000"/>
                <w:sz w:val="21"/>
                <w:szCs w:val="21"/>
              </w:rPr>
            </w:pPr>
          </w:p>
        </w:tc>
      </w:tr>
      <w:tr>
        <w:tblPrEx>
          <w:tblLayout w:type="fixed"/>
          <w:tblCellMar>
            <w:top w:w="15" w:type="dxa"/>
            <w:left w:w="15" w:type="dxa"/>
            <w:bottom w:w="15" w:type="dxa"/>
            <w:right w:w="15" w:type="dxa"/>
          </w:tblCellMar>
        </w:tblPrEx>
        <w:trPr>
          <w:trHeight w:val="300" w:hRule="atLeast"/>
        </w:trPr>
        <w:tc>
          <w:tcPr>
            <w:tcW w:w="2075" w:type="dxa"/>
            <w:tcBorders>
              <w:top w:val="single" w:color="000000" w:sz="4" w:space="0"/>
              <w:left w:val="single" w:color="000000" w:sz="4" w:space="0"/>
              <w:bottom w:val="single" w:color="000000" w:sz="4" w:space="0"/>
            </w:tcBorders>
            <w:shd w:val="clear" w:color="auto" w:fill="FFFFFF"/>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商品和服务支出</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ind w:left="0" w:leftChars="0"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2352810.15</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77</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ind w:firstLine="199" w:firstLineChars="95"/>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1035425.64</w:t>
            </w:r>
          </w:p>
        </w:tc>
        <w:tc>
          <w:tcPr>
            <w:tcW w:w="795"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44</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1374764.51</w:t>
            </w:r>
          </w:p>
        </w:tc>
        <w:tc>
          <w:tcPr>
            <w:tcW w:w="895" w:type="dxa"/>
            <w:tcBorders>
              <w:top w:val="single" w:color="000000" w:sz="4" w:space="0"/>
              <w:left w:val="single" w:color="000000" w:sz="4" w:space="0"/>
              <w:bottom w:val="single" w:color="000000" w:sz="4" w:space="0"/>
              <w:right w:val="single" w:color="000000" w:sz="4" w:space="0"/>
            </w:tcBorders>
            <w:vAlign w:val="center"/>
          </w:tcPr>
          <w:p>
            <w:pPr>
              <w:ind w:firstLine="199" w:firstLineChars="95"/>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56</w:t>
            </w:r>
          </w:p>
        </w:tc>
      </w:tr>
      <w:tr>
        <w:tblPrEx>
          <w:tblLayout w:type="fixed"/>
          <w:tblCellMar>
            <w:top w:w="15" w:type="dxa"/>
            <w:left w:w="15" w:type="dxa"/>
            <w:bottom w:w="15" w:type="dxa"/>
            <w:right w:w="15" w:type="dxa"/>
          </w:tblCellMar>
        </w:tblPrEx>
        <w:trPr>
          <w:trHeight w:val="300" w:hRule="atLeast"/>
        </w:trPr>
        <w:tc>
          <w:tcPr>
            <w:tcW w:w="2075" w:type="dxa"/>
            <w:tcBorders>
              <w:top w:val="single" w:color="000000" w:sz="4" w:space="0"/>
              <w:left w:val="single" w:color="000000" w:sz="4" w:space="0"/>
              <w:bottom w:val="single" w:color="000000" w:sz="4" w:space="0"/>
            </w:tcBorders>
            <w:shd w:val="clear" w:color="auto" w:fill="FFFFFF"/>
            <w:vAlign w:val="center"/>
          </w:tcPr>
          <w:p>
            <w:pPr>
              <w:widowControl/>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对个人和家庭的补助</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114250</w:t>
            </w:r>
          </w:p>
        </w:tc>
        <w:tc>
          <w:tcPr>
            <w:tcW w:w="825"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114250</w:t>
            </w:r>
          </w:p>
        </w:tc>
        <w:tc>
          <w:tcPr>
            <w:tcW w:w="795"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100</w:t>
            </w:r>
          </w:p>
        </w:tc>
        <w:tc>
          <w:tcPr>
            <w:tcW w:w="1230" w:type="dxa"/>
            <w:tcBorders>
              <w:top w:val="single" w:color="000000" w:sz="4" w:space="0"/>
              <w:left w:val="single" w:color="000000" w:sz="4" w:space="0"/>
              <w:bottom w:val="single" w:color="000000" w:sz="4" w:space="0"/>
              <w:right w:val="single" w:color="000000" w:sz="4" w:space="0"/>
            </w:tcBorders>
            <w:vAlign w:val="center"/>
          </w:tcPr>
          <w:p>
            <w:pPr>
              <w:ind w:firstLine="199" w:firstLineChars="95"/>
              <w:jc w:val="center"/>
              <w:rPr>
                <w:rFonts w:ascii="宋体" w:hAnsi="宋体" w:eastAsia="宋体" w:cs="宋体"/>
                <w:color w:val="000000"/>
                <w:sz w:val="21"/>
                <w:szCs w:val="21"/>
              </w:rPr>
            </w:pPr>
          </w:p>
        </w:tc>
        <w:tc>
          <w:tcPr>
            <w:tcW w:w="895" w:type="dxa"/>
            <w:tcBorders>
              <w:top w:val="single" w:color="000000" w:sz="4" w:space="0"/>
              <w:left w:val="single" w:color="000000" w:sz="4" w:space="0"/>
              <w:bottom w:val="single" w:color="000000" w:sz="4" w:space="0"/>
              <w:right w:val="single" w:color="000000" w:sz="4" w:space="0"/>
            </w:tcBorders>
            <w:vAlign w:val="center"/>
          </w:tcPr>
          <w:p>
            <w:pPr>
              <w:ind w:firstLine="199" w:firstLineChars="95"/>
              <w:jc w:val="center"/>
              <w:rPr>
                <w:rFonts w:ascii="宋体" w:hAnsi="宋体" w:eastAsia="宋体" w:cs="宋体"/>
                <w:color w:val="000000"/>
                <w:sz w:val="21"/>
                <w:szCs w:val="21"/>
              </w:rPr>
            </w:pPr>
          </w:p>
        </w:tc>
      </w:tr>
      <w:tr>
        <w:tblPrEx>
          <w:tblLayout w:type="fixed"/>
          <w:tblCellMar>
            <w:top w:w="15" w:type="dxa"/>
            <w:left w:w="15" w:type="dxa"/>
            <w:bottom w:w="15" w:type="dxa"/>
            <w:right w:w="15" w:type="dxa"/>
          </w:tblCellMar>
        </w:tblPrEx>
        <w:trPr>
          <w:trHeight w:val="480" w:hRule="atLeast"/>
        </w:trPr>
        <w:tc>
          <w:tcPr>
            <w:tcW w:w="2075" w:type="dxa"/>
            <w:tcBorders>
              <w:top w:val="single" w:color="000000" w:sz="4" w:space="0"/>
              <w:left w:val="single" w:color="000000" w:sz="4" w:space="0"/>
              <w:bottom w:val="single" w:color="000000" w:sz="4" w:space="0"/>
            </w:tcBorders>
            <w:shd w:val="clear" w:color="auto" w:fill="FFFFFF"/>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其他资本性支出</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ind w:left="0" w:leftChars="0"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131211</w:t>
            </w:r>
          </w:p>
        </w:tc>
        <w:tc>
          <w:tcPr>
            <w:tcW w:w="825" w:type="dxa"/>
            <w:tcBorders>
              <w:top w:val="single" w:color="000000" w:sz="4" w:space="0"/>
              <w:left w:val="single" w:color="000000" w:sz="4" w:space="0"/>
              <w:bottom w:val="single" w:color="000000" w:sz="4" w:space="0"/>
              <w:right w:val="single" w:color="000000" w:sz="4" w:space="0"/>
            </w:tcBorders>
            <w:vAlign w:val="center"/>
          </w:tcPr>
          <w:p>
            <w:pPr>
              <w:ind w:firstLine="199" w:firstLineChars="95"/>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515" w:type="dxa"/>
            <w:tcBorders>
              <w:top w:val="single" w:color="000000" w:sz="4" w:space="0"/>
              <w:left w:val="single" w:color="000000" w:sz="4" w:space="0"/>
              <w:bottom w:val="single" w:color="000000" w:sz="4" w:space="0"/>
              <w:right w:val="single" w:color="000000" w:sz="4" w:space="0"/>
            </w:tcBorders>
            <w:vAlign w:val="center"/>
          </w:tcPr>
          <w:p>
            <w:pPr>
              <w:ind w:firstLine="199" w:firstLineChars="95"/>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131211</w:t>
            </w:r>
          </w:p>
        </w:tc>
        <w:tc>
          <w:tcPr>
            <w:tcW w:w="795"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100</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ind w:firstLine="420"/>
              <w:jc w:val="center"/>
              <w:textAlignment w:val="center"/>
              <w:rPr>
                <w:rFonts w:ascii="宋体" w:hAnsi="宋体" w:eastAsia="宋体" w:cs="宋体"/>
                <w:color w:val="000000"/>
                <w:sz w:val="21"/>
                <w:szCs w:val="21"/>
              </w:rPr>
            </w:pPr>
          </w:p>
        </w:tc>
        <w:tc>
          <w:tcPr>
            <w:tcW w:w="895" w:type="dxa"/>
            <w:tcBorders>
              <w:top w:val="single" w:color="000000" w:sz="4" w:space="0"/>
              <w:left w:val="single" w:color="000000" w:sz="4" w:space="0"/>
              <w:bottom w:val="single" w:color="000000" w:sz="4" w:space="0"/>
              <w:right w:val="single" w:color="000000" w:sz="4" w:space="0"/>
            </w:tcBorders>
            <w:vAlign w:val="center"/>
          </w:tcPr>
          <w:p>
            <w:pPr>
              <w:ind w:firstLine="420"/>
              <w:jc w:val="center"/>
              <w:rPr>
                <w:rFonts w:hint="default" w:ascii="宋体" w:hAnsi="宋体" w:eastAsia="宋体" w:cs="宋体"/>
                <w:color w:val="000000"/>
                <w:sz w:val="21"/>
                <w:szCs w:val="21"/>
                <w:lang w:val="en-US" w:eastAsia="zh-CN"/>
              </w:rPr>
            </w:pPr>
          </w:p>
        </w:tc>
      </w:tr>
      <w:tr>
        <w:tblPrEx>
          <w:tblLayout w:type="fixed"/>
          <w:tblCellMar>
            <w:top w:w="15" w:type="dxa"/>
            <w:left w:w="15" w:type="dxa"/>
            <w:bottom w:w="15" w:type="dxa"/>
            <w:right w:w="15" w:type="dxa"/>
          </w:tblCellMar>
        </w:tblPrEx>
        <w:trPr>
          <w:trHeight w:val="285" w:hRule="atLeast"/>
        </w:trPr>
        <w:tc>
          <w:tcPr>
            <w:tcW w:w="2075" w:type="dxa"/>
            <w:tcBorders>
              <w:top w:val="single" w:color="000000" w:sz="4" w:space="0"/>
              <w:left w:val="single" w:color="000000" w:sz="4" w:space="0"/>
              <w:bottom w:val="single" w:color="000000" w:sz="4" w:space="0"/>
              <w:right w:val="single" w:color="000000" w:sz="4" w:space="0"/>
            </w:tcBorders>
            <w:shd w:val="clear" w:color="auto" w:fill="92CDDC"/>
            <w:vAlign w:val="center"/>
          </w:tcPr>
          <w:p>
            <w:pPr>
              <w:widowControl/>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总支出</w:t>
            </w:r>
          </w:p>
        </w:tc>
        <w:tc>
          <w:tcPr>
            <w:tcW w:w="1500" w:type="dxa"/>
            <w:tcBorders>
              <w:top w:val="single" w:color="000000" w:sz="4" w:space="0"/>
              <w:left w:val="single" w:color="000000" w:sz="4" w:space="0"/>
              <w:bottom w:val="single" w:color="000000" w:sz="4" w:space="0"/>
              <w:right w:val="single" w:color="000000" w:sz="4" w:space="0"/>
            </w:tcBorders>
            <w:shd w:val="clear" w:color="auto" w:fill="92CDDC"/>
            <w:vAlign w:val="center"/>
          </w:tcPr>
          <w:p>
            <w:pPr>
              <w:widowControl/>
              <w:ind w:left="0" w:leftChars="0"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3057071.18</w:t>
            </w:r>
          </w:p>
        </w:tc>
        <w:tc>
          <w:tcPr>
            <w:tcW w:w="825" w:type="dxa"/>
            <w:tcBorders>
              <w:top w:val="single" w:color="000000" w:sz="4" w:space="0"/>
              <w:left w:val="single" w:color="000000" w:sz="4" w:space="0"/>
              <w:bottom w:val="single" w:color="000000" w:sz="4" w:space="0"/>
              <w:right w:val="single" w:color="000000" w:sz="4" w:space="0"/>
            </w:tcBorders>
            <w:shd w:val="clear" w:color="auto" w:fill="92CDDC"/>
            <w:vAlign w:val="center"/>
          </w:tcPr>
          <w:p>
            <w:pPr>
              <w:ind w:left="0" w:leftChars="0" w:firstLine="0" w:firstLineChars="0"/>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1515" w:type="dxa"/>
            <w:tcBorders>
              <w:top w:val="single" w:color="000000" w:sz="4" w:space="0"/>
              <w:left w:val="single" w:color="000000" w:sz="4" w:space="0"/>
              <w:bottom w:val="single" w:color="000000" w:sz="4" w:space="0"/>
              <w:right w:val="single" w:color="000000" w:sz="4" w:space="0"/>
            </w:tcBorders>
            <w:shd w:val="clear" w:color="auto" w:fill="92CDDC"/>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1682306.67</w:t>
            </w:r>
          </w:p>
        </w:tc>
        <w:tc>
          <w:tcPr>
            <w:tcW w:w="795" w:type="dxa"/>
            <w:tcBorders>
              <w:top w:val="single" w:color="000000" w:sz="4" w:space="0"/>
              <w:left w:val="single" w:color="000000" w:sz="4" w:space="0"/>
              <w:bottom w:val="single" w:color="000000" w:sz="4" w:space="0"/>
              <w:right w:val="single" w:color="000000" w:sz="4" w:space="0"/>
            </w:tcBorders>
            <w:shd w:val="clear" w:color="auto" w:fill="92CDDC"/>
            <w:vAlign w:val="center"/>
          </w:tcPr>
          <w:p>
            <w:pPr>
              <w:ind w:left="0" w:leftChars="0" w:firstLine="0" w:firstLineChars="0"/>
              <w:jc w:val="center"/>
              <w:rPr>
                <w:rFonts w:ascii="宋体" w:hAnsi="宋体" w:eastAsia="宋体" w:cs="宋体"/>
                <w:color w:val="000000"/>
                <w:sz w:val="21"/>
                <w:szCs w:val="21"/>
              </w:rPr>
            </w:pPr>
            <w:r>
              <w:rPr>
                <w:rFonts w:hint="eastAsia" w:ascii="宋体" w:hAnsi="宋体" w:eastAsia="宋体" w:cs="宋体"/>
                <w:color w:val="000000"/>
                <w:sz w:val="21"/>
                <w:szCs w:val="21"/>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92CDDC"/>
            <w:vAlign w:val="center"/>
          </w:tcPr>
          <w:p>
            <w:pPr>
              <w:widowControl/>
              <w:ind w:firstLine="0" w:firstLineChars="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1374764.51</w:t>
            </w:r>
          </w:p>
        </w:tc>
        <w:tc>
          <w:tcPr>
            <w:tcW w:w="895" w:type="dxa"/>
            <w:tcBorders>
              <w:top w:val="single" w:color="000000" w:sz="4" w:space="0"/>
              <w:left w:val="single" w:color="000000" w:sz="4" w:space="0"/>
              <w:bottom w:val="single" w:color="000000" w:sz="4" w:space="0"/>
              <w:right w:val="single" w:color="000000" w:sz="4" w:space="0"/>
            </w:tcBorders>
            <w:shd w:val="clear" w:color="auto" w:fill="92CDDC"/>
            <w:vAlign w:val="center"/>
          </w:tcPr>
          <w:p>
            <w:pPr>
              <w:widowControl/>
              <w:ind w:left="0" w:leftChars="0"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100</w:t>
            </w:r>
          </w:p>
        </w:tc>
      </w:tr>
    </w:tbl>
    <w:p>
      <w:pPr>
        <w:ind w:firstLine="640"/>
        <w:rPr>
          <w:rFonts w:ascii="仿宋" w:eastAsia="仿宋" w:cs="??_GB2312"/>
          <w:kern w:val="0"/>
          <w:szCs w:val="32"/>
        </w:rPr>
      </w:pPr>
      <w:r>
        <w:rPr>
          <w:rFonts w:hint="eastAsia" w:ascii="仿宋" w:eastAsia="仿宋" w:cs="??_GB2312"/>
          <w:kern w:val="0"/>
          <w:szCs w:val="32"/>
        </w:rPr>
        <w:t>（三）部门整体支出绩效目标</w:t>
      </w:r>
    </w:p>
    <w:p>
      <w:pPr>
        <w:tabs>
          <w:tab w:val="left" w:pos="312"/>
        </w:tabs>
        <w:autoSpaceDE w:val="0"/>
        <w:autoSpaceDN w:val="0"/>
        <w:spacing w:line="592" w:lineRule="exact"/>
        <w:ind w:firstLine="640" w:firstLineChars="200"/>
        <w:rPr>
          <w:rFonts w:hint="eastAsia" w:ascii="仿宋" w:hAnsi="仿宋" w:eastAsia="仿宋" w:cs="楷体"/>
          <w:kern w:val="0"/>
          <w:szCs w:val="32"/>
        </w:rPr>
      </w:pPr>
      <w:r>
        <w:rPr>
          <w:rFonts w:hint="eastAsia" w:ascii="仿宋" w:hAnsi="仿宋" w:eastAsia="仿宋" w:cs="楷体"/>
          <w:kern w:val="0"/>
          <w:szCs w:val="32"/>
          <w:lang w:val="en-US" w:eastAsia="zh-CN"/>
        </w:rPr>
        <w:t>1</w:t>
      </w:r>
      <w:r>
        <w:rPr>
          <w:rFonts w:hint="eastAsia" w:ascii="仿宋" w:hAnsi="仿宋" w:eastAsia="仿宋" w:cs="楷体"/>
          <w:kern w:val="0"/>
          <w:szCs w:val="32"/>
        </w:rPr>
        <w:t>、预决算公开</w:t>
      </w:r>
    </w:p>
    <w:p>
      <w:pPr>
        <w:ind w:firstLine="640"/>
        <w:rPr>
          <w:rFonts w:ascii="仿宋" w:eastAsia="仿宋" w:cs="??_GB2312"/>
          <w:kern w:val="0"/>
          <w:szCs w:val="32"/>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年，按上级要求我</w:t>
      </w:r>
      <w:r>
        <w:rPr>
          <w:rFonts w:hint="eastAsia" w:ascii="仿宋" w:eastAsia="仿宋" w:cs="??_GB2312"/>
          <w:kern w:val="0"/>
          <w:szCs w:val="32"/>
          <w:lang w:eastAsia="zh-CN"/>
        </w:rPr>
        <w:t>部</w:t>
      </w:r>
      <w:r>
        <w:rPr>
          <w:rFonts w:hint="eastAsia" w:ascii="仿宋" w:eastAsia="仿宋" w:cs="??_GB2312"/>
          <w:kern w:val="0"/>
          <w:szCs w:val="32"/>
        </w:rPr>
        <w:t>在大通湖区门户网进行了预决算公开。</w:t>
      </w:r>
    </w:p>
    <w:p>
      <w:pPr>
        <w:ind w:firstLine="640"/>
        <w:rPr>
          <w:rFonts w:ascii="仿宋" w:eastAsia="仿宋" w:cs="??_GB2312"/>
          <w:kern w:val="0"/>
          <w:szCs w:val="32"/>
        </w:rPr>
      </w:pPr>
      <w:r>
        <w:rPr>
          <w:rFonts w:hint="eastAsia" w:ascii="仿宋" w:eastAsia="仿宋" w:cs="??_GB2312"/>
          <w:kern w:val="0"/>
          <w:szCs w:val="32"/>
          <w:lang w:val="en-US" w:eastAsia="zh-CN"/>
        </w:rPr>
        <w:t>2</w:t>
      </w:r>
      <w:r>
        <w:rPr>
          <w:rFonts w:hint="eastAsia" w:ascii="仿宋" w:eastAsia="仿宋" w:cs="??_GB2312"/>
          <w:kern w:val="0"/>
          <w:szCs w:val="32"/>
        </w:rPr>
        <w:t>、资产管理</w:t>
      </w:r>
    </w:p>
    <w:p>
      <w:pPr>
        <w:ind w:firstLine="640"/>
        <w:rPr>
          <w:rFonts w:ascii="仿宋" w:eastAsia="仿宋" w:cs="??_GB2312"/>
          <w:kern w:val="0"/>
          <w:szCs w:val="32"/>
        </w:rPr>
      </w:pPr>
      <w:r>
        <w:rPr>
          <w:rFonts w:hint="eastAsia" w:ascii="仿宋" w:eastAsia="仿宋" w:cs="??_GB2312"/>
          <w:kern w:val="0"/>
          <w:szCs w:val="32"/>
        </w:rPr>
        <w:t>进一步加强资产的管理，制定了相关制度，完善了固定资产档案，严格报批、销审等手续，单位无资产流失现象。</w:t>
      </w:r>
    </w:p>
    <w:p>
      <w:pPr>
        <w:ind w:firstLine="640"/>
        <w:rPr>
          <w:rFonts w:ascii="仿宋" w:eastAsia="仿宋" w:cs="??_GB2312"/>
          <w:kern w:val="0"/>
          <w:szCs w:val="32"/>
        </w:rPr>
      </w:pPr>
      <w:r>
        <w:rPr>
          <w:rFonts w:hint="eastAsia" w:ascii="仿宋" w:eastAsia="仿宋" w:cs="??_GB2312"/>
          <w:kern w:val="0"/>
          <w:szCs w:val="32"/>
          <w:lang w:val="en-US" w:eastAsia="zh-CN"/>
        </w:rPr>
        <w:t>3</w:t>
      </w:r>
      <w:bookmarkStart w:id="1" w:name="_GoBack"/>
      <w:bookmarkEnd w:id="1"/>
      <w:r>
        <w:rPr>
          <w:rFonts w:hint="eastAsia" w:ascii="仿宋" w:eastAsia="仿宋" w:cs="??_GB2312"/>
          <w:kern w:val="0"/>
          <w:szCs w:val="32"/>
        </w:rPr>
        <w:t>、内部管理制度建设</w:t>
      </w:r>
    </w:p>
    <w:p>
      <w:pPr>
        <w:ind w:firstLine="640"/>
        <w:rPr>
          <w:rFonts w:ascii="仿宋" w:eastAsia="仿宋" w:cs="??_GB2312"/>
          <w:kern w:val="0"/>
          <w:szCs w:val="32"/>
        </w:rPr>
      </w:pPr>
      <w:r>
        <w:rPr>
          <w:rFonts w:hint="eastAsia" w:ascii="仿宋" w:eastAsia="仿宋" w:cs="??_GB2312"/>
          <w:kern w:val="0"/>
          <w:szCs w:val="32"/>
        </w:rPr>
        <w:t>我</w:t>
      </w:r>
      <w:r>
        <w:rPr>
          <w:rFonts w:hint="eastAsia" w:ascii="仿宋" w:eastAsia="仿宋" w:cs="??_GB2312"/>
          <w:kern w:val="0"/>
          <w:szCs w:val="32"/>
          <w:lang w:eastAsia="zh-CN"/>
        </w:rPr>
        <w:t>部</w:t>
      </w:r>
      <w:r>
        <w:rPr>
          <w:rFonts w:hint="eastAsia" w:ascii="仿宋" w:eastAsia="仿宋" w:cs="??_GB2312"/>
          <w:kern w:val="0"/>
          <w:szCs w:val="32"/>
        </w:rPr>
        <w:t>制定了《大通湖区</w:t>
      </w:r>
      <w:r>
        <w:rPr>
          <w:rFonts w:hint="eastAsia" w:ascii="仿宋" w:eastAsia="仿宋" w:cs="??_GB2312"/>
          <w:kern w:val="0"/>
          <w:szCs w:val="32"/>
          <w:lang w:eastAsia="zh-CN"/>
        </w:rPr>
        <w:t>委宣传统战部</w:t>
      </w:r>
      <w:r>
        <w:rPr>
          <w:rFonts w:hint="eastAsia" w:ascii="仿宋" w:eastAsia="仿宋" w:cs="??_GB2312"/>
          <w:kern w:val="0"/>
          <w:szCs w:val="32"/>
        </w:rPr>
        <w:t>财务管理办法》等一系列内部制度。</w:t>
      </w:r>
    </w:p>
    <w:p>
      <w:pPr>
        <w:ind w:firstLine="640"/>
        <w:rPr>
          <w:rFonts w:ascii="仿宋" w:eastAsia="仿宋" w:cs="??_GB2312"/>
          <w:kern w:val="0"/>
          <w:szCs w:val="32"/>
        </w:rPr>
      </w:pPr>
      <w:r>
        <w:rPr>
          <w:rFonts w:hint="eastAsia" w:ascii="仿宋" w:eastAsia="仿宋" w:cs="??_GB2312"/>
          <w:kern w:val="0"/>
          <w:szCs w:val="32"/>
        </w:rPr>
        <w:t>（三）部门整体支出实施情况分析</w:t>
      </w:r>
    </w:p>
    <w:p>
      <w:pPr>
        <w:ind w:firstLine="640"/>
        <w:rPr>
          <w:rFonts w:ascii="仿宋" w:eastAsia="仿宋" w:cs="??_GB2312"/>
          <w:kern w:val="0"/>
          <w:szCs w:val="32"/>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w:t>
      </w:r>
      <w:r>
        <w:rPr>
          <w:rFonts w:hint="eastAsia" w:ascii="仿宋" w:eastAsia="仿宋" w:cs="??_GB2312"/>
          <w:kern w:val="0"/>
          <w:szCs w:val="32"/>
          <w:lang w:eastAsia="zh-CN"/>
        </w:rPr>
        <w:t>区委宣传统战部部</w:t>
      </w:r>
      <w:r>
        <w:rPr>
          <w:rFonts w:hint="eastAsia" w:ascii="仿宋" w:eastAsia="仿宋" w:cs="??_GB2312"/>
          <w:kern w:val="0"/>
          <w:szCs w:val="32"/>
        </w:rPr>
        <w:t>机关从整体情况来看，严格按照年初预算进行部门整体支出。在支出过程中，能严格遵守各项规章制度，“三公经费”严控在指标内。年初在区财政预算基础上制定我</w:t>
      </w:r>
      <w:r>
        <w:rPr>
          <w:rFonts w:hint="eastAsia" w:ascii="仿宋" w:eastAsia="仿宋" w:cs="??_GB2312"/>
          <w:kern w:val="0"/>
          <w:szCs w:val="32"/>
          <w:lang w:eastAsia="zh-CN"/>
        </w:rPr>
        <w:t>部</w:t>
      </w:r>
      <w:r>
        <w:rPr>
          <w:rFonts w:hint="eastAsia" w:ascii="仿宋" w:eastAsia="仿宋" w:cs="??_GB2312"/>
          <w:kern w:val="0"/>
          <w:szCs w:val="32"/>
        </w:rPr>
        <w:t>预算执行方案，将经费细化，严格执行审批制度，分管</w:t>
      </w:r>
      <w:r>
        <w:rPr>
          <w:rFonts w:hint="eastAsia" w:ascii="仿宋" w:eastAsia="仿宋" w:cs="??_GB2312"/>
          <w:kern w:val="0"/>
          <w:szCs w:val="32"/>
          <w:lang w:eastAsia="zh-CN"/>
        </w:rPr>
        <w:t>部</w:t>
      </w:r>
      <w:r>
        <w:rPr>
          <w:rFonts w:hint="eastAsia" w:ascii="仿宋" w:eastAsia="仿宋" w:cs="??_GB2312"/>
          <w:kern w:val="0"/>
          <w:szCs w:val="32"/>
        </w:rPr>
        <w:t>长分线负责把关，加强了监督。资金管理按照制定的《财政预算资金拨付管理暂行办法》、《会计核算制度》、《行政单位内部控制制度》等制度使用。</w:t>
      </w:r>
    </w:p>
    <w:p>
      <w:pPr>
        <w:ind w:firstLine="640"/>
        <w:rPr>
          <w:rFonts w:ascii="仿宋" w:eastAsia="仿宋" w:cs="??_GB2312"/>
          <w:kern w:val="0"/>
          <w:szCs w:val="32"/>
        </w:rPr>
      </w:pPr>
      <w:r>
        <w:rPr>
          <w:rFonts w:hint="eastAsia" w:ascii="仿宋" w:eastAsia="仿宋" w:cs="??_GB2312"/>
          <w:kern w:val="0"/>
          <w:szCs w:val="32"/>
        </w:rPr>
        <w:t>1、基本支出。</w:t>
      </w:r>
    </w:p>
    <w:p>
      <w:pPr>
        <w:ind w:firstLine="640"/>
        <w:rPr>
          <w:rFonts w:ascii="仿宋" w:eastAsia="仿宋" w:cs="??_GB2312"/>
          <w:kern w:val="0"/>
          <w:szCs w:val="32"/>
        </w:rPr>
      </w:pPr>
      <w:r>
        <w:rPr>
          <w:rFonts w:hint="eastAsia" w:ascii="仿宋" w:eastAsia="仿宋" w:cs="??_GB2312"/>
          <w:kern w:val="0"/>
          <w:szCs w:val="32"/>
        </w:rPr>
        <w:t>基本支出用于为保障</w:t>
      </w:r>
      <w:r>
        <w:rPr>
          <w:rFonts w:hint="eastAsia" w:ascii="仿宋" w:eastAsia="仿宋" w:cs="??_GB2312"/>
          <w:kern w:val="0"/>
          <w:szCs w:val="32"/>
          <w:lang w:eastAsia="zh-CN"/>
        </w:rPr>
        <w:t>部机关</w:t>
      </w:r>
      <w:r>
        <w:rPr>
          <w:rFonts w:hint="eastAsia" w:ascii="仿宋" w:eastAsia="仿宋" w:cs="??_GB2312"/>
          <w:kern w:val="0"/>
          <w:szCs w:val="32"/>
        </w:rPr>
        <w:t>级各</w:t>
      </w:r>
      <w:r>
        <w:rPr>
          <w:rFonts w:hint="eastAsia" w:ascii="仿宋" w:eastAsia="仿宋" w:cs="??_GB2312"/>
          <w:kern w:val="0"/>
          <w:szCs w:val="32"/>
          <w:lang w:eastAsia="zh-CN"/>
        </w:rPr>
        <w:t>股室</w:t>
      </w:r>
      <w:r>
        <w:rPr>
          <w:rFonts w:hint="eastAsia" w:ascii="仿宋" w:eastAsia="仿宋" w:cs="??_GB2312"/>
          <w:kern w:val="0"/>
          <w:szCs w:val="32"/>
        </w:rPr>
        <w:t>、</w:t>
      </w:r>
      <w:r>
        <w:rPr>
          <w:rFonts w:hint="eastAsia" w:ascii="仿宋" w:eastAsia="仿宋" w:cs="??_GB2312"/>
          <w:kern w:val="0"/>
          <w:szCs w:val="32"/>
          <w:lang w:eastAsia="zh-CN"/>
        </w:rPr>
        <w:t>下属</w:t>
      </w:r>
      <w:r>
        <w:rPr>
          <w:rFonts w:hint="eastAsia" w:ascii="仿宋" w:eastAsia="仿宋" w:cs="??_GB2312"/>
          <w:kern w:val="0"/>
          <w:szCs w:val="32"/>
        </w:rPr>
        <w:t>机构正常运转、完成日常工作任务而发生的支出，包括人员经费和公用经费。</w:t>
      </w:r>
    </w:p>
    <w:p>
      <w:pPr>
        <w:ind w:firstLine="640"/>
        <w:rPr>
          <w:rFonts w:ascii="仿宋" w:eastAsia="仿宋" w:cs="??_GB2312"/>
          <w:kern w:val="0"/>
          <w:szCs w:val="32"/>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年年初预算批复的基本支出为</w:t>
      </w:r>
      <w:r>
        <w:rPr>
          <w:rFonts w:hint="eastAsia" w:ascii="仿宋" w:eastAsia="仿宋" w:cs="??_GB2312"/>
          <w:kern w:val="0"/>
          <w:szCs w:val="32"/>
          <w:lang w:val="en-US" w:eastAsia="zh-CN"/>
        </w:rPr>
        <w:t>1682306.67</w:t>
      </w:r>
      <w:r>
        <w:rPr>
          <w:rFonts w:hint="eastAsia" w:ascii="仿宋" w:eastAsia="仿宋" w:cs="??_GB2312"/>
          <w:kern w:val="0"/>
          <w:szCs w:val="32"/>
        </w:rPr>
        <w:t>元（其中工资福利性支出</w:t>
      </w:r>
      <w:r>
        <w:rPr>
          <w:rFonts w:hint="eastAsia" w:ascii="仿宋" w:eastAsia="仿宋" w:cs="??_GB2312"/>
          <w:kern w:val="0"/>
          <w:szCs w:val="32"/>
          <w:lang w:val="en-US" w:eastAsia="zh-CN"/>
        </w:rPr>
        <w:t>458800.03</w:t>
      </w:r>
      <w:r>
        <w:rPr>
          <w:rFonts w:hint="eastAsia" w:ascii="仿宋" w:eastAsia="仿宋" w:cs="??_GB2312"/>
          <w:kern w:val="0"/>
          <w:szCs w:val="32"/>
        </w:rPr>
        <w:t>元、商品和服务支出</w:t>
      </w:r>
      <w:r>
        <w:rPr>
          <w:rFonts w:hint="eastAsia" w:ascii="仿宋" w:eastAsia="仿宋" w:cs="??_GB2312"/>
          <w:kern w:val="0"/>
          <w:szCs w:val="32"/>
          <w:lang w:val="en-US" w:eastAsia="zh-CN"/>
        </w:rPr>
        <w:t>1035425.64</w:t>
      </w:r>
      <w:r>
        <w:rPr>
          <w:rFonts w:hint="eastAsia" w:ascii="仿宋" w:eastAsia="仿宋" w:cs="??_GB2312"/>
          <w:kern w:val="0"/>
          <w:szCs w:val="32"/>
        </w:rPr>
        <w:t>元、对个人和家庭的补助</w:t>
      </w:r>
      <w:r>
        <w:rPr>
          <w:rFonts w:hint="eastAsia" w:ascii="仿宋" w:eastAsia="仿宋" w:cs="??_GB2312"/>
          <w:kern w:val="0"/>
          <w:szCs w:val="32"/>
          <w:lang w:val="en-US" w:eastAsia="zh-CN"/>
        </w:rPr>
        <w:t>188081</w:t>
      </w:r>
      <w:r>
        <w:rPr>
          <w:rFonts w:hint="eastAsia" w:ascii="仿宋" w:eastAsia="仿宋" w:cs="??_GB2312"/>
          <w:kern w:val="0"/>
          <w:szCs w:val="32"/>
        </w:rPr>
        <w:t>元）。全年合计收入</w:t>
      </w:r>
      <w:r>
        <w:rPr>
          <w:rFonts w:hint="eastAsia" w:ascii="仿宋" w:eastAsia="仿宋" w:cs="??_GB2312"/>
          <w:kern w:val="0"/>
          <w:szCs w:val="32"/>
          <w:lang w:val="en-US" w:eastAsia="zh-CN"/>
        </w:rPr>
        <w:t>1682306.67</w:t>
      </w:r>
      <w:r>
        <w:rPr>
          <w:rFonts w:hint="eastAsia" w:ascii="仿宋" w:eastAsia="仿宋" w:cs="??_GB2312"/>
          <w:kern w:val="0"/>
          <w:szCs w:val="32"/>
        </w:rPr>
        <w:t>元，全年实际决算支出</w:t>
      </w:r>
      <w:r>
        <w:rPr>
          <w:rFonts w:hint="eastAsia" w:ascii="仿宋" w:eastAsia="仿宋" w:cs="??_GB2312"/>
          <w:kern w:val="0"/>
          <w:szCs w:val="32"/>
          <w:lang w:val="en-US" w:eastAsia="zh-CN"/>
        </w:rPr>
        <w:t>1637776.03</w:t>
      </w:r>
      <w:r>
        <w:rPr>
          <w:rFonts w:hint="eastAsia" w:ascii="仿宋" w:eastAsia="仿宋" w:cs="??_GB2312"/>
          <w:kern w:val="0"/>
          <w:szCs w:val="32"/>
        </w:rPr>
        <w:t>元，年末结余</w:t>
      </w:r>
      <w:r>
        <w:rPr>
          <w:rFonts w:hint="eastAsia" w:ascii="仿宋" w:eastAsia="仿宋" w:cs="??_GB2312"/>
          <w:kern w:val="0"/>
          <w:szCs w:val="32"/>
          <w:lang w:val="en-US" w:eastAsia="zh-CN"/>
        </w:rPr>
        <w:t>44530.64</w:t>
      </w:r>
      <w:r>
        <w:rPr>
          <w:rFonts w:hint="eastAsia" w:ascii="仿宋" w:eastAsia="仿宋" w:cs="??_GB2312"/>
          <w:kern w:val="0"/>
          <w:szCs w:val="32"/>
        </w:rPr>
        <w:t>元。</w:t>
      </w:r>
    </w:p>
    <w:p>
      <w:pPr>
        <w:ind w:firstLine="640"/>
        <w:rPr>
          <w:rFonts w:ascii="仿宋" w:eastAsia="仿宋" w:cs="??_GB2312"/>
          <w:kern w:val="0"/>
          <w:szCs w:val="32"/>
        </w:rPr>
      </w:pPr>
      <w:r>
        <w:rPr>
          <w:rFonts w:hint="eastAsia" w:ascii="仿宋" w:eastAsia="仿宋" w:cs="??_GB2312"/>
          <w:kern w:val="0"/>
          <w:szCs w:val="32"/>
        </w:rPr>
        <w:t>2、项目支出。</w:t>
      </w:r>
    </w:p>
    <w:p>
      <w:pPr>
        <w:ind w:firstLine="640"/>
        <w:rPr>
          <w:rFonts w:ascii="仿宋" w:eastAsia="仿宋" w:cs="??_GB2312"/>
          <w:kern w:val="0"/>
          <w:szCs w:val="32"/>
        </w:rPr>
      </w:pPr>
      <w:r>
        <w:rPr>
          <w:rFonts w:hint="eastAsia" w:ascii="仿宋" w:eastAsia="仿宋" w:cs="??_GB2312"/>
          <w:kern w:val="0"/>
          <w:szCs w:val="32"/>
        </w:rPr>
        <w:t>项目支出是在基本支出之外为完成其特定的行政工作任务而发生的支出，主要用于业务工作专项、运行维护专项、特费（公务接待费）等。</w:t>
      </w:r>
    </w:p>
    <w:p>
      <w:pPr>
        <w:ind w:firstLine="640"/>
        <w:rPr>
          <w:rFonts w:ascii="仿宋" w:eastAsia="仿宋" w:cs="??_GB2312"/>
          <w:kern w:val="0"/>
          <w:szCs w:val="32"/>
        </w:rPr>
      </w:pP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年年初预算批复的项目支出为</w:t>
      </w:r>
      <w:r>
        <w:rPr>
          <w:rFonts w:hint="eastAsia" w:ascii="仿宋" w:eastAsia="仿宋" w:cs="??_GB2312"/>
          <w:kern w:val="0"/>
          <w:szCs w:val="32"/>
          <w:lang w:val="en-US" w:eastAsia="zh-CN"/>
        </w:rPr>
        <w:t>1374764.51</w:t>
      </w:r>
      <w:r>
        <w:rPr>
          <w:rFonts w:hint="eastAsia" w:ascii="仿宋" w:eastAsia="仿宋" w:cs="??_GB2312"/>
          <w:kern w:val="0"/>
          <w:szCs w:val="32"/>
        </w:rPr>
        <w:t>元，全年收入合计</w:t>
      </w:r>
      <w:r>
        <w:rPr>
          <w:rFonts w:hint="eastAsia" w:ascii="仿宋" w:eastAsia="仿宋" w:cs="??_GB2312"/>
          <w:kern w:val="0"/>
          <w:szCs w:val="32"/>
          <w:lang w:val="en-US" w:eastAsia="zh-CN"/>
        </w:rPr>
        <w:t>1374764.51</w:t>
      </w:r>
      <w:r>
        <w:rPr>
          <w:rFonts w:hint="eastAsia" w:ascii="仿宋" w:eastAsia="仿宋" w:cs="??_GB2312"/>
          <w:kern w:val="0"/>
          <w:szCs w:val="32"/>
        </w:rPr>
        <w:t>元</w:t>
      </w:r>
      <w:r>
        <w:rPr>
          <w:rFonts w:hint="eastAsia" w:ascii="仿宋" w:eastAsia="仿宋" w:cs="??_GB2312"/>
          <w:kern w:val="0"/>
          <w:szCs w:val="32"/>
          <w:lang w:eastAsia="zh-CN"/>
        </w:rPr>
        <w:t>，</w:t>
      </w:r>
      <w:r>
        <w:rPr>
          <w:rFonts w:hint="eastAsia" w:ascii="仿宋" w:eastAsia="仿宋" w:cs="??_GB2312"/>
          <w:kern w:val="0"/>
          <w:szCs w:val="32"/>
        </w:rPr>
        <w:t>上年结余0元。实际决算支出</w:t>
      </w:r>
      <w:r>
        <w:rPr>
          <w:rFonts w:hint="eastAsia" w:ascii="仿宋" w:eastAsia="仿宋" w:cs="??_GB2312"/>
          <w:kern w:val="0"/>
          <w:szCs w:val="32"/>
          <w:lang w:val="en-US" w:eastAsia="zh-CN"/>
        </w:rPr>
        <w:t>1374764.51</w:t>
      </w:r>
      <w:r>
        <w:rPr>
          <w:rFonts w:hint="eastAsia" w:ascii="仿宋" w:eastAsia="仿宋" w:cs="??_GB2312"/>
          <w:kern w:val="0"/>
          <w:szCs w:val="32"/>
        </w:rPr>
        <w:t>元，年末结余0元。</w:t>
      </w:r>
    </w:p>
    <w:p>
      <w:pPr>
        <w:ind w:firstLine="640"/>
        <w:rPr>
          <w:rFonts w:ascii="仿宋" w:eastAsia="仿宋" w:cs="??_GB2312"/>
          <w:kern w:val="0"/>
          <w:szCs w:val="32"/>
        </w:rPr>
      </w:pPr>
      <w:r>
        <w:rPr>
          <w:rFonts w:hint="eastAsia" w:ascii="仿宋" w:eastAsia="仿宋" w:cs="??_GB2312"/>
          <w:kern w:val="0"/>
          <w:szCs w:val="32"/>
        </w:rPr>
        <w:t>3、三公经费控制</w:t>
      </w:r>
    </w:p>
    <w:p>
      <w:pPr>
        <w:ind w:firstLine="640"/>
        <w:rPr>
          <w:rFonts w:ascii="仿宋" w:eastAsia="仿宋" w:cs="??_GB2312"/>
          <w:kern w:val="0"/>
          <w:szCs w:val="32"/>
        </w:rPr>
      </w:pPr>
      <w:r>
        <w:rPr>
          <w:rFonts w:hint="eastAsia" w:ascii="仿宋" w:eastAsia="仿宋" w:cs="??_GB2312"/>
          <w:kern w:val="0"/>
          <w:szCs w:val="32"/>
        </w:rPr>
        <w:t>在己有的制度办法基础上，进一步完善了公务接待、公务用车配置使用和因公出国（境）等管理制度和审核程序，将“三公”经费严格纳入预算管理，严控 “三公”经费支出。201</w:t>
      </w:r>
      <w:r>
        <w:rPr>
          <w:rFonts w:hint="eastAsia" w:ascii="仿宋" w:eastAsia="仿宋" w:cs="??_GB2312"/>
          <w:kern w:val="0"/>
          <w:szCs w:val="32"/>
          <w:lang w:val="en-US" w:eastAsia="zh-CN"/>
        </w:rPr>
        <w:t>9</w:t>
      </w:r>
      <w:r>
        <w:rPr>
          <w:rFonts w:hint="eastAsia" w:ascii="仿宋" w:eastAsia="仿宋" w:cs="??_GB2312"/>
          <w:kern w:val="0"/>
          <w:szCs w:val="32"/>
        </w:rPr>
        <w:t>年“三公”经费预算</w:t>
      </w:r>
      <w:r>
        <w:rPr>
          <w:rFonts w:hint="eastAsia" w:ascii="仿宋" w:eastAsia="仿宋" w:cs="??_GB2312"/>
          <w:kern w:val="0"/>
          <w:szCs w:val="32"/>
          <w:lang w:val="en-US" w:eastAsia="zh-CN"/>
        </w:rPr>
        <w:t>10</w:t>
      </w:r>
      <w:r>
        <w:rPr>
          <w:rFonts w:hint="eastAsia" w:ascii="仿宋" w:eastAsia="仿宋" w:cs="??_GB2312"/>
          <w:kern w:val="0"/>
          <w:szCs w:val="32"/>
        </w:rPr>
        <w:t>万元，实际支出</w:t>
      </w:r>
      <w:r>
        <w:rPr>
          <w:rFonts w:ascii="宋体" w:hAnsi="宋体"/>
          <w:bCs/>
        </w:rPr>
        <w:t>89265</w:t>
      </w:r>
      <w:r>
        <w:rPr>
          <w:rFonts w:hint="eastAsia" w:ascii="仿宋" w:eastAsia="仿宋" w:cs="??_GB2312"/>
          <w:kern w:val="0"/>
          <w:szCs w:val="32"/>
        </w:rPr>
        <w:t>元，“三公”经费控制率</w:t>
      </w:r>
      <w:r>
        <w:rPr>
          <w:rFonts w:hint="eastAsia" w:ascii="仿宋" w:eastAsia="仿宋" w:cs="??_GB2312"/>
          <w:kern w:val="0"/>
          <w:szCs w:val="32"/>
          <w:lang w:val="en-US" w:eastAsia="zh-CN"/>
        </w:rPr>
        <w:t>89.27</w:t>
      </w:r>
      <w:r>
        <w:rPr>
          <w:rFonts w:hint="eastAsia" w:ascii="仿宋" w:eastAsia="仿宋" w:cs="??_GB2312"/>
          <w:kern w:val="0"/>
          <w:szCs w:val="32"/>
        </w:rPr>
        <w:t>%。</w:t>
      </w:r>
    </w:p>
    <w:p>
      <w:pPr>
        <w:ind w:firstLine="640"/>
        <w:rPr>
          <w:rFonts w:ascii="仿宋" w:eastAsia="仿宋" w:cs="??_GB2312"/>
          <w:kern w:val="0"/>
          <w:szCs w:val="32"/>
        </w:rPr>
      </w:pPr>
      <w:r>
        <w:rPr>
          <w:rFonts w:hint="eastAsia" w:ascii="仿宋" w:eastAsia="仿宋" w:cs="??_GB2312"/>
          <w:kern w:val="0"/>
          <w:szCs w:val="32"/>
        </w:rPr>
        <w:t>二、绩效评价工作情况</w:t>
      </w:r>
    </w:p>
    <w:p>
      <w:pPr>
        <w:ind w:firstLine="640"/>
        <w:rPr>
          <w:rFonts w:ascii="仿宋" w:eastAsia="仿宋" w:cs="??_GB2312"/>
          <w:kern w:val="0"/>
          <w:szCs w:val="32"/>
        </w:rPr>
      </w:pPr>
      <w:r>
        <w:rPr>
          <w:rFonts w:hint="eastAsia" w:ascii="仿宋" w:eastAsia="仿宋" w:cs="??_GB2312"/>
          <w:kern w:val="0"/>
          <w:szCs w:val="32"/>
        </w:rPr>
        <w:t>（一）绩效评价的目的</w:t>
      </w:r>
    </w:p>
    <w:p>
      <w:pPr>
        <w:ind w:firstLine="640"/>
        <w:rPr>
          <w:rFonts w:ascii="仿宋" w:eastAsia="仿宋" w:cs="??_GB2312"/>
          <w:kern w:val="0"/>
          <w:szCs w:val="32"/>
        </w:rPr>
      </w:pPr>
      <w:r>
        <w:rPr>
          <w:rFonts w:hint="eastAsia" w:ascii="仿宋" w:eastAsia="仿宋" w:cs="??_GB2312"/>
          <w:kern w:val="0"/>
          <w:szCs w:val="32"/>
        </w:rPr>
        <w:t>此次绩效评价的目的是：严格落实《预算法》及省、市、区绩效管理工作的有关规定，进一步规范财政资金的管理，完善和加强财政预算资金管理，建立健全激励和约束机制，切实提高资金使用效益。</w:t>
      </w:r>
    </w:p>
    <w:p>
      <w:pPr>
        <w:ind w:firstLine="640"/>
        <w:rPr>
          <w:rFonts w:ascii="仿宋" w:eastAsia="仿宋" w:cs="??_GB2312"/>
          <w:kern w:val="0"/>
          <w:szCs w:val="32"/>
        </w:rPr>
      </w:pPr>
      <w:r>
        <w:rPr>
          <w:rFonts w:hint="eastAsia" w:ascii="仿宋" w:eastAsia="仿宋" w:cs="??_GB2312"/>
          <w:kern w:val="0"/>
          <w:szCs w:val="32"/>
        </w:rPr>
        <w:t>（二）绩效评价工作过程</w:t>
      </w:r>
    </w:p>
    <w:p>
      <w:pPr>
        <w:ind w:firstLine="640"/>
        <w:rPr>
          <w:rFonts w:ascii="仿宋" w:eastAsia="仿宋" w:cs="??_GB2312"/>
          <w:kern w:val="0"/>
          <w:szCs w:val="32"/>
        </w:rPr>
      </w:pPr>
      <w:r>
        <w:rPr>
          <w:rFonts w:hint="eastAsia" w:ascii="仿宋" w:eastAsia="仿宋" w:cs="??_GB2312"/>
          <w:kern w:val="0"/>
          <w:szCs w:val="32"/>
        </w:rPr>
        <w:t>按照文件要求和相关实施方案，根据部门整体支出绩效考评指标对我</w:t>
      </w:r>
      <w:r>
        <w:rPr>
          <w:rFonts w:hint="eastAsia" w:ascii="仿宋" w:eastAsia="仿宋" w:cs="??_GB2312"/>
          <w:kern w:val="0"/>
          <w:szCs w:val="32"/>
          <w:lang w:eastAsia="zh-CN"/>
        </w:rPr>
        <w:t>部</w:t>
      </w:r>
      <w:r>
        <w:rPr>
          <w:rFonts w:hint="eastAsia" w:ascii="仿宋" w:eastAsia="仿宋" w:cs="??_GB2312"/>
          <w:kern w:val="0"/>
          <w:szCs w:val="32"/>
        </w:rPr>
        <w:t>201</w:t>
      </w:r>
      <w:r>
        <w:rPr>
          <w:rFonts w:hint="eastAsia" w:ascii="仿宋" w:eastAsia="仿宋" w:cs="??_GB2312"/>
          <w:kern w:val="0"/>
          <w:szCs w:val="32"/>
          <w:lang w:val="en-US" w:eastAsia="zh-CN"/>
        </w:rPr>
        <w:t>9</w:t>
      </w:r>
      <w:r>
        <w:rPr>
          <w:rFonts w:hint="eastAsia" w:ascii="仿宋" w:eastAsia="仿宋" w:cs="??_GB2312"/>
          <w:kern w:val="0"/>
          <w:szCs w:val="32"/>
        </w:rPr>
        <w:t>年基本支出、三公经费、项目支出和厉行节约等方面的情况进行了自评，主要包括预算配置、预算执行、预算管理、职责履行、履职效益及厉行节约保障措施等方面的情况。</w:t>
      </w:r>
    </w:p>
    <w:p>
      <w:pPr>
        <w:ind w:firstLine="640"/>
        <w:rPr>
          <w:rFonts w:ascii="仿宋" w:eastAsia="仿宋" w:cs="??_GB2312"/>
          <w:kern w:val="0"/>
          <w:szCs w:val="32"/>
        </w:rPr>
      </w:pPr>
      <w:r>
        <w:rPr>
          <w:rFonts w:hint="eastAsia" w:ascii="仿宋" w:eastAsia="仿宋" w:cs="??_GB2312"/>
          <w:kern w:val="0"/>
          <w:szCs w:val="32"/>
        </w:rPr>
        <w:t>三、主要绩效及评价结论</w:t>
      </w:r>
    </w:p>
    <w:p>
      <w:pPr>
        <w:ind w:firstLine="640"/>
        <w:rPr>
          <w:rFonts w:ascii="仿宋" w:eastAsia="仿宋" w:cs="??_GB2312"/>
          <w:kern w:val="0"/>
          <w:szCs w:val="32"/>
        </w:rPr>
      </w:pPr>
      <w:r>
        <w:rPr>
          <w:rFonts w:hint="eastAsia" w:ascii="仿宋" w:eastAsia="仿宋" w:cs="??_GB2312"/>
          <w:kern w:val="0"/>
          <w:szCs w:val="32"/>
        </w:rPr>
        <w:t>1. 加强部门预算管理，合理安排财政资金。增强行政成本意识，细化经费预算编制，在保证机关正常工作需要的人员经费和公用经费的前提下，严格控制 “三公”经费支出和专项支出。各项支出遵照预算执行，确保支出与预算的对应衔接，着力提高预算执行力。</w:t>
      </w:r>
    </w:p>
    <w:p>
      <w:pPr>
        <w:pStyle w:val="5"/>
        <w:widowControl w:val="0"/>
        <w:autoSpaceDE w:val="0"/>
        <w:autoSpaceDN w:val="0"/>
        <w:spacing w:line="592" w:lineRule="exact"/>
        <w:ind w:firstLine="640" w:firstLineChars="200"/>
        <w:jc w:val="both"/>
        <w:rPr>
          <w:rFonts w:ascii="仿宋" w:eastAsia="仿宋" w:cs="??_GB2312"/>
          <w:sz w:val="32"/>
          <w:szCs w:val="32"/>
        </w:rPr>
      </w:pPr>
      <w:r>
        <w:rPr>
          <w:rFonts w:hint="eastAsia" w:ascii="仿宋" w:eastAsia="仿宋" w:cs="??_GB2312"/>
          <w:sz w:val="32"/>
          <w:szCs w:val="32"/>
        </w:rPr>
        <w:t>2. 加强对公用支出中重点费用的管理。规范会议费、培训费、差旅费、办公费等费用开支标准，按照国家规定的标准和范围列支，控制差旅活动的人数和天数，不安排无明确目的的公务考察活动；坚持厉行节约的原则，控制和压缩办公经费支出，各项费用严格控制在预算额度内使用。</w:t>
      </w:r>
    </w:p>
    <w:p>
      <w:pPr>
        <w:pStyle w:val="5"/>
        <w:widowControl w:val="0"/>
        <w:autoSpaceDE w:val="0"/>
        <w:autoSpaceDN w:val="0"/>
        <w:spacing w:line="592" w:lineRule="exact"/>
        <w:ind w:firstLine="640" w:firstLineChars="200"/>
        <w:jc w:val="both"/>
        <w:rPr>
          <w:rFonts w:ascii="仿宋" w:eastAsia="仿宋" w:cs="??_GB2312"/>
          <w:sz w:val="32"/>
          <w:szCs w:val="32"/>
        </w:rPr>
      </w:pPr>
      <w:r>
        <w:rPr>
          <w:rFonts w:hint="eastAsia" w:ascii="仿宋" w:eastAsia="仿宋" w:cs="??_GB2312"/>
          <w:sz w:val="32"/>
          <w:szCs w:val="32"/>
        </w:rPr>
        <w:t>3. 规范大宗商品的购置管理。大宗商品购置执行预算管理制度，达到政府采购标准的商品购置，按照政府采购的要求和程序，依法实行政府采购。</w:t>
      </w:r>
    </w:p>
    <w:p>
      <w:pPr>
        <w:pStyle w:val="5"/>
        <w:widowControl w:val="0"/>
        <w:autoSpaceDE w:val="0"/>
        <w:autoSpaceDN w:val="0"/>
        <w:spacing w:line="592" w:lineRule="exact"/>
        <w:ind w:firstLine="640" w:firstLineChars="200"/>
        <w:jc w:val="both"/>
        <w:rPr>
          <w:rFonts w:ascii="仿宋" w:eastAsia="仿宋" w:cs="??_GB2312"/>
          <w:sz w:val="32"/>
          <w:szCs w:val="32"/>
        </w:rPr>
      </w:pPr>
      <w:r>
        <w:rPr>
          <w:rFonts w:hint="eastAsia" w:ascii="仿宋" w:eastAsia="仿宋" w:cs="??_GB2312"/>
          <w:sz w:val="32"/>
          <w:szCs w:val="32"/>
        </w:rPr>
        <w:t>4. 规范资金结算管理。各项支出按照批准的预算和有关规定审核办理，各项费用严格按照经费审批程序审批后才能报销，杜绝不合理的开支。资金支付执行国库集中支付制度和公务卡结算有关规定，尽量采用银行转账或者公务卡结算方式，规范公务支出中的现金提取和使用，保证资金支付的安全、透明、规范，提高财政资金支付效率。</w:t>
      </w:r>
    </w:p>
    <w:p>
      <w:pPr>
        <w:ind w:firstLine="640"/>
        <w:rPr>
          <w:rFonts w:ascii="仿宋" w:eastAsia="仿宋" w:cs="??_GB2312"/>
          <w:kern w:val="0"/>
          <w:szCs w:val="32"/>
        </w:rPr>
      </w:pPr>
      <w:r>
        <w:rPr>
          <w:rFonts w:hint="eastAsia" w:ascii="仿宋" w:eastAsia="仿宋" w:cs="??_GB2312"/>
          <w:kern w:val="0"/>
          <w:szCs w:val="32"/>
        </w:rPr>
        <w:t>四、存在的问题及有关建议</w:t>
      </w:r>
    </w:p>
    <w:p>
      <w:pPr>
        <w:spacing w:line="600" w:lineRule="exact"/>
        <w:ind w:firstLine="640"/>
        <w:rPr>
          <w:rFonts w:ascii="仿宋" w:eastAsia="仿宋" w:cs="??_GB2312"/>
          <w:kern w:val="0"/>
          <w:szCs w:val="32"/>
        </w:rPr>
      </w:pPr>
      <w:r>
        <w:rPr>
          <w:rFonts w:hint="eastAsia" w:ascii="仿宋" w:eastAsia="仿宋" w:cs="??_GB2312"/>
          <w:kern w:val="0"/>
          <w:szCs w:val="32"/>
        </w:rPr>
        <w:t>预算执行存在偏差。在实际经费列支中，未严格按照预算科目及项目进行列支，且各支出子项存在调剂现象。</w:t>
      </w:r>
    </w:p>
    <w:p>
      <w:pPr>
        <w:pStyle w:val="3"/>
        <w:spacing w:before="0" w:beforeAutospacing="0" w:after="0" w:afterAutospacing="0" w:line="600" w:lineRule="exact"/>
        <w:ind w:firstLine="470" w:firstLineChars="147"/>
        <w:rPr>
          <w:rFonts w:ascii="仿宋" w:eastAsia="仿宋" w:cs="??_GB2312"/>
          <w:b w:val="0"/>
          <w:sz w:val="32"/>
          <w:szCs w:val="32"/>
        </w:rPr>
      </w:pPr>
      <w:bookmarkStart w:id="0" w:name="_Toc390113233"/>
      <w:r>
        <w:rPr>
          <w:rFonts w:hint="eastAsia" w:ascii="仿宋" w:eastAsia="仿宋" w:cs="??_GB2312"/>
          <w:b w:val="0"/>
          <w:sz w:val="32"/>
          <w:szCs w:val="32"/>
        </w:rPr>
        <w:t>改进措施：科学合理编制预算，严格执行预算</w:t>
      </w:r>
      <w:bookmarkEnd w:id="0"/>
      <w:r>
        <w:rPr>
          <w:rFonts w:hint="eastAsia" w:ascii="仿宋" w:eastAsia="仿宋" w:cs="??_GB2312"/>
          <w:b w:val="0"/>
          <w:sz w:val="32"/>
          <w:szCs w:val="32"/>
        </w:rPr>
        <w:t>，按照《预算法》及其实施条例的相关规定，参考上一年的预算执行情况和年度的收支预测科学编制预算。在预算执行中，严格按照预算科目支出，避免预算科目间的预算资金调剂，确需调剂的，按规定程序报经批准。进一步健全和完善财务管理制度及内部控制制度，规范和约束机关理财行为和程序，积极探索在新形势下部门预算、国库集中支付等财政支出改革的特点，用新思路、新方法，改进完善财务管理方法，不断提高财政资金使用管理的水平和效率。</w:t>
      </w:r>
    </w:p>
    <w:p>
      <w:pPr>
        <w:ind w:firstLine="800" w:firstLineChars="250"/>
        <w:rPr>
          <w:rFonts w:hint="eastAsia" w:ascii="仿宋" w:eastAsia="仿宋" w:cs="??_GB2312"/>
          <w:kern w:val="0"/>
          <w:szCs w:val="32"/>
        </w:rPr>
      </w:pPr>
    </w:p>
    <w:p>
      <w:pPr>
        <w:ind w:firstLine="800" w:firstLineChars="250"/>
        <w:rPr>
          <w:rFonts w:ascii="仿宋" w:eastAsia="仿宋" w:cs="??_GB2312"/>
          <w:kern w:val="0"/>
          <w:szCs w:val="32"/>
        </w:rPr>
      </w:pPr>
      <w:r>
        <w:rPr>
          <w:rFonts w:hint="eastAsia" w:ascii="仿宋" w:eastAsia="仿宋" w:cs="??_GB2312"/>
          <w:kern w:val="0"/>
          <w:szCs w:val="32"/>
        </w:rPr>
        <w:t>附件1：201</w:t>
      </w:r>
      <w:r>
        <w:rPr>
          <w:rFonts w:hint="eastAsia" w:ascii="仿宋" w:eastAsia="仿宋" w:cs="??_GB2312"/>
          <w:kern w:val="0"/>
          <w:szCs w:val="32"/>
          <w:lang w:val="en-US" w:eastAsia="zh-CN"/>
        </w:rPr>
        <w:t>9</w:t>
      </w:r>
      <w:r>
        <w:rPr>
          <w:rFonts w:hint="eastAsia" w:ascii="仿宋" w:eastAsia="仿宋" w:cs="??_GB2312"/>
          <w:kern w:val="0"/>
          <w:szCs w:val="32"/>
        </w:rPr>
        <w:t>年部门整体支出绩效评价评分表</w:t>
      </w:r>
    </w:p>
    <w:p>
      <w:pPr>
        <w:ind w:firstLine="800" w:firstLineChars="250"/>
        <w:rPr>
          <w:rFonts w:ascii="仿宋" w:eastAsia="仿宋" w:cs="??_GB2312"/>
          <w:kern w:val="0"/>
          <w:szCs w:val="32"/>
        </w:rPr>
      </w:pPr>
      <w:r>
        <w:rPr>
          <w:rFonts w:hint="eastAsia" w:ascii="仿宋" w:eastAsia="仿宋" w:cs="??_GB2312"/>
          <w:kern w:val="0"/>
          <w:szCs w:val="32"/>
        </w:rPr>
        <w:t xml:space="preserve">附件2：收支预算执行情况总表    </w:t>
      </w:r>
    </w:p>
    <w:p>
      <w:pPr>
        <w:ind w:firstLine="0" w:firstLineChars="0"/>
        <w:rPr>
          <w:rFonts w:hint="eastAsia" w:ascii="仿宋" w:eastAsia="仿宋" w:cs="??_GB2312"/>
          <w:kern w:val="0"/>
          <w:szCs w:val="32"/>
        </w:rPr>
      </w:pPr>
      <w:r>
        <w:rPr>
          <w:rFonts w:hint="eastAsia" w:ascii="仿宋" w:eastAsia="仿宋" w:cs="??_GB2312"/>
          <w:kern w:val="0"/>
          <w:szCs w:val="32"/>
        </w:rPr>
        <w:t xml:space="preserve">     附件3：支出决算明细表</w:t>
      </w:r>
    </w:p>
    <w:p>
      <w:pPr>
        <w:ind w:firstLine="960" w:firstLineChars="300"/>
        <w:rPr>
          <w:rFonts w:ascii="仿宋" w:eastAsia="仿宋" w:cs="??_GB2312"/>
          <w:kern w:val="0"/>
          <w:szCs w:val="32"/>
        </w:rPr>
      </w:pPr>
      <w:r>
        <w:rPr>
          <w:rFonts w:hint="eastAsia" w:ascii="仿宋" w:eastAsia="仿宋" w:cs="??_GB2312"/>
          <w:kern w:val="0"/>
          <w:szCs w:val="32"/>
        </w:rPr>
        <w:t>附件4：部门整体支出绩效评价基础数据表</w:t>
      </w:r>
    </w:p>
    <w:sectPr>
      <w:headerReference r:id="rId5" w:type="first"/>
      <w:footerReference r:id="rId8" w:type="first"/>
      <w:headerReference r:id="rId3" w:type="default"/>
      <w:footerReference r:id="rId6" w:type="default"/>
      <w:headerReference r:id="rId4" w:type="even"/>
      <w:footerReference r:id="rId7" w:type="even"/>
      <w:pgSz w:w="11906" w:h="16838"/>
      <w:pgMar w:top="1418" w:right="1531" w:bottom="1418" w:left="1531" w:header="851" w:footer="141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康简标题宋">
    <w:altName w:val="宋体"/>
    <w:panose1 w:val="00000000000000000000"/>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firstLine="0" w:firstLineChars="0"/>
      <w:rPr>
        <w:rStyle w:val="7"/>
        <w:rFonts w:ascii="宋体" w:eastAsia="宋体"/>
        <w:sz w:val="28"/>
        <w:szCs w:val="28"/>
      </w:rPr>
    </w:pPr>
    <w:r>
      <w:rPr>
        <w:rStyle w:val="7"/>
        <w:rFonts w:hint="eastAsia" w:ascii="宋体" w:eastAsia="宋体"/>
        <w:sz w:val="28"/>
        <w:szCs w:val="28"/>
      </w:rPr>
      <w:fldChar w:fldCharType="begin"/>
    </w:r>
    <w:r>
      <w:rPr>
        <w:rStyle w:val="7"/>
        <w:rFonts w:hint="eastAsia" w:ascii="宋体" w:eastAsia="宋体"/>
        <w:sz w:val="28"/>
        <w:szCs w:val="28"/>
      </w:rPr>
      <w:instrText xml:space="preserve">PAGE  </w:instrText>
    </w:r>
    <w:r>
      <w:rPr>
        <w:rStyle w:val="7"/>
        <w:rFonts w:hint="eastAsia" w:ascii="宋体" w:eastAsia="宋体"/>
        <w:sz w:val="28"/>
        <w:szCs w:val="28"/>
      </w:rPr>
      <w:fldChar w:fldCharType="separate"/>
    </w:r>
    <w:r>
      <w:rPr>
        <w:rStyle w:val="7"/>
        <w:rFonts w:ascii="宋体" w:eastAsia="宋体"/>
        <w:sz w:val="28"/>
        <w:szCs w:val="28"/>
      </w:rPr>
      <w:t>- 4 -</w:t>
    </w:r>
    <w:r>
      <w:rPr>
        <w:rStyle w:val="7"/>
        <w:rFonts w:hint="eastAsia" w:ascii="宋体" w:eastAsia="宋体"/>
        <w:sz w:val="28"/>
        <w:szCs w:val="28"/>
      </w:rPr>
      <w:fldChar w:fldCharType="end"/>
    </w:r>
  </w:p>
  <w:p>
    <w:pPr>
      <w:pStyle w:val="4"/>
      <w:ind w:left="320" w:leftChars="100" w:right="320" w:rightChars="100" w:firstLine="0" w:firstLineChars="0"/>
      <w:rPr>
        <w:rFonts w:asci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firstLine="360"/>
      <w:rPr>
        <w:rStyle w:val="7"/>
      </w:rPr>
    </w:pPr>
    <w:r>
      <w:rPr>
        <w:rStyle w:val="7"/>
      </w:rPr>
      <w:fldChar w:fldCharType="begin"/>
    </w:r>
    <w:r>
      <w:rPr>
        <w:rStyle w:val="7"/>
      </w:rPr>
      <w:instrText xml:space="preserve">PAGE  </w:instrText>
    </w:r>
    <w:r>
      <w:rPr>
        <w:rStyle w:val="7"/>
      </w:rPr>
      <w:fldChar w:fldCharType="separate"/>
    </w:r>
    <w:r>
      <w:rPr>
        <w:rStyle w:val="7"/>
      </w:rPr>
      <w:t xml:space="preserve"> </w:t>
    </w:r>
    <w:r>
      <w:rPr>
        <w:rStyle w:val="7"/>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GrammaticalError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9CB"/>
    <w:rsid w:val="00000672"/>
    <w:rsid w:val="000065B6"/>
    <w:rsid w:val="00022C21"/>
    <w:rsid w:val="00024BC4"/>
    <w:rsid w:val="000266F3"/>
    <w:rsid w:val="000521B0"/>
    <w:rsid w:val="000539D8"/>
    <w:rsid w:val="00060298"/>
    <w:rsid w:val="0007219C"/>
    <w:rsid w:val="000759EF"/>
    <w:rsid w:val="000941CA"/>
    <w:rsid w:val="000B442D"/>
    <w:rsid w:val="000C4DE7"/>
    <w:rsid w:val="000E3822"/>
    <w:rsid w:val="000E529F"/>
    <w:rsid w:val="000E64DB"/>
    <w:rsid w:val="00103EED"/>
    <w:rsid w:val="001235B3"/>
    <w:rsid w:val="001245D5"/>
    <w:rsid w:val="00140D4A"/>
    <w:rsid w:val="001454C8"/>
    <w:rsid w:val="0014705C"/>
    <w:rsid w:val="001613B7"/>
    <w:rsid w:val="00162C9D"/>
    <w:rsid w:val="00163087"/>
    <w:rsid w:val="00190122"/>
    <w:rsid w:val="001928AC"/>
    <w:rsid w:val="001B0691"/>
    <w:rsid w:val="001D4DFD"/>
    <w:rsid w:val="00202EEA"/>
    <w:rsid w:val="00213DBA"/>
    <w:rsid w:val="00220452"/>
    <w:rsid w:val="00222EA9"/>
    <w:rsid w:val="0023757A"/>
    <w:rsid w:val="0029463F"/>
    <w:rsid w:val="002B26C3"/>
    <w:rsid w:val="002B5199"/>
    <w:rsid w:val="002C1206"/>
    <w:rsid w:val="002E4A74"/>
    <w:rsid w:val="002E530D"/>
    <w:rsid w:val="002E664E"/>
    <w:rsid w:val="003044C9"/>
    <w:rsid w:val="00322DD8"/>
    <w:rsid w:val="00351407"/>
    <w:rsid w:val="003638B8"/>
    <w:rsid w:val="00385357"/>
    <w:rsid w:val="00387E0E"/>
    <w:rsid w:val="003A07CB"/>
    <w:rsid w:val="003B552A"/>
    <w:rsid w:val="003C00E4"/>
    <w:rsid w:val="003E0079"/>
    <w:rsid w:val="003F7A01"/>
    <w:rsid w:val="0040226C"/>
    <w:rsid w:val="00426E35"/>
    <w:rsid w:val="00443447"/>
    <w:rsid w:val="004446AC"/>
    <w:rsid w:val="00464E57"/>
    <w:rsid w:val="004656C2"/>
    <w:rsid w:val="00470D7C"/>
    <w:rsid w:val="004909A0"/>
    <w:rsid w:val="004A17E3"/>
    <w:rsid w:val="004B2850"/>
    <w:rsid w:val="004B7116"/>
    <w:rsid w:val="004F3E67"/>
    <w:rsid w:val="00510DAF"/>
    <w:rsid w:val="00520308"/>
    <w:rsid w:val="005225AF"/>
    <w:rsid w:val="00533DB7"/>
    <w:rsid w:val="00534E86"/>
    <w:rsid w:val="00542FC5"/>
    <w:rsid w:val="0054373C"/>
    <w:rsid w:val="005501F9"/>
    <w:rsid w:val="005606A0"/>
    <w:rsid w:val="00582488"/>
    <w:rsid w:val="005A2736"/>
    <w:rsid w:val="005A48CF"/>
    <w:rsid w:val="005D559D"/>
    <w:rsid w:val="005D7FC5"/>
    <w:rsid w:val="005E41F6"/>
    <w:rsid w:val="0060236D"/>
    <w:rsid w:val="0060601D"/>
    <w:rsid w:val="00607BD2"/>
    <w:rsid w:val="0063074C"/>
    <w:rsid w:val="00636A9C"/>
    <w:rsid w:val="00642B50"/>
    <w:rsid w:val="00653465"/>
    <w:rsid w:val="00653C4B"/>
    <w:rsid w:val="00664C10"/>
    <w:rsid w:val="006716C0"/>
    <w:rsid w:val="006903B1"/>
    <w:rsid w:val="006A469D"/>
    <w:rsid w:val="006E0459"/>
    <w:rsid w:val="006E1664"/>
    <w:rsid w:val="006F55B6"/>
    <w:rsid w:val="00702D6C"/>
    <w:rsid w:val="007116BB"/>
    <w:rsid w:val="00716A5E"/>
    <w:rsid w:val="00730B5F"/>
    <w:rsid w:val="0075396A"/>
    <w:rsid w:val="00754177"/>
    <w:rsid w:val="007623F3"/>
    <w:rsid w:val="00767D0C"/>
    <w:rsid w:val="007704DC"/>
    <w:rsid w:val="0077202E"/>
    <w:rsid w:val="007B00A8"/>
    <w:rsid w:val="007C1E51"/>
    <w:rsid w:val="007F3144"/>
    <w:rsid w:val="007F4CD9"/>
    <w:rsid w:val="007F575B"/>
    <w:rsid w:val="00817178"/>
    <w:rsid w:val="00827ECF"/>
    <w:rsid w:val="00857B19"/>
    <w:rsid w:val="00861432"/>
    <w:rsid w:val="00870B4B"/>
    <w:rsid w:val="008817B1"/>
    <w:rsid w:val="008940F0"/>
    <w:rsid w:val="0089655E"/>
    <w:rsid w:val="008F23BB"/>
    <w:rsid w:val="008F3782"/>
    <w:rsid w:val="009045F5"/>
    <w:rsid w:val="009204FD"/>
    <w:rsid w:val="009479CB"/>
    <w:rsid w:val="00953EFA"/>
    <w:rsid w:val="009623A0"/>
    <w:rsid w:val="00970BBE"/>
    <w:rsid w:val="00982A72"/>
    <w:rsid w:val="009A236F"/>
    <w:rsid w:val="009D20AE"/>
    <w:rsid w:val="009F0392"/>
    <w:rsid w:val="00A0062D"/>
    <w:rsid w:val="00A348DA"/>
    <w:rsid w:val="00A35021"/>
    <w:rsid w:val="00A46044"/>
    <w:rsid w:val="00A8081D"/>
    <w:rsid w:val="00A87323"/>
    <w:rsid w:val="00AA5DB9"/>
    <w:rsid w:val="00AB4070"/>
    <w:rsid w:val="00AC6177"/>
    <w:rsid w:val="00AE541A"/>
    <w:rsid w:val="00B36680"/>
    <w:rsid w:val="00B47BE1"/>
    <w:rsid w:val="00B62182"/>
    <w:rsid w:val="00B77E01"/>
    <w:rsid w:val="00B834CB"/>
    <w:rsid w:val="00B86D34"/>
    <w:rsid w:val="00B918BE"/>
    <w:rsid w:val="00BA060C"/>
    <w:rsid w:val="00BA1FB4"/>
    <w:rsid w:val="00BE3C3C"/>
    <w:rsid w:val="00BE439E"/>
    <w:rsid w:val="00BE5540"/>
    <w:rsid w:val="00BF3A16"/>
    <w:rsid w:val="00BF61E1"/>
    <w:rsid w:val="00C03454"/>
    <w:rsid w:val="00C46B18"/>
    <w:rsid w:val="00C52145"/>
    <w:rsid w:val="00C523C5"/>
    <w:rsid w:val="00C52759"/>
    <w:rsid w:val="00C63642"/>
    <w:rsid w:val="00C72D9C"/>
    <w:rsid w:val="00CB3ED8"/>
    <w:rsid w:val="00CD5084"/>
    <w:rsid w:val="00CF5A24"/>
    <w:rsid w:val="00D04A1C"/>
    <w:rsid w:val="00D14831"/>
    <w:rsid w:val="00D2150F"/>
    <w:rsid w:val="00D22C99"/>
    <w:rsid w:val="00D3257A"/>
    <w:rsid w:val="00D57781"/>
    <w:rsid w:val="00D67233"/>
    <w:rsid w:val="00D737E9"/>
    <w:rsid w:val="00D928D8"/>
    <w:rsid w:val="00D9723F"/>
    <w:rsid w:val="00DD732D"/>
    <w:rsid w:val="00DE32B3"/>
    <w:rsid w:val="00DF3086"/>
    <w:rsid w:val="00DF342C"/>
    <w:rsid w:val="00E0719A"/>
    <w:rsid w:val="00E264DD"/>
    <w:rsid w:val="00E305C9"/>
    <w:rsid w:val="00E4707A"/>
    <w:rsid w:val="00E527E9"/>
    <w:rsid w:val="00E554B9"/>
    <w:rsid w:val="00E77501"/>
    <w:rsid w:val="00E83E5D"/>
    <w:rsid w:val="00E84B52"/>
    <w:rsid w:val="00E95E30"/>
    <w:rsid w:val="00EA1CBE"/>
    <w:rsid w:val="00EA4150"/>
    <w:rsid w:val="00EC2EA7"/>
    <w:rsid w:val="00EC46D2"/>
    <w:rsid w:val="00F01113"/>
    <w:rsid w:val="00F04540"/>
    <w:rsid w:val="00F16506"/>
    <w:rsid w:val="00F170D0"/>
    <w:rsid w:val="00F224F0"/>
    <w:rsid w:val="00F25F2E"/>
    <w:rsid w:val="00F268EA"/>
    <w:rsid w:val="00F27093"/>
    <w:rsid w:val="00F27846"/>
    <w:rsid w:val="00F441FF"/>
    <w:rsid w:val="00F50457"/>
    <w:rsid w:val="00F558D3"/>
    <w:rsid w:val="00F57B26"/>
    <w:rsid w:val="00F62187"/>
    <w:rsid w:val="00F96CC3"/>
    <w:rsid w:val="00FB53BB"/>
    <w:rsid w:val="00FE0634"/>
    <w:rsid w:val="00FE110B"/>
    <w:rsid w:val="00FF7F8B"/>
    <w:rsid w:val="04A61C4B"/>
    <w:rsid w:val="04C90224"/>
    <w:rsid w:val="051408D3"/>
    <w:rsid w:val="080D18D2"/>
    <w:rsid w:val="0ADA7A19"/>
    <w:rsid w:val="140470F8"/>
    <w:rsid w:val="14EF3999"/>
    <w:rsid w:val="14F27938"/>
    <w:rsid w:val="17E6474E"/>
    <w:rsid w:val="19D21170"/>
    <w:rsid w:val="1A611034"/>
    <w:rsid w:val="1A9D011F"/>
    <w:rsid w:val="20B30626"/>
    <w:rsid w:val="222F78EA"/>
    <w:rsid w:val="23196D85"/>
    <w:rsid w:val="235333A6"/>
    <w:rsid w:val="236E4EAA"/>
    <w:rsid w:val="254F3AF9"/>
    <w:rsid w:val="27BE4223"/>
    <w:rsid w:val="2A4A16F0"/>
    <w:rsid w:val="2B190B90"/>
    <w:rsid w:val="2C0B1DCB"/>
    <w:rsid w:val="2EB1380D"/>
    <w:rsid w:val="2EC7568D"/>
    <w:rsid w:val="2F1A2F18"/>
    <w:rsid w:val="2F842112"/>
    <w:rsid w:val="2FBB65C9"/>
    <w:rsid w:val="337C6BE4"/>
    <w:rsid w:val="343D37B4"/>
    <w:rsid w:val="34C6613D"/>
    <w:rsid w:val="3ABF633D"/>
    <w:rsid w:val="3AE203E4"/>
    <w:rsid w:val="3B1156D4"/>
    <w:rsid w:val="3CA67EEC"/>
    <w:rsid w:val="3EC001F0"/>
    <w:rsid w:val="3F6333C2"/>
    <w:rsid w:val="41503FA3"/>
    <w:rsid w:val="44AE5ABB"/>
    <w:rsid w:val="45ED5A4B"/>
    <w:rsid w:val="464A7C84"/>
    <w:rsid w:val="48F13B03"/>
    <w:rsid w:val="49821A32"/>
    <w:rsid w:val="49A72C50"/>
    <w:rsid w:val="4A705971"/>
    <w:rsid w:val="4EC9789F"/>
    <w:rsid w:val="511A5795"/>
    <w:rsid w:val="519A217B"/>
    <w:rsid w:val="54EE4AA3"/>
    <w:rsid w:val="567038EB"/>
    <w:rsid w:val="56816140"/>
    <w:rsid w:val="570B6C08"/>
    <w:rsid w:val="58972FB6"/>
    <w:rsid w:val="59083D58"/>
    <w:rsid w:val="5BD8204D"/>
    <w:rsid w:val="5BE11ACD"/>
    <w:rsid w:val="5BF3505F"/>
    <w:rsid w:val="5D78634C"/>
    <w:rsid w:val="5DF43202"/>
    <w:rsid w:val="5E4041E2"/>
    <w:rsid w:val="5FDE21B8"/>
    <w:rsid w:val="5FEE6542"/>
    <w:rsid w:val="60822192"/>
    <w:rsid w:val="608B51C6"/>
    <w:rsid w:val="623F4FB4"/>
    <w:rsid w:val="648552A2"/>
    <w:rsid w:val="652856FD"/>
    <w:rsid w:val="66623784"/>
    <w:rsid w:val="68B736A1"/>
    <w:rsid w:val="68F37D64"/>
    <w:rsid w:val="6A854C8D"/>
    <w:rsid w:val="6CE63CC8"/>
    <w:rsid w:val="6E3C5063"/>
    <w:rsid w:val="6E4E63F4"/>
    <w:rsid w:val="72F04A9C"/>
    <w:rsid w:val="74836FD5"/>
    <w:rsid w:val="75734D4F"/>
    <w:rsid w:val="7649504C"/>
    <w:rsid w:val="7B97759B"/>
    <w:rsid w:val="7C9977E5"/>
    <w:rsid w:val="7F6B2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napToGrid w:val="0"/>
      <w:spacing w:line="592"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autoSpaceDE/>
      <w:autoSpaceDN/>
      <w:adjustRightInd/>
      <w:snapToGrid/>
      <w:spacing w:before="260" w:after="260" w:line="415" w:lineRule="auto"/>
      <w:ind w:firstLine="0" w:firstLineChars="0"/>
      <w:outlineLvl w:val="1"/>
    </w:pPr>
    <w:rPr>
      <w:rFonts w:ascii="Cambria" w:hAnsi="Cambria" w:eastAsia="宋体" w:cs="Cambria"/>
      <w:b/>
      <w:bCs/>
      <w:szCs w:val="32"/>
    </w:rPr>
  </w:style>
  <w:style w:type="paragraph" w:styleId="3">
    <w:name w:val="heading 3"/>
    <w:basedOn w:val="1"/>
    <w:next w:val="1"/>
    <w:qFormat/>
    <w:uiPriority w:val="0"/>
    <w:pPr>
      <w:autoSpaceDE/>
      <w:autoSpaceDN/>
      <w:adjustRightInd/>
      <w:snapToGrid/>
      <w:spacing w:before="100" w:beforeAutospacing="1" w:after="100" w:afterAutospacing="1" w:line="240" w:lineRule="auto"/>
      <w:ind w:firstLine="0" w:firstLineChars="0"/>
      <w:jc w:val="left"/>
      <w:outlineLvl w:val="2"/>
    </w:pPr>
    <w:rPr>
      <w:rFonts w:ascii="宋体" w:eastAsia="宋体" w:cs="宋体"/>
      <w:b/>
      <w:kern w:val="0"/>
      <w:sz w:val="27"/>
      <w:szCs w:val="27"/>
    </w:rPr>
  </w:style>
  <w:style w:type="character" w:default="1" w:styleId="6">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pacing w:line="240" w:lineRule="atLeast"/>
      <w:jc w:val="left"/>
    </w:pPr>
    <w:rPr>
      <w:sz w:val="18"/>
      <w:szCs w:val="18"/>
    </w:rPr>
  </w:style>
  <w:style w:type="paragraph" w:styleId="5">
    <w:name w:val="Normal (Web)"/>
    <w:basedOn w:val="1"/>
    <w:qFormat/>
    <w:uiPriority w:val="0"/>
    <w:pPr>
      <w:widowControl/>
      <w:autoSpaceDE/>
      <w:autoSpaceDN/>
      <w:adjustRightInd/>
      <w:snapToGrid/>
      <w:spacing w:line="240" w:lineRule="auto"/>
      <w:ind w:firstLine="0" w:firstLineChars="0"/>
      <w:jc w:val="left"/>
    </w:pPr>
    <w:rPr>
      <w:rFonts w:ascii="宋体" w:eastAsia="宋体" w:cs="宋体"/>
      <w:kern w:val="0"/>
      <w:sz w:val="24"/>
    </w:rPr>
  </w:style>
  <w:style w:type="character" w:styleId="7">
    <w:name w:val="page number"/>
    <w:basedOn w:val="6"/>
    <w:qFormat/>
    <w:uiPriority w:val="0"/>
  </w:style>
  <w:style w:type="character" w:styleId="8">
    <w:name w:val="Emphasis"/>
    <w:basedOn w:val="6"/>
    <w:qFormat/>
    <w:uiPriority w:val="0"/>
    <w:rPr>
      <w:color w:val="CC0000"/>
    </w:rPr>
  </w:style>
  <w:style w:type="character" w:styleId="9">
    <w:name w:val="Hyperlink"/>
    <w:basedOn w:val="6"/>
    <w:qFormat/>
    <w:uiPriority w:val="0"/>
    <w:rPr>
      <w:color w:val="0000FF"/>
      <w:u w:val="single"/>
    </w:rPr>
  </w:style>
  <w:style w:type="paragraph" w:customStyle="1" w:styleId="11">
    <w:name w:val="p18"/>
    <w:basedOn w:val="1"/>
    <w:qFormat/>
    <w:uiPriority w:val="0"/>
    <w:pPr>
      <w:widowControl/>
      <w:ind w:firstLine="420"/>
    </w:pPr>
    <w:rPr>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483</Words>
  <Characters>2759</Characters>
  <Lines>22</Lines>
  <Paragraphs>6</Paragraphs>
  <TotalTime>1</TotalTime>
  <ScaleCrop>false</ScaleCrop>
  <LinksUpToDate>false</LinksUpToDate>
  <CharactersWithSpaces>3236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2018-04-23T07:12:00Z</dcterms:created>
  <dc:creator>微软中国</dc:creator>
  <cp:lastModifiedBy>Administrator</cp:lastModifiedBy>
  <cp:lastPrinted>2020-09-22T01:41:13Z</cp:lastPrinted>
  <dcterms:modified xsi:type="dcterms:W3CDTF">2020-09-22T01:53:12Z</dcterms:modified>
  <dc:title>区办公室2014年整体支出绩效评价报告</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