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52" w:lineRule="exact"/>
        <w:jc w:val="center"/>
        <w:rPr>
          <w:rFonts w:ascii="仿宋_GB2312" w:hAnsi="宋体" w:eastAsia="仿宋_GB2312" w:cs="宋体"/>
          <w:bCs/>
          <w:color w:val="1A1A1A"/>
          <w:kern w:val="0"/>
          <w:sz w:val="32"/>
          <w:szCs w:val="32"/>
        </w:rPr>
      </w:pPr>
    </w:p>
    <w:p>
      <w:pPr>
        <w:widowControl/>
        <w:spacing w:line="552" w:lineRule="exact"/>
        <w:jc w:val="center"/>
        <w:rPr>
          <w:rFonts w:ascii="仿宋_GB2312" w:hAnsi="宋体" w:eastAsia="仿宋_GB2312" w:cs="宋体"/>
          <w:bCs/>
          <w:color w:val="1A1A1A"/>
          <w:kern w:val="0"/>
          <w:sz w:val="32"/>
          <w:szCs w:val="32"/>
        </w:rPr>
      </w:pPr>
    </w:p>
    <w:p>
      <w:pPr>
        <w:widowControl/>
        <w:spacing w:line="552" w:lineRule="exact"/>
        <w:jc w:val="center"/>
        <w:rPr>
          <w:rFonts w:ascii="仿宋_GB2312" w:hAnsi="宋体" w:eastAsia="仿宋_GB2312" w:cs="宋体"/>
          <w:bCs/>
          <w:color w:val="1A1A1A"/>
          <w:kern w:val="0"/>
          <w:sz w:val="32"/>
          <w:szCs w:val="32"/>
        </w:rPr>
      </w:pPr>
    </w:p>
    <w:p>
      <w:pPr>
        <w:widowControl/>
        <w:spacing w:line="552" w:lineRule="exact"/>
        <w:jc w:val="center"/>
        <w:rPr>
          <w:rFonts w:ascii="仿宋_GB2312" w:hAnsi="宋体" w:eastAsia="仿宋_GB2312" w:cs="宋体"/>
          <w:bCs/>
          <w:color w:val="1A1A1A"/>
          <w:kern w:val="0"/>
          <w:sz w:val="32"/>
          <w:szCs w:val="32"/>
        </w:rPr>
      </w:pPr>
    </w:p>
    <w:p>
      <w:pPr>
        <w:widowControl/>
        <w:spacing w:line="552" w:lineRule="exact"/>
        <w:jc w:val="center"/>
        <w:rPr>
          <w:rFonts w:ascii="仿宋_GB2312" w:hAnsi="宋体" w:eastAsia="仿宋_GB2312" w:cs="宋体"/>
          <w:bCs/>
          <w:color w:val="1A1A1A"/>
          <w:kern w:val="0"/>
          <w:sz w:val="32"/>
          <w:szCs w:val="32"/>
        </w:rPr>
      </w:pPr>
    </w:p>
    <w:p>
      <w:pPr>
        <w:widowControl/>
        <w:spacing w:line="552" w:lineRule="exact"/>
        <w:rPr>
          <w:rFonts w:hint="eastAsia" w:ascii="仿宋_GB2312" w:hAnsi="宋体" w:eastAsia="仿宋_GB2312" w:cs="宋体"/>
          <w:bCs/>
          <w:color w:val="1A1A1A"/>
          <w:kern w:val="0"/>
          <w:sz w:val="32"/>
          <w:szCs w:val="32"/>
        </w:rPr>
      </w:pPr>
    </w:p>
    <w:p>
      <w:pPr>
        <w:widowControl/>
        <w:spacing w:line="552" w:lineRule="exact"/>
        <w:rPr>
          <w:rFonts w:ascii="仿宋_GB2312" w:hAnsi="宋体" w:eastAsia="仿宋_GB2312" w:cs="宋体"/>
          <w:bCs/>
          <w:color w:val="1A1A1A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92" w:lineRule="exact"/>
        <w:jc w:val="center"/>
        <w:rPr>
          <w:rFonts w:ascii="仿宋_GB2312" w:hAnsi="宋体" w:eastAsia="仿宋_GB2312" w:cs="宋体"/>
          <w:bCs/>
          <w:color w:val="1A1A1A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1A1A1A"/>
          <w:kern w:val="0"/>
          <w:sz w:val="32"/>
          <w:szCs w:val="32"/>
        </w:rPr>
        <w:t>大安委发〔2020</w:t>
      </w:r>
      <w:r>
        <w:rPr>
          <w:rFonts w:ascii="仿宋_GB2312" w:hAnsi="宋体" w:eastAsia="仿宋_GB2312" w:cs="宋体"/>
          <w:bCs/>
          <w:color w:val="1A1A1A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bCs/>
          <w:color w:val="1A1A1A"/>
          <w:kern w:val="0"/>
          <w:sz w:val="32"/>
          <w:szCs w:val="32"/>
        </w:rPr>
        <w:t>10号</w:t>
      </w:r>
    </w:p>
    <w:p>
      <w:pPr>
        <w:widowControl/>
        <w:adjustRightInd w:val="0"/>
        <w:snapToGrid w:val="0"/>
        <w:spacing w:line="592" w:lineRule="exact"/>
        <w:jc w:val="center"/>
        <w:rPr>
          <w:rFonts w:ascii="宋体" w:hAnsi="宋体" w:eastAsia="宋体" w:cs="宋体"/>
          <w:b/>
          <w:bCs/>
          <w:color w:val="1A1A1A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592" w:lineRule="exact"/>
        <w:jc w:val="center"/>
        <w:rPr>
          <w:rFonts w:ascii="方正小标宋简体" w:hAnsi="宋体" w:eastAsia="方正小标宋简体" w:cs="宋体"/>
          <w:b/>
          <w:bCs/>
          <w:color w:val="1A1A1A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1A1A1A"/>
          <w:kern w:val="0"/>
          <w:sz w:val="44"/>
          <w:szCs w:val="44"/>
        </w:rPr>
        <w:t>益阳市大通湖区安全生产委员会</w:t>
      </w:r>
    </w:p>
    <w:p>
      <w:pPr>
        <w:widowControl/>
        <w:adjustRightInd w:val="0"/>
        <w:snapToGrid w:val="0"/>
        <w:spacing w:line="592" w:lineRule="exact"/>
        <w:jc w:val="center"/>
        <w:rPr>
          <w:rFonts w:ascii="方正小标宋简体" w:hAnsi="宋体" w:eastAsia="方正小标宋简体" w:cs="宋体"/>
          <w:b/>
          <w:bCs/>
          <w:color w:val="1A1A1A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color w:val="1A1A1A"/>
          <w:kern w:val="0"/>
          <w:sz w:val="44"/>
          <w:szCs w:val="44"/>
        </w:rPr>
        <w:t>关于开展区级领导带队进行安全生产</w:t>
      </w:r>
    </w:p>
    <w:p>
      <w:pPr>
        <w:widowControl/>
        <w:adjustRightInd w:val="0"/>
        <w:snapToGrid w:val="0"/>
        <w:spacing w:line="592" w:lineRule="exact"/>
        <w:jc w:val="center"/>
        <w:rPr>
          <w:rFonts w:ascii="宋体" w:hAnsi="宋体" w:eastAsia="宋体" w:cs="宋体"/>
          <w:b/>
          <w:bCs/>
          <w:color w:val="1A1A1A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color w:val="1A1A1A"/>
          <w:kern w:val="0"/>
          <w:sz w:val="44"/>
          <w:szCs w:val="44"/>
        </w:rPr>
        <w:t>大检查的通知</w:t>
      </w:r>
    </w:p>
    <w:p>
      <w:pPr>
        <w:widowControl/>
        <w:adjustRightInd w:val="0"/>
        <w:snapToGrid w:val="0"/>
        <w:spacing w:line="592" w:lineRule="exact"/>
        <w:jc w:val="center"/>
        <w:rPr>
          <w:rFonts w:ascii="宋体" w:hAnsi="宋体" w:eastAsia="宋体" w:cs="宋体"/>
          <w:b/>
          <w:bCs/>
          <w:color w:val="1A1A1A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592" w:lineRule="exact"/>
        <w:jc w:val="left"/>
        <w:rPr>
          <w:rFonts w:ascii="仿宋_GB2312" w:hAnsi="宋体" w:eastAsia="仿宋_GB2312" w:cs="宋体"/>
          <w:color w:val="30303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03030"/>
          <w:kern w:val="0"/>
          <w:sz w:val="32"/>
          <w:szCs w:val="32"/>
        </w:rPr>
        <w:t>各镇、南湾湖办事处、区安委会成员单位：</w:t>
      </w:r>
    </w:p>
    <w:p>
      <w:pPr>
        <w:widowControl/>
        <w:adjustRightInd w:val="0"/>
        <w:snapToGrid w:val="0"/>
        <w:spacing w:line="592" w:lineRule="exact"/>
        <w:ind w:firstLine="640" w:firstLineChars="200"/>
        <w:jc w:val="left"/>
        <w:rPr>
          <w:rFonts w:ascii="仿宋_GB2312" w:hAnsi="宋体" w:eastAsia="仿宋_GB2312" w:cs="宋体"/>
          <w:color w:val="30303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03030"/>
          <w:kern w:val="0"/>
          <w:sz w:val="32"/>
          <w:szCs w:val="32"/>
        </w:rPr>
        <w:t>为认真贯彻落实习近平总书记关于安全生产重要讲话论述，有效推动全区安全生产专项整治三年行动，确保“中秋”“国庆”期间全区安全生产形势稳定。根据“党政同责、一岗双责”以及领导干部带队检查安全生产工作相关制度规定，经区委区管委会主要领导同意，由区级领导带队对所分管的行业领域开展安全生产工作大检查。现将有关事项通知如下：</w:t>
      </w:r>
    </w:p>
    <w:p>
      <w:pPr>
        <w:widowControl/>
        <w:adjustRightInd w:val="0"/>
        <w:snapToGrid w:val="0"/>
        <w:spacing w:line="592" w:lineRule="exact"/>
        <w:ind w:firstLine="640" w:firstLineChars="200"/>
        <w:jc w:val="left"/>
        <w:rPr>
          <w:rFonts w:ascii="黑体" w:hAnsi="黑体" w:eastAsia="黑体" w:cs="宋体"/>
          <w:color w:val="30303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03030"/>
          <w:kern w:val="0"/>
          <w:sz w:val="32"/>
          <w:szCs w:val="32"/>
        </w:rPr>
        <w:t>一、时间安排</w:t>
      </w:r>
    </w:p>
    <w:p>
      <w:pPr>
        <w:widowControl/>
        <w:adjustRightInd w:val="0"/>
        <w:snapToGrid w:val="0"/>
        <w:spacing w:line="592" w:lineRule="exact"/>
        <w:ind w:firstLine="640" w:firstLineChars="200"/>
        <w:jc w:val="left"/>
        <w:rPr>
          <w:rFonts w:ascii="仿宋_GB2312" w:hAnsi="宋体" w:eastAsia="仿宋_GB2312" w:cs="宋体"/>
          <w:color w:val="30303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03030"/>
          <w:kern w:val="0"/>
          <w:sz w:val="32"/>
          <w:szCs w:val="32"/>
        </w:rPr>
        <w:t>检查督查安排在2020年9月7日至2020年9月20日。</w:t>
      </w:r>
    </w:p>
    <w:p>
      <w:pPr>
        <w:overflowPunct w:val="0"/>
        <w:autoSpaceDE w:val="0"/>
        <w:autoSpaceDN w:val="0"/>
        <w:adjustRightInd w:val="0"/>
        <w:snapToGrid w:val="0"/>
        <w:spacing w:line="592" w:lineRule="exact"/>
        <w:ind w:firstLine="640"/>
        <w:jc w:val="left"/>
        <w:rPr>
          <w:rFonts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二、检查方式</w:t>
      </w:r>
    </w:p>
    <w:p>
      <w:pPr>
        <w:overflowPunct w:val="0"/>
        <w:autoSpaceDE w:val="0"/>
        <w:autoSpaceDN w:val="0"/>
        <w:adjustRightInd w:val="0"/>
        <w:snapToGrid w:val="0"/>
        <w:spacing w:line="592" w:lineRule="exact"/>
        <w:ind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由区级领导带队，有关部门派人参加，主要以四不两直方式进行，重点检查道路（水上）交通、烟花爆竹、危险化学品、特种设备、消防、在建工地、集贸市场、马路市场、人员密集场所、校车、学生安全等。</w:t>
      </w:r>
    </w:p>
    <w:p>
      <w:pPr>
        <w:widowControl/>
        <w:shd w:val="clear" w:color="auto" w:fill="FFFFFF"/>
        <w:adjustRightInd w:val="0"/>
        <w:snapToGrid w:val="0"/>
        <w:spacing w:line="592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三、工作要求</w:t>
      </w:r>
    </w:p>
    <w:p>
      <w:pPr>
        <w:widowControl/>
        <w:shd w:val="clear" w:color="auto" w:fill="FFFFFF"/>
        <w:adjustRightInd w:val="0"/>
        <w:snapToGrid w:val="0"/>
        <w:spacing w:line="592" w:lineRule="exact"/>
        <w:ind w:firstLine="640" w:firstLineChars="200"/>
        <w:jc w:val="left"/>
        <w:rPr>
          <w:rFonts w:ascii="仿宋_GB2312" w:hAnsi="宋体" w:eastAsia="仿宋_GB2312" w:cs="宋体"/>
          <w:color w:val="30303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03030"/>
          <w:kern w:val="0"/>
          <w:sz w:val="32"/>
          <w:szCs w:val="32"/>
        </w:rPr>
        <w:t>（一）牵头部门要搞好上下协调。要与带队领导、配合部门加强联系沟通，合理安排检查日程及检查对象。</w:t>
      </w:r>
    </w:p>
    <w:p>
      <w:pPr>
        <w:widowControl/>
        <w:shd w:val="clear" w:color="auto" w:fill="FFFFFF"/>
        <w:adjustRightInd w:val="0"/>
        <w:snapToGrid w:val="0"/>
        <w:spacing w:line="592" w:lineRule="exact"/>
        <w:ind w:firstLine="640" w:firstLineChars="200"/>
        <w:jc w:val="left"/>
        <w:rPr>
          <w:rFonts w:ascii="仿宋_GB2312" w:hAnsi="宋体" w:eastAsia="仿宋_GB2312" w:cs="宋体"/>
          <w:color w:val="30303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03030"/>
          <w:kern w:val="0"/>
          <w:sz w:val="32"/>
          <w:szCs w:val="32"/>
        </w:rPr>
        <w:t>（二）完善检查台帐。现场检查要留有检查记录、检查照片或影像资料，参加检查的人员及被检查单位要签字备查。</w:t>
      </w:r>
    </w:p>
    <w:p>
      <w:pPr>
        <w:widowControl/>
        <w:shd w:val="clear" w:color="auto" w:fill="FFFFFF"/>
        <w:adjustRightInd w:val="0"/>
        <w:snapToGrid w:val="0"/>
        <w:spacing w:line="592" w:lineRule="exact"/>
        <w:ind w:firstLine="640" w:firstLineChars="200"/>
        <w:jc w:val="left"/>
        <w:rPr>
          <w:rFonts w:ascii="仿宋_GB2312" w:hAnsi="宋体" w:eastAsia="仿宋_GB2312" w:cs="宋体"/>
          <w:color w:val="30303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03030"/>
          <w:kern w:val="0"/>
          <w:sz w:val="32"/>
          <w:szCs w:val="32"/>
        </w:rPr>
        <w:t xml:space="preserve">（三）各检查组检查发现的隐患要报所在镇及行业主管部门督促整改，检查情况由各参加单位汇总后在2020年9月25日前报区安委会办公室。 </w:t>
      </w:r>
    </w:p>
    <w:p>
      <w:pPr>
        <w:widowControl/>
        <w:shd w:val="clear" w:color="auto" w:fill="FFFFFF"/>
        <w:adjustRightInd w:val="0"/>
        <w:snapToGrid w:val="0"/>
        <w:spacing w:line="592" w:lineRule="exact"/>
        <w:ind w:firstLine="640" w:firstLineChars="200"/>
        <w:jc w:val="left"/>
        <w:rPr>
          <w:rFonts w:ascii="仿宋_GB2312" w:hAnsi="宋体" w:eastAsia="仿宋_GB2312" w:cs="宋体"/>
          <w:color w:val="30303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03030"/>
          <w:kern w:val="0"/>
          <w:sz w:val="32"/>
          <w:szCs w:val="32"/>
        </w:rPr>
        <w:t>附件1：区级领导带队开展安全生产大检查安排表</w:t>
      </w:r>
    </w:p>
    <w:p>
      <w:pPr>
        <w:widowControl/>
        <w:shd w:val="clear" w:color="auto" w:fill="FFFFFF"/>
        <w:adjustRightInd w:val="0"/>
        <w:snapToGrid w:val="0"/>
        <w:spacing w:line="592" w:lineRule="exact"/>
        <w:ind w:firstLine="640" w:firstLineChars="200"/>
        <w:jc w:val="left"/>
        <w:rPr>
          <w:rFonts w:ascii="仿宋_GB2312" w:hAnsi="宋体" w:eastAsia="仿宋_GB2312" w:cs="宋体"/>
          <w:color w:val="30303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03030"/>
          <w:kern w:val="0"/>
          <w:sz w:val="32"/>
          <w:szCs w:val="32"/>
        </w:rPr>
        <w:t>附件2：领导带队检查安全生产登记表</w:t>
      </w:r>
    </w:p>
    <w:p>
      <w:pPr>
        <w:widowControl/>
        <w:shd w:val="clear" w:color="auto" w:fill="FFFFFF"/>
        <w:adjustRightInd w:val="0"/>
        <w:snapToGrid w:val="0"/>
        <w:spacing w:line="592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92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592" w:lineRule="exact"/>
        <w:ind w:firstLine="640" w:firstLineChars="20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益阳市大通湖区安全生产委员会</w:t>
      </w:r>
    </w:p>
    <w:p>
      <w:pPr>
        <w:widowControl/>
        <w:shd w:val="clear" w:color="auto" w:fill="FFFFFF"/>
        <w:adjustRightInd w:val="0"/>
        <w:snapToGrid w:val="0"/>
        <w:spacing w:line="592" w:lineRule="exact"/>
        <w:ind w:right="1120" w:firstLine="640" w:firstLineChars="200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2020年9月7日</w:t>
      </w:r>
    </w:p>
    <w:p>
      <w:pPr>
        <w:widowControl/>
        <w:spacing w:line="552" w:lineRule="exact"/>
        <w:jc w:val="left"/>
      </w:pPr>
    </w:p>
    <w:p>
      <w:pPr>
        <w:widowControl/>
        <w:spacing w:line="552" w:lineRule="exact"/>
        <w:jc w:val="left"/>
      </w:pPr>
    </w:p>
    <w:p>
      <w:pPr>
        <w:widowControl/>
        <w:spacing w:line="552" w:lineRule="exact"/>
        <w:jc w:val="left"/>
      </w:pPr>
    </w:p>
    <w:p>
      <w:pPr>
        <w:widowControl/>
        <w:spacing w:line="330" w:lineRule="atLeas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附件1：</w:t>
      </w:r>
    </w:p>
    <w:p>
      <w:pPr>
        <w:widowControl/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区级领导带队开展安全生产大检查安排表</w:t>
      </w:r>
    </w:p>
    <w:tbl>
      <w:tblPr>
        <w:tblStyle w:val="5"/>
        <w:tblW w:w="9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184"/>
        <w:gridCol w:w="1450"/>
        <w:gridCol w:w="3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color w:val="000000"/>
                <w:kern w:val="0"/>
                <w:sz w:val="28"/>
                <w:szCs w:val="28"/>
              </w:rPr>
              <w:t>检查单位和重点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color w:val="000000"/>
                <w:kern w:val="0"/>
                <w:sz w:val="28"/>
                <w:szCs w:val="28"/>
              </w:rPr>
              <w:t>区级领导</w:t>
            </w:r>
          </w:p>
        </w:tc>
        <w:tc>
          <w:tcPr>
            <w:tcW w:w="357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华文楷体"/>
                <w:color w:val="000000"/>
                <w:kern w:val="0"/>
                <w:sz w:val="28"/>
                <w:szCs w:val="28"/>
              </w:rPr>
              <w:t>参加单位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河坝镇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何军田</w:t>
            </w:r>
          </w:p>
        </w:tc>
        <w:tc>
          <w:tcPr>
            <w:tcW w:w="357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区委区管委会办公室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千山红镇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陈万军</w:t>
            </w:r>
          </w:p>
        </w:tc>
        <w:tc>
          <w:tcPr>
            <w:tcW w:w="357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区委区管委会办公室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金盆镇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熊志元</w:t>
            </w:r>
          </w:p>
        </w:tc>
        <w:tc>
          <w:tcPr>
            <w:tcW w:w="357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区应急局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北洲子镇、燃气管道、消防、危化品和烟花爆竹、养老院、人员密集场所等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张  辉</w:t>
            </w:r>
          </w:p>
        </w:tc>
        <w:tc>
          <w:tcPr>
            <w:tcW w:w="357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区应急局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区发改财政局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区消防救援大队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林业、在建工地、非煤矿山等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刘建明</w:t>
            </w:r>
          </w:p>
        </w:tc>
        <w:tc>
          <w:tcPr>
            <w:tcW w:w="357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区住房城乡建设局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危化品和烟花爆竹运输、S307建设项目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吴  灿</w:t>
            </w:r>
          </w:p>
        </w:tc>
        <w:tc>
          <w:tcPr>
            <w:tcW w:w="357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区公安分局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文化市场、旅游行业、医院、学校等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梁学军</w:t>
            </w:r>
          </w:p>
        </w:tc>
        <w:tc>
          <w:tcPr>
            <w:tcW w:w="357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区教育卫生健康局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区委宣传统战部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农业、水上作业、农业机械、水利设施等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周  军</w:t>
            </w:r>
          </w:p>
        </w:tc>
        <w:tc>
          <w:tcPr>
            <w:tcW w:w="357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区农业农村水利局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环保设施、道路交通、水上交通等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刘  文</w:t>
            </w:r>
          </w:p>
        </w:tc>
        <w:tc>
          <w:tcPr>
            <w:tcW w:w="357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市生态环境局大通湖分局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区湿地管理局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区交通运输局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区交警大队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1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18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工贸企业、集贸市场和商场、特种设备、工业园区、电力设施等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秦  琴</w:t>
            </w:r>
          </w:p>
        </w:tc>
        <w:tc>
          <w:tcPr>
            <w:tcW w:w="357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区科技工信局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区工业园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区市场监管局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宋体" w:eastAsia="仿宋_GB2312" w:cs="华文楷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华文楷体"/>
                <w:color w:val="000000"/>
                <w:kern w:val="0"/>
                <w:sz w:val="28"/>
                <w:szCs w:val="28"/>
              </w:rPr>
              <w:t>国网大通湖供电公司</w:t>
            </w:r>
          </w:p>
        </w:tc>
      </w:tr>
    </w:tbl>
    <w:p>
      <w:pPr>
        <w:widowControl/>
        <w:spacing w:line="20" w:lineRule="exact"/>
        <w:rPr>
          <w:kern w:val="0"/>
        </w:rPr>
      </w:pPr>
    </w:p>
    <w:p>
      <w:pPr>
        <w:widowControl/>
        <w:spacing w:line="330" w:lineRule="atLeast"/>
        <w:jc w:val="left"/>
        <w:sectPr>
          <w:footerReference r:id="rId3" w:type="default"/>
          <w:footerReference r:id="rId4" w:type="even"/>
          <w:pgSz w:w="11906" w:h="16838"/>
          <w:pgMar w:top="1871" w:right="1531" w:bottom="1928" w:left="1531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widowControl/>
        <w:spacing w:line="330" w:lineRule="atLeas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附件2：</w:t>
      </w:r>
    </w:p>
    <w:p>
      <w:pPr>
        <w:widowControl/>
        <w:spacing w:line="330" w:lineRule="atLeast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方正小标宋简体" w:hAnsi="黑体" w:eastAsia="方正小标宋简体"/>
          <w:sz w:val="36"/>
          <w:szCs w:val="36"/>
        </w:rPr>
        <w:t>领导带队检查安全生产登记表</w:t>
      </w:r>
    </w:p>
    <w:tbl>
      <w:tblPr>
        <w:tblStyle w:val="6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2079"/>
        <w:gridCol w:w="5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检查人员</w:t>
            </w:r>
          </w:p>
        </w:tc>
        <w:tc>
          <w:tcPr>
            <w:tcW w:w="2079" w:type="dxa"/>
          </w:tcPr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带队领导</w:t>
            </w:r>
          </w:p>
        </w:tc>
        <w:tc>
          <w:tcPr>
            <w:tcW w:w="5234" w:type="dxa"/>
          </w:tcPr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566" w:type="dxa"/>
            <w:vMerge w:val="continue"/>
          </w:tcPr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079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参加人员</w:t>
            </w:r>
          </w:p>
        </w:tc>
        <w:tc>
          <w:tcPr>
            <w:tcW w:w="5234" w:type="dxa"/>
          </w:tcPr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6" w:type="dxa"/>
          </w:tcPr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检查日期</w:t>
            </w:r>
          </w:p>
        </w:tc>
        <w:tc>
          <w:tcPr>
            <w:tcW w:w="7313" w:type="dxa"/>
            <w:gridSpan w:val="2"/>
          </w:tcPr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6" w:type="dxa"/>
          </w:tcPr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检查单位</w:t>
            </w:r>
          </w:p>
        </w:tc>
        <w:tc>
          <w:tcPr>
            <w:tcW w:w="7313" w:type="dxa"/>
            <w:gridSpan w:val="2"/>
          </w:tcPr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检查情况及发现的隐患和问题</w:t>
            </w:r>
          </w:p>
        </w:tc>
        <w:tc>
          <w:tcPr>
            <w:tcW w:w="7313" w:type="dxa"/>
            <w:gridSpan w:val="2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处理意见和措施</w:t>
            </w:r>
          </w:p>
        </w:tc>
        <w:tc>
          <w:tcPr>
            <w:tcW w:w="7313" w:type="dxa"/>
            <w:gridSpan w:val="2"/>
          </w:tcPr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被检查单位意见</w:t>
            </w:r>
          </w:p>
        </w:tc>
        <w:tc>
          <w:tcPr>
            <w:tcW w:w="7313" w:type="dxa"/>
            <w:gridSpan w:val="2"/>
          </w:tcPr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被检查单位负责人（签字）：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  <w:jc w:val="center"/>
        </w:trPr>
        <w:tc>
          <w:tcPr>
            <w:tcW w:w="1566" w:type="dxa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跟踪督促整改落实情况</w:t>
            </w:r>
          </w:p>
        </w:tc>
        <w:tc>
          <w:tcPr>
            <w:tcW w:w="7313" w:type="dxa"/>
            <w:gridSpan w:val="2"/>
          </w:tcPr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spacing w:line="330" w:lineRule="atLeas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跟踪检查人（签字）：</w:t>
            </w:r>
          </w:p>
        </w:tc>
      </w:tr>
    </w:tbl>
    <w:p>
      <w:pPr>
        <w:widowControl/>
        <w:spacing w:line="330" w:lineRule="atLeast"/>
        <w:rPr>
          <w:rFonts w:ascii="黑体" w:hAnsi="黑体" w:eastAsia="黑体"/>
          <w:sz w:val="32"/>
          <w:szCs w:val="32"/>
        </w:rPr>
      </w:pPr>
    </w:p>
    <w:sectPr>
      <w:footerReference r:id="rId5" w:type="even"/>
      <w:pgSz w:w="11906" w:h="16838"/>
      <w:pgMar w:top="1871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9925154"/>
      <w:docPartObj>
        <w:docPartGallery w:val="autotext"/>
      </w:docPartObj>
    </w:sdtPr>
    <w:sdtEndPr>
      <w:rPr>
        <w:rFonts w:asciiTheme="majorEastAsia" w:hAnsiTheme="majorEastAsia" w:eastAsiaTheme="majorEastAsia"/>
        <w:sz w:val="32"/>
        <w:szCs w:val="32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32"/>
            <w:szCs w:val="32"/>
          </w:rPr>
        </w:pPr>
        <w:r>
          <w:rPr>
            <w:rFonts w:asciiTheme="majorEastAsia" w:hAnsiTheme="majorEastAsia" w:eastAsiaTheme="majorEastAsia"/>
            <w:sz w:val="32"/>
            <w:szCs w:val="32"/>
          </w:rPr>
          <w:fldChar w:fldCharType="begin"/>
        </w:r>
        <w:r>
          <w:rPr>
            <w:rFonts w:asciiTheme="majorEastAsia" w:hAnsiTheme="majorEastAsia" w:eastAsiaTheme="majorEastAsia"/>
            <w:sz w:val="32"/>
            <w:szCs w:val="32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32"/>
            <w:szCs w:val="32"/>
          </w:rPr>
          <w:fldChar w:fldCharType="separate"/>
        </w:r>
        <w:r>
          <w:rPr>
            <w:rFonts w:asciiTheme="majorEastAsia" w:hAnsiTheme="majorEastAsia" w:eastAsiaTheme="majorEastAsia"/>
            <w:sz w:val="32"/>
            <w:szCs w:val="32"/>
            <w:lang w:val="zh-CN"/>
          </w:rPr>
          <w:t>-</w:t>
        </w:r>
        <w:r>
          <w:rPr>
            <w:rFonts w:asciiTheme="majorEastAsia" w:hAnsiTheme="majorEastAsia" w:eastAsiaTheme="majorEastAsia"/>
            <w:sz w:val="32"/>
            <w:szCs w:val="32"/>
          </w:rPr>
          <w:t xml:space="preserve"> 1 -</w:t>
        </w:r>
        <w:r>
          <w:rPr>
            <w:rFonts w:asciiTheme="majorEastAsia" w:hAnsiTheme="majorEastAsia" w:eastAsiaTheme="majorEastAsia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7730018"/>
      <w:docPartObj>
        <w:docPartGallery w:val="autotext"/>
      </w:docPartObj>
    </w:sdtPr>
    <w:sdtEndPr>
      <w:rPr>
        <w:rFonts w:asciiTheme="majorEastAsia" w:hAnsiTheme="majorEastAsia" w:eastAsiaTheme="majorEastAsia"/>
        <w:sz w:val="32"/>
        <w:szCs w:val="32"/>
      </w:rPr>
    </w:sdtEndPr>
    <w:sdtContent>
      <w:p>
        <w:pPr>
          <w:pStyle w:val="3"/>
          <w:rPr>
            <w:rFonts w:asciiTheme="majorEastAsia" w:hAnsiTheme="majorEastAsia" w:eastAsiaTheme="majorEastAsia"/>
            <w:sz w:val="32"/>
            <w:szCs w:val="32"/>
          </w:rPr>
        </w:pPr>
        <w:r>
          <w:rPr>
            <w:rFonts w:asciiTheme="majorEastAsia" w:hAnsiTheme="majorEastAsia" w:eastAsiaTheme="majorEastAsia"/>
            <w:sz w:val="32"/>
            <w:szCs w:val="32"/>
          </w:rPr>
          <w:fldChar w:fldCharType="begin"/>
        </w:r>
        <w:r>
          <w:rPr>
            <w:rFonts w:asciiTheme="majorEastAsia" w:hAnsiTheme="majorEastAsia" w:eastAsiaTheme="majorEastAsia"/>
            <w:sz w:val="32"/>
            <w:szCs w:val="32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32"/>
            <w:szCs w:val="32"/>
          </w:rPr>
          <w:fldChar w:fldCharType="separate"/>
        </w:r>
        <w:r>
          <w:rPr>
            <w:rFonts w:asciiTheme="majorEastAsia" w:hAnsiTheme="majorEastAsia" w:eastAsiaTheme="majorEastAsia"/>
            <w:sz w:val="32"/>
            <w:szCs w:val="32"/>
            <w:lang w:val="zh-CN"/>
          </w:rPr>
          <w:t>-</w:t>
        </w:r>
        <w:r>
          <w:rPr>
            <w:rFonts w:asciiTheme="majorEastAsia" w:hAnsiTheme="majorEastAsia" w:eastAsiaTheme="majorEastAsia"/>
            <w:sz w:val="32"/>
            <w:szCs w:val="32"/>
          </w:rPr>
          <w:t xml:space="preserve"> 2 -</w:t>
        </w:r>
        <w:r>
          <w:rPr>
            <w:rFonts w:asciiTheme="majorEastAsia" w:hAnsiTheme="majorEastAsia" w:eastAsiaTheme="majorEastAsia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28100149"/>
      <w:docPartObj>
        <w:docPartGallery w:val="autotext"/>
      </w:docPartObj>
    </w:sdtPr>
    <w:sdtEndPr>
      <w:rPr>
        <w:rFonts w:asciiTheme="majorEastAsia" w:hAnsiTheme="majorEastAsia" w:eastAsiaTheme="majorEastAsia"/>
        <w:sz w:val="32"/>
        <w:szCs w:val="32"/>
      </w:rPr>
    </w:sdtEndPr>
    <w:sdtContent>
      <w:p>
        <w:pPr>
          <w:pStyle w:val="3"/>
          <w:rPr>
            <w:rFonts w:asciiTheme="majorEastAsia" w:hAnsiTheme="majorEastAsia" w:eastAsiaTheme="majorEastAsia"/>
            <w:sz w:val="32"/>
            <w:szCs w:val="32"/>
          </w:rPr>
        </w:pPr>
        <w:r>
          <w:rPr>
            <w:rFonts w:hint="eastAsia" w:asciiTheme="majorEastAsia" w:hAnsiTheme="majorEastAsia" w:eastAsiaTheme="majorEastAsia"/>
            <w:sz w:val="32"/>
            <w:szCs w:val="32"/>
          </w:rPr>
          <w:t>-</w:t>
        </w:r>
        <w:r>
          <w:rPr>
            <w:rFonts w:asciiTheme="majorEastAsia" w:hAnsiTheme="majorEastAsia" w:eastAsiaTheme="majorEastAsia"/>
            <w:sz w:val="32"/>
            <w:szCs w:val="32"/>
          </w:rPr>
          <w:t xml:space="preserve"> </w:t>
        </w:r>
        <w:r>
          <w:rPr>
            <w:rFonts w:asciiTheme="majorEastAsia" w:hAnsiTheme="majorEastAsia" w:eastAsiaTheme="majorEastAsia"/>
            <w:sz w:val="32"/>
            <w:szCs w:val="32"/>
          </w:rPr>
          <w:fldChar w:fldCharType="begin"/>
        </w:r>
        <w:r>
          <w:rPr>
            <w:rFonts w:asciiTheme="majorEastAsia" w:hAnsiTheme="majorEastAsia" w:eastAsiaTheme="majorEastAsia"/>
            <w:sz w:val="32"/>
            <w:szCs w:val="32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32"/>
            <w:szCs w:val="32"/>
          </w:rPr>
          <w:fldChar w:fldCharType="separate"/>
        </w:r>
        <w:r>
          <w:rPr>
            <w:rFonts w:asciiTheme="majorEastAsia" w:hAnsiTheme="majorEastAsia" w:eastAsiaTheme="majorEastAsia"/>
            <w:sz w:val="32"/>
            <w:szCs w:val="32"/>
            <w:lang w:val="zh-CN"/>
          </w:rPr>
          <w:t>4</w:t>
        </w:r>
        <w:r>
          <w:rPr>
            <w:rFonts w:asciiTheme="majorEastAsia" w:hAnsiTheme="majorEastAsia" w:eastAsiaTheme="majorEastAsia"/>
            <w:sz w:val="32"/>
            <w:szCs w:val="32"/>
          </w:rPr>
          <w:fldChar w:fldCharType="end"/>
        </w:r>
        <w:r>
          <w:rPr>
            <w:rFonts w:hint="eastAsia" w:asciiTheme="majorEastAsia" w:hAnsiTheme="majorEastAsia" w:eastAsiaTheme="majorEastAsia"/>
            <w:sz w:val="32"/>
            <w:szCs w:val="32"/>
          </w:rPr>
          <w:t xml:space="preserve"> -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95C"/>
    <w:rsid w:val="00005380"/>
    <w:rsid w:val="00024CD7"/>
    <w:rsid w:val="00061A77"/>
    <w:rsid w:val="00066EAF"/>
    <w:rsid w:val="000A3457"/>
    <w:rsid w:val="000C562E"/>
    <w:rsid w:val="000D28AC"/>
    <w:rsid w:val="000D44AF"/>
    <w:rsid w:val="000D5972"/>
    <w:rsid w:val="000F59B2"/>
    <w:rsid w:val="001030CC"/>
    <w:rsid w:val="00112917"/>
    <w:rsid w:val="001664D4"/>
    <w:rsid w:val="001815C9"/>
    <w:rsid w:val="001A755B"/>
    <w:rsid w:val="001B0910"/>
    <w:rsid w:val="00210A9A"/>
    <w:rsid w:val="002130BD"/>
    <w:rsid w:val="00214313"/>
    <w:rsid w:val="0022546E"/>
    <w:rsid w:val="002469F5"/>
    <w:rsid w:val="002A27D9"/>
    <w:rsid w:val="002E457F"/>
    <w:rsid w:val="002E5B0C"/>
    <w:rsid w:val="00304C3E"/>
    <w:rsid w:val="00321F7B"/>
    <w:rsid w:val="00374BCA"/>
    <w:rsid w:val="00374FC8"/>
    <w:rsid w:val="003A37B8"/>
    <w:rsid w:val="003B3DBD"/>
    <w:rsid w:val="003C005D"/>
    <w:rsid w:val="003D5642"/>
    <w:rsid w:val="003E3491"/>
    <w:rsid w:val="00442B64"/>
    <w:rsid w:val="004808FE"/>
    <w:rsid w:val="00493475"/>
    <w:rsid w:val="004B1619"/>
    <w:rsid w:val="004E44A0"/>
    <w:rsid w:val="00535579"/>
    <w:rsid w:val="00565543"/>
    <w:rsid w:val="005839B6"/>
    <w:rsid w:val="005901B6"/>
    <w:rsid w:val="005F6B30"/>
    <w:rsid w:val="0062303E"/>
    <w:rsid w:val="0063095C"/>
    <w:rsid w:val="00640033"/>
    <w:rsid w:val="00646D83"/>
    <w:rsid w:val="00662585"/>
    <w:rsid w:val="00673FE8"/>
    <w:rsid w:val="006A79D3"/>
    <w:rsid w:val="006A7F92"/>
    <w:rsid w:val="006D6A02"/>
    <w:rsid w:val="006D76CB"/>
    <w:rsid w:val="00701BAD"/>
    <w:rsid w:val="0071073D"/>
    <w:rsid w:val="0071119A"/>
    <w:rsid w:val="00721F5F"/>
    <w:rsid w:val="0074376C"/>
    <w:rsid w:val="007545F4"/>
    <w:rsid w:val="00771B65"/>
    <w:rsid w:val="007A550B"/>
    <w:rsid w:val="007B7689"/>
    <w:rsid w:val="007D4898"/>
    <w:rsid w:val="007F6812"/>
    <w:rsid w:val="00807CD1"/>
    <w:rsid w:val="008149D6"/>
    <w:rsid w:val="008340F8"/>
    <w:rsid w:val="00946C1F"/>
    <w:rsid w:val="0096324E"/>
    <w:rsid w:val="00966052"/>
    <w:rsid w:val="009D7CC5"/>
    <w:rsid w:val="00A3640B"/>
    <w:rsid w:val="00A37A87"/>
    <w:rsid w:val="00A518F0"/>
    <w:rsid w:val="00A519DA"/>
    <w:rsid w:val="00A75C34"/>
    <w:rsid w:val="00A8360D"/>
    <w:rsid w:val="00A958B3"/>
    <w:rsid w:val="00AD06F3"/>
    <w:rsid w:val="00AD0EBC"/>
    <w:rsid w:val="00AD4FD1"/>
    <w:rsid w:val="00AD5B78"/>
    <w:rsid w:val="00AD7F48"/>
    <w:rsid w:val="00AF03C5"/>
    <w:rsid w:val="00B219DB"/>
    <w:rsid w:val="00B30AAA"/>
    <w:rsid w:val="00B44F38"/>
    <w:rsid w:val="00B501AC"/>
    <w:rsid w:val="00B70D82"/>
    <w:rsid w:val="00C14DC8"/>
    <w:rsid w:val="00C30302"/>
    <w:rsid w:val="00C33345"/>
    <w:rsid w:val="00C524AA"/>
    <w:rsid w:val="00C93C95"/>
    <w:rsid w:val="00C959B6"/>
    <w:rsid w:val="00C9621D"/>
    <w:rsid w:val="00CA229C"/>
    <w:rsid w:val="00CC1082"/>
    <w:rsid w:val="00CE4968"/>
    <w:rsid w:val="00D37CA5"/>
    <w:rsid w:val="00D461D9"/>
    <w:rsid w:val="00D60DB4"/>
    <w:rsid w:val="00D714DA"/>
    <w:rsid w:val="00D82B2A"/>
    <w:rsid w:val="00DA513A"/>
    <w:rsid w:val="00DA5531"/>
    <w:rsid w:val="00DA7D19"/>
    <w:rsid w:val="00DC2935"/>
    <w:rsid w:val="00EB6315"/>
    <w:rsid w:val="00EC706B"/>
    <w:rsid w:val="00ED5E42"/>
    <w:rsid w:val="00EE31DA"/>
    <w:rsid w:val="00EE7B42"/>
    <w:rsid w:val="00F27257"/>
    <w:rsid w:val="00F63A72"/>
    <w:rsid w:val="00F76CA8"/>
    <w:rsid w:val="00FB4BF3"/>
    <w:rsid w:val="00FE3A29"/>
    <w:rsid w:val="179F1D83"/>
    <w:rsid w:val="1BB5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0C6AA2-E55E-43F7-9D8B-B87DF5A56F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5</Pages>
  <Words>180</Words>
  <Characters>1027</Characters>
  <Lines>8</Lines>
  <Paragraphs>2</Paragraphs>
  <TotalTime>36</TotalTime>
  <ScaleCrop>false</ScaleCrop>
  <LinksUpToDate>false</LinksUpToDate>
  <CharactersWithSpaces>1205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2020-09-06T13:56:00Z</dcterms:created>
  <dc:creator>SDWM</dc:creator>
  <cp:lastModifiedBy>楚天1369354128</cp:lastModifiedBy>
  <cp:lastPrinted>2020-09-07T02:07:00Z</cp:lastPrinted>
  <dcterms:modified xsi:type="dcterms:W3CDTF">2020-12-21T02:32:56Z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