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Style w:val="2"/>
        <w:tblW w:w="101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0110" w:type="dxa"/>
            <w:shd w:val="clear" w:color="auto" w:fill="FFFFFF"/>
            <w:vAlign w:val="center"/>
          </w:tcPr>
          <w:p>
            <w:pPr>
              <w:keepNext w:val="0"/>
              <w:keepLines w:val="0"/>
              <w:widowControl/>
              <w:suppressLineNumbers w:val="0"/>
              <w:jc w:val="left"/>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0110" w:type="dxa"/>
            <w:shd w:val="clear" w:color="auto" w:fill="FFFFFF"/>
            <w:vAlign w:val="center"/>
          </w:tcPr>
          <w:p>
            <w:pPr>
              <w:spacing w:line="360" w:lineRule="auto"/>
              <w:jc w:val="center"/>
              <w:rPr>
                <w:rFonts w:ascii="方正小标宋简体" w:hAnsi="方正小标宋简体" w:eastAsia="方正小标宋简体" w:cs="方正小标宋简体"/>
                <w:i w:val="0"/>
                <w:color w:val="000000"/>
                <w:sz w:val="44"/>
                <w:szCs w:val="44"/>
                <w:u w:val="none"/>
              </w:rPr>
            </w:pPr>
            <w:r>
              <w:rPr>
                <w:rFonts w:hint="eastAsia" w:ascii="宋体" w:hAnsi="宋体" w:eastAsia="宋体" w:cs="宋体"/>
                <w:b/>
                <w:bCs w:val="0"/>
                <w:sz w:val="36"/>
                <w:szCs w:val="36"/>
              </w:rPr>
              <w:t>201</w:t>
            </w:r>
            <w:r>
              <w:rPr>
                <w:rFonts w:hint="eastAsia" w:ascii="宋体" w:hAnsi="宋体" w:eastAsia="宋体" w:cs="宋体"/>
                <w:b/>
                <w:bCs w:val="0"/>
                <w:sz w:val="36"/>
                <w:szCs w:val="36"/>
                <w:lang w:val="en-US" w:eastAsia="zh-CN"/>
              </w:rPr>
              <w:t>9</w:t>
            </w:r>
            <w:bookmarkStart w:id="0" w:name="_GoBack"/>
            <w:bookmarkEnd w:id="0"/>
            <w:r>
              <w:rPr>
                <w:rFonts w:hint="eastAsia" w:ascii="宋体" w:hAnsi="宋体" w:eastAsia="宋体" w:cs="宋体"/>
                <w:b/>
                <w:bCs w:val="0"/>
                <w:sz w:val="36"/>
                <w:szCs w:val="36"/>
              </w:rPr>
              <w:t>年部门整体支出绩效自评指标计分表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jc w:val="center"/>
        </w:trPr>
        <w:tc>
          <w:tcPr>
            <w:tcW w:w="10110" w:type="dxa"/>
            <w:shd w:val="clear" w:color="auto" w:fill="FFFFFF"/>
            <w:vAlign w:val="center"/>
          </w:tcPr>
          <w:p>
            <w:pPr>
              <w:keepNext w:val="0"/>
              <w:keepLines w:val="0"/>
              <w:widowControl/>
              <w:suppressLineNumbers w:val="0"/>
              <w:jc w:val="left"/>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编制单位：益阳市大通湖区工业园</w:t>
            </w:r>
          </w:p>
        </w:tc>
      </w:tr>
    </w:tbl>
    <w:p/>
    <w:tbl>
      <w:tblPr>
        <w:tblStyle w:val="2"/>
        <w:tblW w:w="101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5"/>
        <w:gridCol w:w="495"/>
        <w:gridCol w:w="600"/>
        <w:gridCol w:w="540"/>
        <w:gridCol w:w="675"/>
        <w:gridCol w:w="480"/>
        <w:gridCol w:w="2865"/>
        <w:gridCol w:w="345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jc w:val="center"/>
        </w:trPr>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一级指标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分值</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二级指标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分值</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评价标准</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指标说明</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jc w:val="center"/>
        </w:trPr>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投  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预算配置</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在职人员控制率</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以100%为标准，在职人员控制率&lt;=100%,计5分,每超过一个百分点扣0.5分,扣完为止。</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在职人员控制率=（在职人员数/编制数）×100%。在职人员数：部门实际在职人数，以财政部确定的部门决算编制口径为准。编制数：机构编制部门核定批复的部门的人员编制数。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变动率</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“三公经费”变动率&lt;=0,计8分,“三公经费”变动率&gt;0,每超过一个百分点扣0.8分,扣完为止。</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三公经费</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变动率</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（本年度</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三公经费</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总额</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上年度</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三公经费</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总额）</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上年度</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三公经费</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总额</w:t>
            </w:r>
            <w:r>
              <w:rPr>
                <w:rFonts w:hint="default" w:ascii="Times New Roman" w:hAnsi="Times New Roman" w:eastAsia="宋体" w:cs="Times New Roman"/>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。下降的计5分，增加的按比例扣减。</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三公经费</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：年度预算安排的因公出国（境）费、公务车辆购置及运行费和公务招待费。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过  程</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预算执行</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100%计满分，每低于5%扣2分，扣完为止。</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预算完成率=</w:t>
            </w:r>
            <w:r>
              <w:rPr>
                <w:rFonts w:hint="eastAsia" w:ascii="宋体" w:hAnsi="宋体" w:eastAsia="宋体" w:cs="宋体"/>
                <w:i w:val="0"/>
                <w:color w:val="000000"/>
                <w:kern w:val="0"/>
                <w:sz w:val="18"/>
                <w:szCs w:val="18"/>
                <w:u w:val="none"/>
                <w:lang w:val="en-US" w:eastAsia="zh-CN" w:bidi="ar"/>
              </w:rPr>
              <w:t>（上年结余</w:t>
            </w:r>
            <w:r>
              <w:rPr>
                <w:rFonts w:hint="default" w:ascii="仿宋_GB2312" w:hAnsi="宋体" w:eastAsia="仿宋_GB2312" w:cs="仿宋_GB2312"/>
                <w:i w:val="0"/>
                <w:color w:val="000000"/>
                <w:kern w:val="0"/>
                <w:sz w:val="18"/>
                <w:szCs w:val="18"/>
                <w:u w:val="none"/>
                <w:lang w:val="en-US" w:eastAsia="zh-CN" w:bidi="ar"/>
              </w:rPr>
              <w:t>+年初预算+本年追加预算-年末结余）</w:t>
            </w:r>
            <w:r>
              <w:rPr>
                <w:rFonts w:hint="default" w:ascii="Times New Roman" w:hAnsi="Times New Roman" w:eastAsia="仿宋_GB2312" w:cs="Times New Roman"/>
                <w:i w:val="0"/>
                <w:color w:val="000000"/>
                <w:kern w:val="0"/>
                <w:sz w:val="18"/>
                <w:szCs w:val="18"/>
                <w:u w:val="none"/>
                <w:lang w:val="en-US" w:eastAsia="zh-CN" w:bidi="ar"/>
              </w:rPr>
              <w:t>/</w:t>
            </w:r>
            <w:r>
              <w:rPr>
                <w:rFonts w:hint="default" w:ascii="仿宋_GB2312" w:hAnsi="宋体" w:eastAsia="仿宋_GB2312" w:cs="仿宋_GB2312"/>
                <w:i w:val="0"/>
                <w:color w:val="000000"/>
                <w:kern w:val="0"/>
                <w:sz w:val="18"/>
                <w:szCs w:val="18"/>
                <w:u w:val="none"/>
                <w:lang w:val="en-US" w:eastAsia="zh-CN" w:bidi="ar"/>
              </w:rPr>
              <w:t>（上年结余+年初预算+本年追加预算）</w:t>
            </w:r>
            <w:r>
              <w:rPr>
                <w:rFonts w:hint="default" w:ascii="Times New Roman" w:hAnsi="Times New Roman" w:eastAsia="仿宋_GB2312" w:cs="Times New Roman"/>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。预算完成数：部门本年度实际完成的预算数。预算数：财政部门批复的本年度部门预算数。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预算控制率</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预算控制率=0,计5分；</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0-10%(含),计4分；</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10%-20%(含),计3分；</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20%-30%(含)计2分；</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大于30%不得分。</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预算调整率=</w:t>
            </w:r>
            <w:r>
              <w:rPr>
                <w:rFonts w:hint="eastAsia" w:ascii="宋体" w:hAnsi="宋体" w:eastAsia="宋体" w:cs="宋体"/>
                <w:i w:val="0"/>
                <w:color w:val="000000"/>
                <w:kern w:val="0"/>
                <w:sz w:val="18"/>
                <w:szCs w:val="18"/>
                <w:u w:val="none"/>
                <w:lang w:val="en-US" w:eastAsia="zh-CN" w:bidi="ar"/>
              </w:rPr>
              <w:t>（预算调整数</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预算数）</w:t>
            </w:r>
            <w:r>
              <w:rPr>
                <w:rFonts w:hint="default" w:ascii="Times New Roman" w:hAnsi="Times New Roman" w:eastAsia="仿宋_GB2312" w:cs="Times New Roman"/>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。预算调整数：部门在本年度内涉及预算的追加、追减或结构调整的资金总和（因落实国家政策、发生不可抗力、上级部门或同级党委政府临时交办而产生的调整除外）。</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5"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新建楼堂馆所面积控制率</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100%以下（含）计满分，每超出5%扣2分，扣完为止。没有楼堂馆所项目的部门按满分计算</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新建楼堂馆所面积控制率=实际建设面积/批准建设面积×100%。该指标评价年度完工的新建楼堂馆所为评价内容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新建楼堂馆所投资概算控制率</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100%以下（含）计满分，每超出5%扣2分，扣完为止。没有楼堂馆所项目的部门按满分计算</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新建楼堂馆所投资预算控制率=实际投资金额/批准投资金额×100%。该指标评价年度完工的新建楼堂馆所为评价内容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预算管理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公用经费控制率</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100%以下（含）计满分，每超出1%扣1分，扣完为止。</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公用经费控制率=</w:t>
            </w:r>
            <w:r>
              <w:rPr>
                <w:rFonts w:hint="eastAsia" w:ascii="宋体" w:hAnsi="宋体" w:eastAsia="宋体" w:cs="宋体"/>
                <w:i w:val="0"/>
                <w:color w:val="000000"/>
                <w:kern w:val="0"/>
                <w:sz w:val="18"/>
                <w:szCs w:val="18"/>
                <w:u w:val="none"/>
                <w:lang w:val="en-US" w:eastAsia="zh-CN" w:bidi="ar"/>
              </w:rPr>
              <w:t>（实际支出公用经费总额</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预算安排公用经费总额）</w:t>
            </w:r>
            <w:r>
              <w:rPr>
                <w:rFonts w:hint="default" w:ascii="Times New Roman" w:hAnsi="Times New Roman" w:eastAsia="仿宋_GB2312" w:cs="Times New Roman"/>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。公用经费支出是指部门基本支出中的一般商品和服务支出。</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100%以下（含）计满分，每超出1%扣1分，扣完为止。</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w:t>
            </w:r>
            <w:r>
              <w:rPr>
                <w:rFonts w:hint="eastAsia" w:ascii="宋体" w:hAnsi="宋体" w:eastAsia="宋体" w:cs="宋体"/>
                <w:i w:val="0"/>
                <w:color w:val="000000"/>
                <w:kern w:val="0"/>
                <w:sz w:val="18"/>
                <w:szCs w:val="18"/>
                <w:u w:val="none"/>
                <w:lang w:val="en-US" w:eastAsia="zh-CN" w:bidi="ar"/>
              </w:rPr>
              <w:t>三公经费</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控制率</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三公经费</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实际支出数</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三公经费</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预算安排数）</w:t>
            </w:r>
            <w:r>
              <w:rPr>
                <w:rFonts w:hint="default" w:ascii="Times New Roman" w:hAnsi="Times New Roman" w:eastAsia="仿宋_GB2312" w:cs="Times New Roman"/>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管理制度健全性</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每出现一例不符合要求的扣</w:t>
            </w:r>
            <w:r>
              <w:rPr>
                <w:rStyle w:val="16"/>
                <w:rFonts w:ascii="宋体" w:hAnsi="宋体" w:eastAsia="宋体" w:cs="宋体"/>
                <w:sz w:val="24"/>
                <w:szCs w:val="24"/>
                <w:lang w:val="en-US" w:eastAsia="zh-CN" w:bidi="ar"/>
              </w:rPr>
              <w:t>2</w:t>
            </w:r>
            <w:r>
              <w:rPr>
                <w:rFonts w:hint="eastAsia" w:ascii="宋体" w:hAnsi="宋体" w:eastAsia="宋体" w:cs="宋体"/>
                <w:i w:val="0"/>
                <w:color w:val="000000"/>
                <w:kern w:val="0"/>
                <w:sz w:val="20"/>
                <w:szCs w:val="20"/>
                <w:u w:val="none"/>
                <w:lang w:val="en-US" w:eastAsia="zh-CN" w:bidi="ar"/>
              </w:rPr>
              <w:t>分，扣完为止。</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Symbol" w:hAnsi="Symbol" w:eastAsia="宋体" w:cs="Symbol"/>
                <w:i w:val="0"/>
                <w:color w:val="000000"/>
                <w:sz w:val="20"/>
                <w:szCs w:val="20"/>
                <w:u w:val="none"/>
              </w:rPr>
            </w:pPr>
            <w:r>
              <w:rPr>
                <w:rFonts w:hint="default" w:ascii="Symbol" w:hAnsi="Symbol" w:eastAsia="宋体" w:cs="Symbol"/>
                <w:i w:val="0"/>
                <w:color w:val="000000"/>
                <w:kern w:val="0"/>
                <w:sz w:val="20"/>
                <w:szCs w:val="20"/>
                <w:u w:val="none"/>
                <w:lang w:val="en-US" w:eastAsia="zh-CN" w:bidi="ar"/>
              </w:rPr>
              <w:t></w:t>
            </w:r>
            <w:r>
              <w:rPr>
                <w:rFonts w:hint="default" w:ascii="仿宋_GB2312" w:hAnsi="Symbol" w:eastAsia="仿宋_GB2312" w:cs="仿宋_GB2312"/>
                <w:i w:val="0"/>
                <w:color w:val="000000"/>
                <w:kern w:val="0"/>
                <w:sz w:val="20"/>
                <w:szCs w:val="20"/>
                <w:u w:val="none"/>
                <w:lang w:val="en-US" w:eastAsia="zh-CN" w:bidi="ar"/>
              </w:rPr>
              <w:t>①有内部财务管理制度、会计核算制度等管理制度；</w:t>
            </w:r>
            <w:r>
              <w:rPr>
                <w:rFonts w:hint="default" w:ascii="仿宋_GB2312" w:hAnsi="Symbol" w:eastAsia="仿宋_GB2312" w:cs="仿宋_GB2312"/>
                <w:i w:val="0"/>
                <w:color w:val="000000"/>
                <w:kern w:val="0"/>
                <w:sz w:val="20"/>
                <w:szCs w:val="20"/>
                <w:u w:val="none"/>
                <w:lang w:val="en-US" w:eastAsia="zh-CN" w:bidi="ar"/>
              </w:rPr>
              <w:br w:type="textWrapping"/>
            </w:r>
            <w:r>
              <w:rPr>
                <w:rFonts w:hint="default" w:ascii="仿宋_GB2312" w:hAnsi="Symbol" w:eastAsia="仿宋_GB2312" w:cs="仿宋_GB2312"/>
                <w:i w:val="0"/>
                <w:color w:val="000000"/>
                <w:kern w:val="0"/>
                <w:sz w:val="20"/>
                <w:szCs w:val="20"/>
                <w:u w:val="none"/>
                <w:lang w:val="en-US" w:eastAsia="zh-CN" w:bidi="ar"/>
              </w:rPr>
              <w:t>②有本部门厉行节约制度；</w:t>
            </w:r>
            <w:r>
              <w:rPr>
                <w:rFonts w:hint="default" w:ascii="仿宋_GB2312" w:hAnsi="Symbol" w:eastAsia="仿宋_GB2312" w:cs="仿宋_GB2312"/>
                <w:i w:val="0"/>
                <w:color w:val="000000"/>
                <w:kern w:val="0"/>
                <w:sz w:val="20"/>
                <w:szCs w:val="20"/>
                <w:u w:val="none"/>
                <w:lang w:val="en-US" w:eastAsia="zh-CN" w:bidi="ar"/>
              </w:rPr>
              <w:br w:type="textWrapping"/>
            </w:r>
            <w:r>
              <w:rPr>
                <w:rFonts w:hint="default" w:ascii="仿宋_GB2312" w:hAnsi="Symbol" w:eastAsia="仿宋_GB2312" w:cs="仿宋_GB2312"/>
                <w:i w:val="0"/>
                <w:color w:val="000000"/>
                <w:kern w:val="0"/>
                <w:sz w:val="20"/>
                <w:szCs w:val="20"/>
                <w:u w:val="none"/>
                <w:lang w:val="en-US" w:eastAsia="zh-CN" w:bidi="ar"/>
              </w:rPr>
              <w:t>③相关管理制度合法、合规、完整；④相关管理制度得到有效执行。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每出现一例不符合要求的扣1分，扣完为止。</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预决算信息公开性</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每出现一例不符合要求的扣1分，扣完为止。</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①按规定内容公开预决算信息；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②按规定时限公开预决算信息；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预决算信息是指与部门预算、执行、决算、监督、绩效等管理相关的信息。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产出及效果</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35</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职责履行</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目标任务实际完成率</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该项得分=（年度综合目标管理考核得分/总分）*8</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根据区年度综合目标管理考核得分折算。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履职效益</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63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此三项指标为设置部门整体支出绩效评价指标时必须考虑的要素，可根据部门实际情况有选择的进行设置，并将其细化为相应的个性化指标。</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63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63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行政效能</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促进部门改进文风会风，加强经费及资产管理，推动网上办事，提高行政效率，降低行政成本较好的计</w:t>
            </w:r>
            <w:r>
              <w:rPr>
                <w:rFonts w:hint="default" w:ascii="Times New Roman" w:hAnsi="Times New Roman" w:eastAsia="宋体" w:cs="Times New Roman"/>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分，一般</w:t>
            </w:r>
            <w:r>
              <w:rPr>
                <w:rFonts w:hint="default" w:ascii="Times New Roman" w:hAnsi="Times New Roman" w:eastAsia="宋体" w:cs="Times New Roman"/>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分，无效果或者效果不明显不计分。</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根据部门自评材料评定。</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社会公众或服务对象满意度</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w:t>
            </w:r>
            <w:r>
              <w:rPr>
                <w:rFonts w:hint="eastAsia" w:ascii="宋体" w:hAnsi="宋体" w:eastAsia="宋体" w:cs="宋体"/>
                <w:i w:val="0"/>
                <w:color w:val="000000"/>
                <w:kern w:val="0"/>
                <w:sz w:val="18"/>
                <w:szCs w:val="18"/>
                <w:u w:val="none"/>
                <w:lang w:val="en-US" w:eastAsia="zh-CN" w:bidi="ar"/>
              </w:rPr>
              <w:t>以上（含）计</w:t>
            </w:r>
            <w:r>
              <w:rPr>
                <w:rFonts w:hint="default" w:ascii="Times New Roman" w:hAnsi="Times New Roman" w:eastAsia="宋体" w:cs="Times New Roman"/>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80%</w:t>
            </w:r>
            <w:r>
              <w:rPr>
                <w:rFonts w:hint="eastAsia" w:ascii="宋体" w:hAnsi="宋体" w:eastAsia="宋体" w:cs="宋体"/>
                <w:i w:val="0"/>
                <w:color w:val="000000"/>
                <w:kern w:val="0"/>
                <w:sz w:val="18"/>
                <w:szCs w:val="18"/>
                <w:u w:val="none"/>
                <w:lang w:val="en-US" w:eastAsia="zh-CN" w:bidi="ar"/>
              </w:rPr>
              <w:t>以上-90%，计</w:t>
            </w:r>
            <w:r>
              <w:rPr>
                <w:rFonts w:hint="default" w:ascii="Times New Roman" w:hAnsi="Times New Roman" w:eastAsia="宋体" w:cs="Times New Roman"/>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70%</w:t>
            </w:r>
            <w:r>
              <w:rPr>
                <w:rFonts w:hint="eastAsia" w:ascii="宋体" w:hAnsi="宋体" w:eastAsia="宋体" w:cs="宋体"/>
                <w:i w:val="0"/>
                <w:color w:val="000000"/>
                <w:kern w:val="0"/>
                <w:sz w:val="18"/>
                <w:szCs w:val="18"/>
                <w:u w:val="none"/>
                <w:lang w:val="en-US" w:eastAsia="zh-CN" w:bidi="ar"/>
              </w:rPr>
              <w:t>以上</w:t>
            </w:r>
            <w:r>
              <w:rPr>
                <w:rFonts w:hint="default" w:ascii="Times New Roman" w:hAnsi="Times New Roman" w:eastAsia="宋体" w:cs="Times New Roman"/>
                <w:i w:val="0"/>
                <w:color w:val="000000"/>
                <w:kern w:val="0"/>
                <w:sz w:val="18"/>
                <w:szCs w:val="18"/>
                <w:u w:val="none"/>
                <w:lang w:val="en-US" w:eastAsia="zh-CN" w:bidi="ar"/>
              </w:rPr>
              <w:t>-80%</w:t>
            </w:r>
            <w:r>
              <w:rPr>
                <w:rFonts w:hint="eastAsia" w:ascii="宋体" w:hAnsi="宋体" w:eastAsia="宋体" w:cs="宋体"/>
                <w:i w:val="0"/>
                <w:color w:val="000000"/>
                <w:kern w:val="0"/>
                <w:sz w:val="18"/>
                <w:szCs w:val="18"/>
                <w:u w:val="none"/>
                <w:lang w:val="en-US" w:eastAsia="zh-CN" w:bidi="ar"/>
              </w:rPr>
              <w:t>，计</w:t>
            </w:r>
            <w:r>
              <w:rPr>
                <w:rFonts w:hint="default" w:ascii="Times New Roman" w:hAnsi="Times New Roman" w:eastAsia="宋体" w:cs="Times New Roman"/>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分；</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低于</w:t>
            </w:r>
            <w:r>
              <w:rPr>
                <w:rFonts w:hint="default" w:ascii="Times New Roman" w:hAnsi="Times New Roman" w:eastAsia="宋体" w:cs="Times New Roman"/>
                <w:i w:val="0"/>
                <w:color w:val="000000"/>
                <w:kern w:val="0"/>
                <w:sz w:val="18"/>
                <w:szCs w:val="18"/>
                <w:u w:val="none"/>
                <w:lang w:val="en-US" w:eastAsia="zh-CN" w:bidi="ar"/>
              </w:rPr>
              <w:t>70%</w:t>
            </w:r>
            <w:r>
              <w:rPr>
                <w:rFonts w:hint="eastAsia" w:ascii="宋体" w:hAnsi="宋体" w:eastAsia="宋体" w:cs="宋体"/>
                <w:i w:val="0"/>
                <w:color w:val="000000"/>
                <w:kern w:val="0"/>
                <w:sz w:val="18"/>
                <w:szCs w:val="18"/>
                <w:u w:val="none"/>
                <w:lang w:val="en-US" w:eastAsia="zh-CN" w:bidi="ar"/>
              </w:rPr>
              <w:t>计</w:t>
            </w:r>
            <w:r>
              <w:rPr>
                <w:rFonts w:hint="default" w:ascii="Times New Roman" w:hAnsi="Times New Roman" w:eastAsia="宋体" w:cs="Times New Roman"/>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分。</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社会公众或服务对象是指部门（单位）履行职责而影响到的部门、群体或个人，一般采取社会调查方式。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总 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100</w:t>
            </w:r>
          </w:p>
        </w:tc>
        <w:tc>
          <w:tcPr>
            <w:tcW w:w="63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82.6</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06695"/>
    <w:rsid w:val="0DF3380F"/>
    <w:rsid w:val="13ED7127"/>
    <w:rsid w:val="14B53CE1"/>
    <w:rsid w:val="160F1D4F"/>
    <w:rsid w:val="1C7F56C4"/>
    <w:rsid w:val="522A1A5D"/>
    <w:rsid w:val="5AB64667"/>
    <w:rsid w:val="62A73C62"/>
    <w:rsid w:val="7F0066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default" w:ascii="Times New Roman" w:hAnsi="Times New Roman" w:cs="Times New Roman"/>
      <w:color w:val="000000"/>
      <w:sz w:val="18"/>
      <w:szCs w:val="18"/>
      <w:u w:val="none"/>
    </w:rPr>
  </w:style>
  <w:style w:type="character" w:customStyle="1" w:styleId="5">
    <w:name w:val="font21"/>
    <w:basedOn w:val="3"/>
    <w:qFormat/>
    <w:uiPriority w:val="0"/>
    <w:rPr>
      <w:rFonts w:hint="eastAsia" w:ascii="宋体" w:hAnsi="宋体" w:eastAsia="宋体" w:cs="宋体"/>
      <w:color w:val="000000"/>
      <w:sz w:val="18"/>
      <w:szCs w:val="18"/>
      <w:u w:val="none"/>
    </w:rPr>
  </w:style>
  <w:style w:type="character" w:customStyle="1" w:styleId="6">
    <w:name w:val="font61"/>
    <w:basedOn w:val="3"/>
    <w:qFormat/>
    <w:uiPriority w:val="0"/>
    <w:rPr>
      <w:rFonts w:hint="default" w:ascii="仿宋_GB2312" w:eastAsia="仿宋_GB2312" w:cs="仿宋_GB2312"/>
      <w:color w:val="000000"/>
      <w:sz w:val="20"/>
      <w:szCs w:val="20"/>
      <w:u w:val="none"/>
    </w:rPr>
  </w:style>
  <w:style w:type="character" w:customStyle="1" w:styleId="7">
    <w:name w:val="font101"/>
    <w:basedOn w:val="3"/>
    <w:qFormat/>
    <w:uiPriority w:val="0"/>
    <w:rPr>
      <w:rFonts w:hint="default" w:ascii="仿宋_GB2312" w:eastAsia="仿宋_GB2312" w:cs="仿宋_GB2312"/>
      <w:color w:val="000000"/>
      <w:sz w:val="18"/>
      <w:szCs w:val="18"/>
      <w:u w:val="none"/>
    </w:rPr>
  </w:style>
  <w:style w:type="character" w:customStyle="1" w:styleId="8">
    <w:name w:val="font31"/>
    <w:basedOn w:val="3"/>
    <w:qFormat/>
    <w:uiPriority w:val="0"/>
    <w:rPr>
      <w:rFonts w:hint="eastAsia" w:ascii="宋体" w:hAnsi="宋体" w:eastAsia="宋体" w:cs="宋体"/>
      <w:color w:val="000000"/>
      <w:sz w:val="20"/>
      <w:szCs w:val="20"/>
      <w:u w:val="none"/>
    </w:rPr>
  </w:style>
  <w:style w:type="character" w:customStyle="1" w:styleId="9">
    <w:name w:val="font111"/>
    <w:basedOn w:val="3"/>
    <w:qFormat/>
    <w:uiPriority w:val="0"/>
    <w:rPr>
      <w:rFonts w:ascii="Wingdings" w:hAnsi="Wingdings" w:cs="Wingdings"/>
      <w:color w:val="000000"/>
      <w:sz w:val="20"/>
      <w:szCs w:val="20"/>
      <w:u w:val="none"/>
    </w:rPr>
  </w:style>
  <w:style w:type="character" w:customStyle="1" w:styleId="10">
    <w:name w:val="font81"/>
    <w:basedOn w:val="3"/>
    <w:qFormat/>
    <w:uiPriority w:val="0"/>
    <w:rPr>
      <w:rFonts w:hint="default" w:ascii="Symbol" w:hAnsi="Symbol" w:cs="Symbol"/>
      <w:color w:val="000000"/>
      <w:sz w:val="20"/>
      <w:szCs w:val="20"/>
      <w:u w:val="none"/>
    </w:rPr>
  </w:style>
  <w:style w:type="character" w:customStyle="1" w:styleId="11">
    <w:name w:val="font91"/>
    <w:basedOn w:val="3"/>
    <w:uiPriority w:val="0"/>
    <w:rPr>
      <w:rFonts w:hint="eastAsia" w:ascii="宋体" w:hAnsi="宋体" w:eastAsia="宋体" w:cs="宋体"/>
      <w:color w:val="000000"/>
      <w:sz w:val="18"/>
      <w:szCs w:val="18"/>
      <w:u w:val="none"/>
    </w:rPr>
  </w:style>
  <w:style w:type="character" w:customStyle="1" w:styleId="12">
    <w:name w:val="font41"/>
    <w:basedOn w:val="3"/>
    <w:qFormat/>
    <w:uiPriority w:val="0"/>
    <w:rPr>
      <w:rFonts w:hint="default" w:ascii="仿宋_GB2312" w:eastAsia="仿宋_GB2312" w:cs="仿宋_GB2312"/>
      <w:color w:val="000000"/>
      <w:sz w:val="20"/>
      <w:szCs w:val="20"/>
      <w:u w:val="none"/>
    </w:rPr>
  </w:style>
  <w:style w:type="character" w:customStyle="1" w:styleId="13">
    <w:name w:val="font01"/>
    <w:basedOn w:val="3"/>
    <w:qFormat/>
    <w:uiPriority w:val="0"/>
    <w:rPr>
      <w:rFonts w:hint="default" w:ascii="仿宋_GB2312" w:eastAsia="仿宋_GB2312" w:cs="仿宋_GB2312"/>
      <w:color w:val="000000"/>
      <w:sz w:val="18"/>
      <w:szCs w:val="18"/>
      <w:u w:val="none"/>
    </w:rPr>
  </w:style>
  <w:style w:type="character" w:customStyle="1" w:styleId="14">
    <w:name w:val="font51"/>
    <w:basedOn w:val="3"/>
    <w:qFormat/>
    <w:uiPriority w:val="0"/>
    <w:rPr>
      <w:rFonts w:hint="eastAsia" w:ascii="宋体" w:hAnsi="宋体" w:eastAsia="宋体" w:cs="宋体"/>
      <w:color w:val="000000"/>
      <w:sz w:val="20"/>
      <w:szCs w:val="20"/>
      <w:u w:val="none"/>
    </w:rPr>
  </w:style>
  <w:style w:type="character" w:customStyle="1" w:styleId="15">
    <w:name w:val="font11"/>
    <w:basedOn w:val="3"/>
    <w:qFormat/>
    <w:uiPriority w:val="0"/>
    <w:rPr>
      <w:rFonts w:hint="default" w:ascii="Times New Roman" w:hAnsi="Times New Roman" w:cs="Times New Roman"/>
      <w:color w:val="000000"/>
      <w:sz w:val="18"/>
      <w:szCs w:val="18"/>
      <w:u w:val="none"/>
    </w:rPr>
  </w:style>
  <w:style w:type="character" w:customStyle="1" w:styleId="16">
    <w:name w:val="font112"/>
    <w:basedOn w:val="3"/>
    <w:qFormat/>
    <w:uiPriority w:val="0"/>
    <w:rPr>
      <w:rFonts w:ascii="Wingdings" w:hAnsi="Wingdings" w:cs="Wingding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2017-09-14T22:26:00Z</dcterms:created>
  <dc:creator>Administrator</dc:creator>
  <cp:lastModifiedBy>黄嘉俊</cp:lastModifiedBy>
  <dcterms:modified xsi:type="dcterms:W3CDTF">2020-10-19T08:01:00Z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