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环卫中心垃圾处理、中转、压缩项目支出绩效</w:t>
      </w:r>
    </w:p>
    <w:p>
      <w:pPr>
        <w:pStyle w:val="2"/>
        <w:adjustRightInd w:val="0"/>
        <w:snapToGrid w:val="0"/>
        <w:spacing w:before="0" w:beforeAutospacing="0" w:after="0" w:afterAutospacing="0" w:line="720" w:lineRule="exact"/>
        <w:jc w:val="center"/>
        <w:rPr>
          <w:rFonts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评价报告</w:t>
      </w:r>
    </w:p>
    <w:p>
      <w:pPr>
        <w:spacing w:line="720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大通湖区按照“户分类、村收集、镇压缩、区转运”的城乡垃圾处理一体化模式，实行生活垃圾处理无害化、减量化、资源化处理。</w:t>
      </w:r>
      <w:r>
        <w:rPr>
          <w:rFonts w:hint="eastAsia" w:ascii="仿宋" w:hAnsi="仿宋" w:eastAsia="仿宋"/>
          <w:sz w:val="32"/>
          <w:szCs w:val="32"/>
        </w:rPr>
        <w:t>中心城区生活垃圾约30吨/日，全部通过密封式垃圾转运车转运至益阳市生活垃圾焚烧发电厂，无害化处理率达到了100%。所有垃圾渗透液全部收集进入污水池，污水经过10多道工艺处理进入清水池，达标后再排放到城区污水管网中，进行二次处理，</w:t>
      </w:r>
      <w:r>
        <w:rPr>
          <w:rFonts w:hint="eastAsia" w:ascii="仿宋" w:hAnsi="仿宋" w:eastAsia="仿宋" w:cs="仿宋"/>
          <w:sz w:val="32"/>
          <w:szCs w:val="32"/>
        </w:rPr>
        <w:t>达到一级（A）排放标准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（二）项目绩效目标，绩效目标设定及指标完成情况。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为实现全区垃圾处理一体化、无害化，杜绝造成二次污染，给全区人民营造良好人居环境，为我区争创文明卫生城市打下良好基础，全年考核圆满完成各项工作目标。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（三）项目实施情况分析，主要包括项目资金到位、资金使用、资金管理、项目组织和项目管理情况分析。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项目通过财政预算，垃圾处理、中转、压缩、渗滤液处理专项70万元，项目的支出包括设备机械维修，渗滤液药液购置及人工工资。资金是由财政局按季拨付到位，环卫中心资金严格按照财务制度，资金管理实行专款专用。</w:t>
      </w:r>
    </w:p>
    <w:p>
      <w:pPr>
        <w:spacing w:line="592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改善人居环境，提高人居幸福指数，通过考核及社会调查，群众满意。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（二）绩效评价工作过程，主要包括前期准备、组织实施和分析评价等内容。</w:t>
      </w:r>
    </w:p>
    <w:p>
      <w:pPr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年初制定考核制度，提高管理质量，做到日产日清，杜绝造成二次污染，做好日处理台账及渗滤液处理药剂台账，得到了上级主管部门好评。</w:t>
      </w:r>
    </w:p>
    <w:p>
      <w:pPr>
        <w:spacing w:line="592" w:lineRule="exact"/>
        <w:ind w:firstLine="640" w:firstLineChars="200"/>
        <w:rPr>
          <w:rFonts w:ascii="黑体" w:hAnsi="黑体" w:eastAsia="黑体" w:cs="仿宋_GB2312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</w:rPr>
        <w:t>三、项目主要绩效及评价结论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eastAsia="仿宋_GB2312" w:cs="仿宋_GB2312"/>
          <w:color w:val="000000" w:themeColor="text1"/>
          <w:sz w:val="32"/>
          <w:szCs w:val="32"/>
        </w:rPr>
        <w:t>项目经济性分析，主要包括项目成本（预算）控制情况和项目成本（预算）节约情况。</w:t>
      </w:r>
    </w:p>
    <w:p>
      <w:pPr>
        <w:autoSpaceDE w:val="0"/>
        <w:spacing w:beforeLines="50" w:line="560" w:lineRule="exact"/>
        <w:ind w:firstLine="60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该项目成本（预算）控制情况和项目成本（预算）节约情况都比较好，做到了专款专用。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eastAsia="仿宋_GB2312" w:cs="仿宋_GB2312"/>
          <w:color w:val="000000" w:themeColor="text1"/>
          <w:sz w:val="32"/>
          <w:szCs w:val="32"/>
        </w:rPr>
        <w:t>项目效率性分析，主要包括项目的实施进度和项目完成质量。</w:t>
      </w:r>
    </w:p>
    <w:p>
      <w:pPr>
        <w:autoSpaceDE w:val="0"/>
        <w:spacing w:beforeLines="50" w:line="560" w:lineRule="exact"/>
        <w:ind w:firstLine="900" w:firstLineChars="3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项目整个实施正常平稳，完成质量达到制定目标。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eastAsia="仿宋_GB2312" w:cs="仿宋_GB2312"/>
          <w:color w:val="000000" w:themeColor="text1"/>
          <w:sz w:val="32"/>
          <w:szCs w:val="32"/>
        </w:rPr>
        <w:t>项目效益性分析，主要包括项目预期目标完成程度和项目实施对经济和社会的影响等。</w:t>
      </w:r>
    </w:p>
    <w:p>
      <w:pPr>
        <w:autoSpaceDE w:val="0"/>
        <w:spacing w:beforeLines="50" w:line="560" w:lineRule="exact"/>
        <w:ind w:firstLine="60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项目完成100%，通过民意调查群众满意度较好。</w:t>
      </w:r>
    </w:p>
    <w:p>
      <w:pPr>
        <w:spacing w:line="592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spacing w:line="592" w:lineRule="exact"/>
        <w:ind w:firstLine="640" w:firstLineChars="200"/>
        <w:rPr>
          <w:rFonts w:ascii="仿宋" w:hAnsi="仿宋" w:eastAsia="仿宋" w:cs="仿宋"/>
          <w:i/>
          <w:iCs/>
          <w:color w:val="000000" w:themeColor="text1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项目资金通过了区委区管委同意，由区财政按季度直接下拨给环卫中心。由环卫中心建立财务资金管理办法，资金管理方面比较规范，专项管理比较到位，最后还要对项目进行考核、验收合格后再按月拨付资金。</w:t>
      </w:r>
    </w:p>
    <w:p>
      <w:pPr>
        <w:spacing w:line="592" w:lineRule="exact"/>
        <w:ind w:firstLine="640"/>
        <w:rPr>
          <w:rFonts w:ascii="仿宋" w:hAnsi="仿宋" w:eastAsia="仿宋" w:cs="仿宋"/>
          <w:i/>
          <w:iCs/>
          <w:color w:val="000000" w:themeColor="text1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资金分配基本合理，按财政管理制度执行资金专款专用，没有散小差现象，与资金管理办法相符。</w:t>
      </w:r>
    </w:p>
    <w:p>
      <w:pPr>
        <w:spacing w:line="592" w:lineRule="exact"/>
        <w:ind w:firstLine="640"/>
        <w:rPr>
          <w:rFonts w:ascii="仿宋" w:hAnsi="仿宋" w:eastAsia="仿宋" w:cs="仿宋"/>
          <w:i/>
          <w:iCs/>
          <w:color w:val="000000" w:themeColor="text1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资金拨付没有问题，能按时拨付到位，没有滞留、闲置现象发生。</w:t>
      </w:r>
    </w:p>
    <w:p>
      <w:pPr>
        <w:spacing w:line="592" w:lineRule="exact"/>
        <w:ind w:firstLine="640"/>
        <w:rPr>
          <w:rFonts w:ascii="仿宋" w:hAnsi="仿宋" w:eastAsia="仿宋" w:cs="仿宋"/>
          <w:i/>
          <w:iCs/>
          <w:color w:val="000000" w:themeColor="text1"/>
        </w:rPr>
      </w:pPr>
      <w:r>
        <w:rPr>
          <w:rFonts w:hint="eastAsia" w:eastAsia="仿宋_GB2312" w:cs="仿宋_GB2312"/>
          <w:color w:val="000000" w:themeColor="text1"/>
          <w:sz w:val="32"/>
          <w:szCs w:val="32"/>
        </w:rPr>
        <w:t>4</w:t>
      </w:r>
      <w:r>
        <w:rPr>
          <w:rFonts w:hint="eastAsia" w:ascii="楷体_GB2312" w:eastAsia="楷体_GB2312" w:cs="仿宋_GB2312"/>
          <w:color w:val="000000" w:themeColor="text1"/>
          <w:sz w:val="32"/>
          <w:szCs w:val="32"/>
        </w:rPr>
        <w:t>．</w:t>
      </w:r>
      <w:r>
        <w:rPr>
          <w:rFonts w:hint="eastAsia" w:ascii="仿宋" w:hAnsi="仿宋" w:eastAsia="仿宋" w:cs="仿宋"/>
          <w:iCs/>
          <w:color w:val="000000" w:themeColor="text1"/>
          <w:sz w:val="30"/>
          <w:szCs w:val="30"/>
        </w:rPr>
        <w:t>资金使用合理合规，没有截留、挪用现象，项目的实施和资金的使用是我区创卫工作的坚强后盾。</w:t>
      </w:r>
    </w:p>
    <w:p>
      <w:pPr>
        <w:spacing w:line="592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五、有关建议</w:t>
      </w:r>
    </w:p>
    <w:p>
      <w:pPr>
        <w:spacing w:line="592" w:lineRule="exact"/>
        <w:ind w:firstLine="600" w:firstLineChars="200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由于中心城区的扩展，人口增加，垃圾量增大，设备严重老化落伍，建议增加投入，完善设备更新，增强处理效率。</w:t>
      </w:r>
    </w:p>
    <w:p>
      <w:pPr>
        <w:spacing w:line="592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六、其他需要说明的问题</w:t>
      </w:r>
    </w:p>
    <w:p>
      <w:pPr>
        <w:spacing w:line="592" w:lineRule="exact"/>
        <w:ind w:firstLine="600" w:firstLineChars="200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无。</w:t>
      </w:r>
    </w:p>
    <w:p/>
    <w:p/>
    <w:p/>
    <w:p>
      <w:pPr>
        <w:tabs>
          <w:tab w:val="left" w:pos="4635"/>
        </w:tabs>
        <w:spacing w:line="560" w:lineRule="exact"/>
        <w:rPr>
          <w:rFonts w:ascii="仿宋" w:hAnsi="仿宋" w:eastAsia="仿宋"/>
          <w:sz w:val="30"/>
          <w:szCs w:val="30"/>
        </w:rPr>
      </w:pPr>
      <w:r>
        <w:tab/>
      </w:r>
      <w:r>
        <w:rPr>
          <w:rFonts w:hint="eastAsia" w:ascii="仿宋" w:hAnsi="仿宋" w:eastAsia="仿宋"/>
          <w:sz w:val="30"/>
          <w:szCs w:val="30"/>
        </w:rPr>
        <w:t>大通湖区环境卫生管理中心</w:t>
      </w:r>
    </w:p>
    <w:p>
      <w:pPr>
        <w:tabs>
          <w:tab w:val="left" w:pos="5910"/>
        </w:tabs>
        <w:spacing w:line="560" w:lineRule="exact"/>
        <w:ind w:firstLine="5250" w:firstLineChars="17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2021年7月2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tabs>
          <w:tab w:val="left" w:pos="4950"/>
        </w:tabs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9"/>
    <w:rsid w:val="00053C28"/>
    <w:rsid w:val="000E0751"/>
    <w:rsid w:val="00105FF8"/>
    <w:rsid w:val="00106D6D"/>
    <w:rsid w:val="001539D7"/>
    <w:rsid w:val="00223872"/>
    <w:rsid w:val="00271B14"/>
    <w:rsid w:val="00323B43"/>
    <w:rsid w:val="003418CB"/>
    <w:rsid w:val="003D37D8"/>
    <w:rsid w:val="004358AB"/>
    <w:rsid w:val="004B2FBD"/>
    <w:rsid w:val="00595838"/>
    <w:rsid w:val="00625018"/>
    <w:rsid w:val="0072748B"/>
    <w:rsid w:val="00886CDA"/>
    <w:rsid w:val="008B7726"/>
    <w:rsid w:val="00986B89"/>
    <w:rsid w:val="00AD620E"/>
    <w:rsid w:val="00B15F0B"/>
    <w:rsid w:val="00B5176B"/>
    <w:rsid w:val="00BF7ED9"/>
    <w:rsid w:val="00C81609"/>
    <w:rsid w:val="00D15A41"/>
    <w:rsid w:val="00D556D4"/>
    <w:rsid w:val="00D8671A"/>
    <w:rsid w:val="00E72F4D"/>
    <w:rsid w:val="00ED010B"/>
    <w:rsid w:val="00FD63DA"/>
    <w:rsid w:val="314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uiPriority w:val="0"/>
    <w:rPr>
      <w:rFonts w:ascii="宋体" w:hAnsi="宋体" w:eastAsia="宋体" w:cs="宋体"/>
      <w:sz w:val="36"/>
      <w:szCs w:val="36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益阳大通湖新浪潮电脑</Company>
  <Pages>3</Pages>
  <Words>174</Words>
  <Characters>997</Characters>
  <Lines>8</Lines>
  <Paragraphs>2</Paragraphs>
  <TotalTime>55</TotalTime>
  <ScaleCrop>false</ScaleCrop>
  <LinksUpToDate>false</LinksUpToDate>
  <CharactersWithSpaces>1169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2021-07-19T01:27:00Z</dcterms:created>
  <dc:creator>XLC</dc:creator>
  <cp:lastModifiedBy>Administrator</cp:lastModifiedBy>
  <cp:lastPrinted>2021-07-19T02:07:00Z</cp:lastPrinted>
  <dcterms:modified xsi:type="dcterms:W3CDTF">2021-07-28T00:31:28Z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