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92" w:lineRule="exact"/>
        <w:jc w:val="center"/>
        <w:rPr>
          <w:rFonts w:hint="eastAsia" w:ascii="方正大标宋简体" w:eastAsia="方正大标宋简体" w:cs="仿宋_GB2312"/>
          <w:bCs/>
          <w:color w:val="000000"/>
          <w:sz w:val="44"/>
          <w:szCs w:val="44"/>
        </w:rPr>
      </w:pPr>
    </w:p>
    <w:p>
      <w:pPr>
        <w:overflowPunct w:val="0"/>
        <w:autoSpaceDE w:val="0"/>
        <w:autoSpaceDN w:val="0"/>
        <w:spacing w:line="592" w:lineRule="exact"/>
        <w:jc w:val="center"/>
        <w:rPr>
          <w:rFonts w:hint="eastAsia" w:ascii="方正大标宋简体" w:eastAsia="方正大标宋简体" w:cs="仿宋_GB2312"/>
          <w:bCs/>
          <w:color w:val="000000"/>
          <w:sz w:val="44"/>
          <w:szCs w:val="44"/>
        </w:rPr>
      </w:pPr>
      <w:bookmarkStart w:id="0" w:name="_GoBack"/>
      <w:bookmarkEnd w:id="0"/>
    </w:p>
    <w:p>
      <w:pPr>
        <w:pStyle w:val="5"/>
        <w:rPr>
          <w:rFonts w:hint="eastAsia"/>
        </w:rPr>
      </w:pPr>
    </w:p>
    <w:p>
      <w:pPr>
        <w:keepNext w:val="0"/>
        <w:keepLines w:val="0"/>
        <w:pageBreakBefore w:val="0"/>
        <w:widowControl w:val="0"/>
        <w:kinsoku/>
        <w:wordWrap/>
        <w:overflowPunct/>
        <w:topLinePunct w:val="0"/>
        <w:bidi w:val="0"/>
        <w:snapToGrid/>
        <w:spacing w:line="720" w:lineRule="exact"/>
        <w:jc w:val="center"/>
        <w:textAlignment w:val="auto"/>
        <w:rPr>
          <w:rFonts w:hint="eastAsia" w:ascii="华文中宋" w:hAnsi="华文中宋" w:eastAsia="华文中宋" w:cs="华文中宋"/>
          <w:bCs/>
          <w:sz w:val="44"/>
          <w:szCs w:val="44"/>
          <w:lang w:val="en-US" w:eastAsia="zh-CN"/>
        </w:rPr>
      </w:pPr>
      <w:r>
        <w:rPr>
          <w:rFonts w:hint="eastAsia" w:ascii="华文中宋" w:hAnsi="华文中宋" w:eastAsia="华文中宋" w:cs="华文中宋"/>
          <w:bCs/>
          <w:sz w:val="44"/>
          <w:szCs w:val="44"/>
          <w:lang w:val="en-US" w:eastAsia="zh-CN"/>
        </w:rPr>
        <w:t>2020年度北洲子镇人民政府</w:t>
      </w:r>
    </w:p>
    <w:p>
      <w:pPr>
        <w:keepNext w:val="0"/>
        <w:keepLines w:val="0"/>
        <w:pageBreakBefore w:val="0"/>
        <w:widowControl w:val="0"/>
        <w:kinsoku/>
        <w:wordWrap/>
        <w:overflowPunct/>
        <w:topLinePunct w:val="0"/>
        <w:bidi w:val="0"/>
        <w:snapToGrid/>
        <w:spacing w:line="720" w:lineRule="exact"/>
        <w:jc w:val="center"/>
        <w:textAlignment w:val="auto"/>
        <w:rPr>
          <w:rFonts w:hint="eastAsia" w:ascii="华文中宋" w:hAnsi="华文中宋" w:eastAsia="华文中宋" w:cs="华文中宋"/>
          <w:bCs/>
          <w:sz w:val="44"/>
          <w:szCs w:val="44"/>
          <w:lang w:val="en-US" w:eastAsia="zh-CN"/>
        </w:rPr>
      </w:pPr>
      <w:r>
        <w:rPr>
          <w:rFonts w:hint="eastAsia" w:ascii="华文中宋" w:hAnsi="华文中宋" w:eastAsia="华文中宋" w:cs="华文中宋"/>
          <w:bCs/>
          <w:sz w:val="44"/>
          <w:szCs w:val="44"/>
          <w:lang w:val="en-US" w:eastAsia="zh-CN"/>
        </w:rPr>
        <w:t>部门整体支出绩效评价自评报告</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600" w:lineRule="exact"/>
        <w:ind w:right="59" w:rightChars="28" w:firstLine="600" w:firstLineChars="200"/>
        <w:jc w:val="both"/>
        <w:textAlignment w:val="auto"/>
        <w:outlineLvl w:val="9"/>
        <w:rPr>
          <w:rFonts w:hint="eastAsia" w:eastAsia="仿宋_GB2312" w:cs="仿宋_GB2312"/>
          <w:color w:val="000000"/>
          <w:sz w:val="30"/>
          <w:szCs w:val="30"/>
          <w:lang w:val="en-US" w:eastAsia="zh-CN"/>
        </w:rPr>
      </w:pP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湖南省关于全面实施预算绩效管理的实施意见》（湘办发〔2019〕10号）《中华人民共和国预算法》《财政支出绩效评价管理暂行办法》（财预〔2011〕285号）以及益阳市大通湖区发展改革和财政局关于认真做好2021年预算绩效自评工作的通知等有关文件精神，我镇财政部门认真组织了2020年度预算绩效自评工作，自评分为91分，自评结论为“优”。现将我镇部门整体支出绩效评价情况汇报如下：</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ascii="黑体" w:hAnsi="黑体" w:eastAsia="黑体" w:cs="仿宋_GB2312"/>
          <w:color w:val="000000"/>
          <w:sz w:val="32"/>
          <w:szCs w:val="32"/>
        </w:rPr>
      </w:pPr>
      <w:r>
        <w:rPr>
          <w:rFonts w:hint="eastAsia" w:ascii="黑体" w:hAnsi="黑体" w:eastAsia="黑体" w:cs="仿宋_GB2312"/>
          <w:bCs/>
          <w:color w:val="000000"/>
          <w:sz w:val="32"/>
          <w:szCs w:val="32"/>
        </w:rPr>
        <w:t>一、基本情况</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洲子镇位于湘北，东临洞庭湖，南抵金盆和沅江，西接河坝镇，北界华容注滋口镇、南县华阁镇,交通四通八达，北有金华公路，东西有河南公路，南北有十字沟中心公路,水路有向阳运河通达长江,原系湖南省十三大国营农场之一，2000年8月改场建镇，隶属益阳市大通湖区，镇域面积44.5平方公里，总人口1.6万人，耕地面积3.9万亩，现辖4个行政村、2个居委会，1所初级中学，1所医院，交通、邮电等服务功能齐全。2020年末实际人数为48人，编制数为54人。</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jc w:val="both"/>
        <w:textAlignment w:val="auto"/>
        <w:outlineLvl w:val="9"/>
        <w:rPr>
          <w:rFonts w:hint="eastAsia" w:ascii="华文楷体" w:hAnsi="华文楷体" w:eastAsia="华文楷体" w:cs="华文楷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（一）部门整体支出概况</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1、收入构成：2020年度我镇部门决算收支完成情况。全年收入合计为</w:t>
      </w:r>
      <w:r>
        <w:rPr>
          <w:rFonts w:hint="eastAsia" w:ascii="仿宋_GB2312" w:hAnsi="仿宋_GB2312" w:eastAsia="仿宋_GB2312" w:cs="仿宋_GB2312"/>
          <w:kern w:val="2"/>
          <w:sz w:val="32"/>
          <w:szCs w:val="32"/>
          <w:highlight w:val="none"/>
          <w:lang w:val="en-US" w:eastAsia="zh-CN" w:bidi="ar-SA"/>
        </w:rPr>
        <w:t>6667.97万元</w:t>
      </w:r>
      <w:r>
        <w:rPr>
          <w:rFonts w:hint="eastAsia" w:ascii="仿宋_GB2312" w:hAnsi="仿宋_GB2312" w:eastAsia="仿宋_GB2312" w:cs="仿宋_GB2312"/>
          <w:kern w:val="2"/>
          <w:sz w:val="32"/>
          <w:szCs w:val="32"/>
          <w:lang w:val="en-US" w:eastAsia="zh-CN" w:bidi="ar-SA"/>
        </w:rPr>
        <w:t>，其中财政拨款收入为6634.97万元，政府性基金预算财政拨款33万元。</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2、支出构成：全年支出合计为6667.97万元，其中项目支出1120.97万元（主指行政事业类项目支出），基本支出5547万元（其中人员经费支出5187.85万元、日常公用经费支出359.15万元）。</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基本支出是为保障单位正常运转、完成日常工作任务而发生的各项支出，包括人员经费和日常公用经费。项目支出是为完成特定工作任务发生的专项支出。</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3、年初预算完成率</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2020年度年初预算为2543.97万元，全年支出2543.97万元，其中一般公共服务支出928.91万元，公共安全支出12.32万元，科学技术支出80元，文化旅游与体育传媒支出106.36万元，社会保障和就业支出56.32万元，卫生健康支出34.87万元，节能环保支出15万元，城乡社区支出97万元，农林水支出1154.30万元，住房保障支出25.89万元，其他支出3万元，抗疫特别国债安排的支出30万元。年初预算完成率100%。</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2020年度一般公共预算财政拨款收入2510.97万元，政府性基金预算财政拨款收入33万元，一般公共服务支出2510.97万元，政府性基金财政拨款基本支出33万元，收支平衡。</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年终结转结余为0。</w:t>
      </w:r>
    </w:p>
    <w:p>
      <w:pPr>
        <w:keepNext w:val="0"/>
        <w:keepLines w:val="0"/>
        <w:pageBreakBefore w:val="0"/>
        <w:numPr>
          <w:ilvl w:val="0"/>
          <w:numId w:val="1"/>
        </w:numPr>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sz w:val="32"/>
          <w:szCs w:val="32"/>
        </w:rPr>
      </w:pPr>
      <w:r>
        <w:rPr>
          <w:rFonts w:hint="eastAsia" w:eastAsia="仿宋_GB2312" w:cs="仿宋_GB2312"/>
          <w:color w:val="000000"/>
          <w:sz w:val="32"/>
          <w:szCs w:val="32"/>
        </w:rPr>
        <w:t>部门整体支出绩效目标</w:t>
      </w:r>
    </w:p>
    <w:p>
      <w:pPr>
        <w:pStyle w:val="1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2020</w:t>
      </w:r>
      <w:r>
        <w:rPr>
          <w:rFonts w:hint="default" w:ascii="Times New Roman" w:hAnsi="Times New Roman" w:eastAsia="仿宋_GB2312" w:cs="Times New Roman"/>
          <w:color w:val="auto"/>
          <w:kern w:val="2"/>
          <w:sz w:val="32"/>
          <w:szCs w:val="32"/>
          <w:lang w:val="en-US" w:eastAsia="zh-CN" w:bidi="ar-SA"/>
        </w:rPr>
        <w:t>年是全面建成小康社会</w:t>
      </w:r>
      <w:r>
        <w:rPr>
          <w:rFonts w:hint="eastAsia" w:ascii="仿宋_GB2312" w:hAnsi="仿宋_GB2312" w:eastAsia="仿宋_GB2312" w:cs="仿宋_GB2312"/>
          <w:color w:val="auto"/>
          <w:sz w:val="32"/>
          <w:szCs w:val="32"/>
          <w:lang w:val="en-US" w:eastAsia="zh-CN"/>
        </w:rPr>
        <w:t>的“十三五”规划收</w:t>
      </w:r>
      <w:r>
        <w:rPr>
          <w:rFonts w:hint="eastAsia" w:eastAsia="仿宋_GB2312" w:cs="Times New Roman"/>
          <w:color w:val="auto"/>
          <w:kern w:val="2"/>
          <w:sz w:val="32"/>
          <w:szCs w:val="32"/>
          <w:lang w:val="en-US" w:eastAsia="zh-CN" w:bidi="ar-SA"/>
        </w:rPr>
        <w:t>官之年</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我镇将</w:t>
      </w:r>
      <w:r>
        <w:rPr>
          <w:rFonts w:hint="eastAsia" w:ascii="仿宋_GB2312" w:hAnsi="仿宋_GB2312" w:eastAsia="仿宋_GB2312" w:cs="仿宋_GB2312"/>
          <w:color w:val="auto"/>
          <w:sz w:val="32"/>
          <w:szCs w:val="32"/>
          <w:lang w:val="en-US" w:eastAsia="zh-CN"/>
        </w:rPr>
        <w:t>深入学习贯彻习近平新时代中国特色社会主义思想，在区委区管委的坚强领导下，认真把握机遇、沉着应对挑战，推动全镇党的建设和社会经济实现高质量发展。</w:t>
      </w:r>
    </w:p>
    <w:p>
      <w:pPr>
        <w:pStyle w:val="7"/>
        <w:keepNext w:val="0"/>
        <w:keepLines w:val="0"/>
        <w:pageBreakBefore w:val="0"/>
        <w:widowControl/>
        <w:suppressLineNumbers w:val="0"/>
        <w:kinsoku/>
        <w:wordWrap/>
        <w:topLinePunct w:val="0"/>
        <w:bidi w:val="0"/>
        <w:spacing w:line="560" w:lineRule="exact"/>
        <w:ind w:lef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（1）聚力从严治党，增添党建引领新活力。</w:t>
      </w:r>
      <w:r>
        <w:rPr>
          <w:rFonts w:hint="eastAsia" w:ascii="仿宋_GB2312" w:hAnsi="仿宋_GB2312" w:eastAsia="仿宋_GB2312" w:cs="仿宋_GB2312"/>
          <w:b/>
          <w:bCs/>
          <w:sz w:val="32"/>
          <w:szCs w:val="32"/>
          <w:lang w:val="en-US" w:eastAsia="zh-CN"/>
        </w:rPr>
        <w:t>强化政治引领。</w:t>
      </w:r>
      <w:r>
        <w:rPr>
          <w:rFonts w:hint="eastAsia" w:ascii="仿宋_GB2312" w:hAnsi="仿宋_GB2312" w:eastAsia="仿宋_GB2312" w:cs="仿宋_GB2312"/>
          <w:kern w:val="2"/>
          <w:sz w:val="32"/>
          <w:szCs w:val="32"/>
          <w:lang w:val="en-US" w:eastAsia="zh-CN" w:bidi="ar-SA"/>
        </w:rPr>
        <w:t>深化“不忘初心、牢记使命”主题教育成果，继续结合党委理论中心组学习、“四点半”课堂等，全面学习党的十九大四中全会精神、习近平新时代中国特色社会主义思想、习近平总书记系列重要讲话精神，确保党员干部思想上同党中央保持高度一致，行动上正确贯彻落实。充分利用红色教育基地、党员活动室等阵地，积极发挥学习强国APP、红星云等多媒体平台作用，广泛开展党员学习教育，引领广大党员群众增强“四个意识”，坚定“四个自信”，做到“两个维护”，提升政治素养。</w:t>
      </w:r>
      <w:r>
        <w:rPr>
          <w:rFonts w:hint="eastAsia" w:ascii="仿宋_GB2312" w:hAnsi="仿宋_GB2312" w:eastAsia="仿宋_GB2312" w:cs="仿宋_GB2312"/>
          <w:b/>
          <w:bCs/>
          <w:kern w:val="2"/>
          <w:sz w:val="32"/>
          <w:szCs w:val="32"/>
          <w:lang w:val="en-US" w:eastAsia="zh-CN" w:bidi="ar-SA"/>
        </w:rPr>
        <w:t>筑牢组织堡垒。</w:t>
      </w:r>
      <w:r>
        <w:rPr>
          <w:rFonts w:hint="eastAsia" w:ascii="仿宋_GB2312" w:hAnsi="仿宋_GB2312" w:eastAsia="仿宋_GB2312" w:cs="仿宋_GB2312"/>
          <w:b w:val="0"/>
          <w:bCs w:val="0"/>
          <w:color w:val="auto"/>
          <w:kern w:val="2"/>
          <w:sz w:val="32"/>
          <w:szCs w:val="32"/>
          <w:lang w:val="en-US" w:eastAsia="zh-CN" w:bidi="ar-SA"/>
        </w:rPr>
        <w:t>以党支部“五化”建设为重要抓手，全面加强基层党组织建设。</w:t>
      </w:r>
      <w:r>
        <w:rPr>
          <w:rFonts w:hint="eastAsia" w:ascii="仿宋_GB2312" w:hAnsi="仿宋_GB2312" w:eastAsia="仿宋_GB2312" w:cs="仿宋_GB2312"/>
          <w:kern w:val="2"/>
          <w:sz w:val="32"/>
          <w:szCs w:val="32"/>
          <w:lang w:val="en-US" w:eastAsia="zh-CN" w:bidi="ar-SA"/>
        </w:rPr>
        <w:t>进一步夯实</w:t>
      </w:r>
      <w:r>
        <w:rPr>
          <w:rFonts w:hint="default" w:ascii="仿宋_GB2312" w:hAnsi="仿宋_GB2312" w:eastAsia="仿宋_GB2312" w:cs="仿宋_GB2312"/>
          <w:kern w:val="2"/>
          <w:sz w:val="32"/>
          <w:szCs w:val="32"/>
          <w:lang w:val="en-US" w:eastAsia="zh-CN" w:bidi="ar-SA"/>
        </w:rPr>
        <w:t>“三会一课”</w:t>
      </w:r>
      <w:r>
        <w:rPr>
          <w:rFonts w:hint="eastAsia" w:eastAsia="仿宋_GB2312" w:cs="Times New Roman"/>
          <w:kern w:val="0"/>
          <w:sz w:val="32"/>
          <w:szCs w:val="32"/>
          <w:lang w:val="en-US" w:eastAsia="zh-CN" w:bidi="ar-SA"/>
        </w:rPr>
        <w:t>“三个公开”</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四位一体</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等基础工作</w:t>
      </w:r>
      <w:r>
        <w:rPr>
          <w:rFonts w:hint="eastAsia" w:ascii="仿宋_GB2312" w:hAnsi="仿宋_GB2312" w:eastAsia="仿宋_GB2312" w:cs="仿宋_GB2312"/>
          <w:kern w:val="2"/>
          <w:sz w:val="32"/>
          <w:szCs w:val="32"/>
          <w:lang w:val="en-US" w:eastAsia="zh-CN" w:bidi="ar-SA"/>
        </w:rPr>
        <w:t>，建强村级前哨支部，规范运行机关党支部，不断扩大先进支部增量、提升中间支部质量、消灭后进支部存量。</w:t>
      </w:r>
      <w:r>
        <w:rPr>
          <w:rFonts w:hint="eastAsia" w:ascii="仿宋_GB2312" w:hAnsi="仿宋_GB2312" w:eastAsia="仿宋_GB2312" w:cs="仿宋_GB2312"/>
          <w:color w:val="auto"/>
          <w:kern w:val="2"/>
          <w:sz w:val="32"/>
          <w:szCs w:val="32"/>
          <w:lang w:val="en-US" w:eastAsia="zh-CN" w:bidi="ar-SA"/>
        </w:rPr>
        <w:t>着力提升基层党组织组织力，做实党建引领“互助五兴”，推动基层党建与经济社会重点、中心工作同频共振，互促互进，为助力乡村振兴打造坚强战斗堡垒。</w:t>
      </w:r>
      <w:r>
        <w:rPr>
          <w:rFonts w:hint="eastAsia" w:ascii="仿宋_GB2312" w:hAnsi="仿宋_GB2312" w:eastAsia="仿宋_GB2312" w:cs="仿宋_GB2312"/>
          <w:b/>
          <w:bCs/>
          <w:kern w:val="2"/>
          <w:sz w:val="32"/>
          <w:szCs w:val="32"/>
          <w:highlight w:val="none"/>
          <w:lang w:val="en-US" w:eastAsia="zh-CN" w:bidi="ar-SA"/>
        </w:rPr>
        <w:t>锻造过硬队伍。</w:t>
      </w:r>
      <w:r>
        <w:rPr>
          <w:rFonts w:hint="eastAsia" w:ascii="仿宋_GB2312" w:hAnsi="仿宋_GB2312" w:eastAsia="仿宋_GB2312" w:cs="仿宋_GB2312"/>
          <w:kern w:val="2"/>
          <w:sz w:val="32"/>
          <w:szCs w:val="32"/>
          <w:highlight w:val="none"/>
          <w:lang w:val="en-US" w:eastAsia="zh-CN" w:bidi="ar-SA"/>
        </w:rPr>
        <w:t>严格落实“群众推优”入党机制，严把党员入口关。扎实开展主题党日、</w:t>
      </w:r>
      <w:r>
        <w:rPr>
          <w:rFonts w:hint="default" w:ascii="Times New Roman" w:hAnsi="Times New Roman" w:eastAsia="仿宋_GB2312" w:cs="Times New Roman"/>
          <w:sz w:val="32"/>
          <w:szCs w:val="32"/>
          <w:highlight w:val="none"/>
          <w:lang w:eastAsia="zh-CN"/>
        </w:rPr>
        <w:t>组织生活会、谈心谈话、民主评议党员</w:t>
      </w:r>
      <w:r>
        <w:rPr>
          <w:rFonts w:hint="eastAsia" w:eastAsia="仿宋_GB2312" w:cs="Times New Roman"/>
          <w:sz w:val="32"/>
          <w:szCs w:val="32"/>
          <w:highlight w:val="none"/>
          <w:lang w:eastAsia="zh-CN"/>
        </w:rPr>
        <w:t>等活动，落实党员量化积分管理，切实履行党员职责。</w:t>
      </w:r>
      <w:r>
        <w:rPr>
          <w:rFonts w:hint="eastAsia" w:ascii="仿宋_GB2312" w:hAnsi="仿宋_GB2312" w:eastAsia="仿宋_GB2312" w:cs="仿宋_GB2312"/>
          <w:kern w:val="2"/>
          <w:sz w:val="32"/>
          <w:szCs w:val="32"/>
          <w:highlight w:val="none"/>
          <w:lang w:val="en-US" w:eastAsia="zh-CN" w:bidi="ar-SA"/>
        </w:rPr>
        <w:t>围绕建设“忠诚干净担当”干部队伍的目标任务，健全完善镇、村干部选拔任用、教育培训、考核奖惩和监督约束等机制，加强干部日常管理。</w:t>
      </w:r>
      <w:r>
        <w:rPr>
          <w:rFonts w:hint="eastAsia" w:ascii="仿宋_GB2312" w:hAnsi="仿宋_GB2312" w:eastAsia="仿宋_GB2312" w:cs="仿宋_GB2312"/>
          <w:kern w:val="2"/>
          <w:sz w:val="32"/>
          <w:szCs w:val="32"/>
          <w:lang w:val="en-US" w:eastAsia="zh-CN" w:bidi="ar-SA"/>
        </w:rPr>
        <w:t>深入实施“马上就办”“民之所需、行之所至”，打造“党建+志愿服务”品牌，促进干部真正做到有为有位、善做善成。多渠道吸引大学生、乡贤能人回村任职创业，切实增强后备人才储备。</w:t>
      </w:r>
      <w:r>
        <w:rPr>
          <w:rFonts w:hint="eastAsia" w:ascii="仿宋_GB2312" w:hAnsi="仿宋_GB2312" w:eastAsia="仿宋_GB2312" w:cs="仿宋_GB2312"/>
          <w:b/>
          <w:bCs/>
          <w:kern w:val="2"/>
          <w:sz w:val="32"/>
          <w:szCs w:val="32"/>
          <w:lang w:val="en-US" w:eastAsia="zh-CN" w:bidi="ar-SA"/>
        </w:rPr>
        <w:t>持续正风肃纪</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kern w:val="2"/>
          <w:sz w:val="32"/>
          <w:szCs w:val="32"/>
          <w:lang w:val="en-US" w:eastAsia="zh-CN" w:bidi="ar-SA"/>
        </w:rPr>
        <w:t>严肃党的“六大纪律”，</w:t>
      </w:r>
      <w:r>
        <w:rPr>
          <w:rFonts w:hint="eastAsia" w:eastAsia="仿宋_GB2312"/>
          <w:sz w:val="32"/>
          <w:szCs w:val="32"/>
          <w:shd w:val="solid" w:color="FFFFFF" w:fill="FFFFFF"/>
          <w:lang w:val="en-US" w:eastAsia="zh-CN"/>
        </w:rPr>
        <w:t>持续开展形式主义官僚主义整治</w:t>
      </w:r>
      <w:r>
        <w:rPr>
          <w:rFonts w:hint="eastAsia" w:ascii="仿宋_GB2312" w:hAnsi="仿宋_GB2312" w:eastAsia="仿宋_GB2312" w:cs="仿宋_GB2312"/>
          <w:kern w:val="2"/>
          <w:sz w:val="32"/>
          <w:szCs w:val="32"/>
          <w:lang w:val="en-US" w:eastAsia="zh-CN" w:bidi="ar-SA"/>
        </w:rPr>
        <w:t>，坚决纠正有令不行、有禁不止行为，确保政令畅通。坚持教育在先、警示在前，经常性开展党风廉政建设教育活动，及时发现、提醒和纠正苗头性问题。严格执行廉洁自律各项规定，强化监督执纪问责，用好监督执纪“四种形态”，盯紧安全生产、精准扶贫、项目建设等重要领域，严肃查处侵害群众利益的不正之风和腐败问题。坚持以上率下，严格履行“一岗双责”，落实“三重一大”、个人重大事项报告、述职述廉等。</w:t>
      </w:r>
      <w:r>
        <w:rPr>
          <w:rFonts w:hint="eastAsia" w:ascii="仿宋_GB2312" w:hAnsi="仿宋_GB2312" w:eastAsia="仿宋_GB2312" w:cs="仿宋_GB2312"/>
          <w:color w:val="auto"/>
          <w:kern w:val="2"/>
          <w:sz w:val="32"/>
          <w:szCs w:val="32"/>
          <w:lang w:val="en-US" w:eastAsia="zh-CN" w:bidi="ar-SA"/>
        </w:rPr>
        <w:t>强力有序推进乡镇机构改革，进一步理顺部门职能，</w:t>
      </w:r>
      <w:r>
        <w:rPr>
          <w:rFonts w:hint="eastAsia" w:ascii="仿宋_GB2312" w:hAnsi="仿宋_GB2312" w:eastAsia="仿宋_GB2312" w:cs="仿宋_GB2312"/>
          <w:kern w:val="2"/>
          <w:sz w:val="32"/>
          <w:szCs w:val="32"/>
          <w:lang w:val="en-US" w:eastAsia="zh-CN" w:bidi="ar-SA"/>
        </w:rPr>
        <w:t>全面整治“怕、慢、假、庸、散”作风乱象，推动干部作风建设常态化、制度化。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仿宋_GB2312"/>
          <w:kern w:val="0"/>
          <w:sz w:val="32"/>
          <w:szCs w:val="32"/>
        </w:rPr>
      </w:pPr>
      <w:r>
        <w:rPr>
          <w:rFonts w:hint="eastAsia" w:ascii="楷体_GB2312" w:hAnsi="楷体_GB2312" w:eastAsia="楷体_GB2312" w:cs="楷体_GB2312"/>
          <w:kern w:val="2"/>
          <w:sz w:val="32"/>
          <w:szCs w:val="32"/>
          <w:shd w:val="solid" w:color="FFFFFF" w:fill="FFFFFF"/>
          <w:lang w:val="en-US" w:eastAsia="zh-CN" w:bidi="ar-SA"/>
        </w:rPr>
        <w:t>（2）聚力产业兴旺，激活发展新动能。</w:t>
      </w:r>
      <w:r>
        <w:rPr>
          <w:rFonts w:hint="eastAsia" w:eastAsia="仿宋_GB2312" w:cs="Times New Roman"/>
          <w:b/>
          <w:bCs/>
          <w:kern w:val="2"/>
          <w:sz w:val="32"/>
          <w:szCs w:val="32"/>
          <w:shd w:val="solid" w:color="FFFFFF" w:fill="FFFFFF"/>
          <w:lang w:val="en-US" w:eastAsia="zh-CN" w:bidi="ar-SA"/>
        </w:rPr>
        <w:t>全面</w:t>
      </w:r>
      <w:r>
        <w:rPr>
          <w:rFonts w:hint="eastAsia" w:ascii="Times New Roman" w:hAnsi="Times New Roman" w:eastAsia="仿宋_GB2312" w:cs="Times New Roman"/>
          <w:b/>
          <w:bCs/>
          <w:kern w:val="2"/>
          <w:sz w:val="32"/>
          <w:szCs w:val="32"/>
          <w:shd w:val="solid" w:color="FFFFFF" w:fill="FFFFFF"/>
          <w:lang w:val="en-US" w:eastAsia="zh-CN" w:bidi="ar-SA"/>
        </w:rPr>
        <w:t>招商引资。</w:t>
      </w:r>
      <w:r>
        <w:rPr>
          <w:rFonts w:hint="default" w:ascii="Times New Roman" w:hAnsi="Times New Roman" w:eastAsia="仿宋_GB2312" w:cs="Times New Roman"/>
          <w:color w:val="auto"/>
          <w:sz w:val="32"/>
          <w:szCs w:val="32"/>
          <w:lang w:val="en-US" w:eastAsia="zh-CN"/>
        </w:rPr>
        <w:t>结合我镇资源优势和区域特色，积极盘活</w:t>
      </w:r>
      <w:r>
        <w:rPr>
          <w:rFonts w:hint="eastAsia" w:eastAsia="仿宋_GB2312" w:cs="Times New Roman"/>
          <w:color w:val="auto"/>
          <w:sz w:val="32"/>
          <w:szCs w:val="32"/>
          <w:lang w:val="en-US" w:eastAsia="zh-CN"/>
        </w:rPr>
        <w:t>富华棉麻、东洞庭</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停产企业</w:t>
      </w:r>
      <w:r>
        <w:rPr>
          <w:rFonts w:hint="eastAsia" w:cs="Times New Roman"/>
          <w:color w:val="auto"/>
          <w:sz w:val="32"/>
          <w:szCs w:val="32"/>
          <w:lang w:val="en-US" w:eastAsia="zh-CN"/>
        </w:rPr>
        <w:t>。</w:t>
      </w:r>
      <w:r>
        <w:rPr>
          <w:rFonts w:ascii="Times New Roman" w:hAnsi="Times New Roman" w:eastAsia="仿宋_GB2312"/>
          <w:color w:val="000000" w:themeColor="text1"/>
          <w:sz w:val="32"/>
          <w:szCs w:val="32"/>
          <w14:textFill>
            <w14:solidFill>
              <w14:schemeClr w14:val="tx1"/>
            </w14:solidFill>
          </w14:textFill>
        </w:rPr>
        <w:t>紧扣国家</w:t>
      </w:r>
      <w:r>
        <w:rPr>
          <w:rFonts w:hint="eastAsia" w:eastAsia="仿宋_GB2312"/>
          <w:color w:val="000000" w:themeColor="text1"/>
          <w:sz w:val="32"/>
          <w:szCs w:val="32"/>
          <w:lang w:eastAsia="zh-CN"/>
          <w14:textFill>
            <w14:solidFill>
              <w14:schemeClr w14:val="tx1"/>
            </w14:solidFill>
          </w14:textFill>
        </w:rPr>
        <w:t>乡村振兴战略</w:t>
      </w:r>
      <w:r>
        <w:rPr>
          <w:rFonts w:ascii="Times New Roman" w:hAnsi="Times New Roman" w:eastAsia="仿宋_GB2312"/>
          <w:color w:val="000000" w:themeColor="text1"/>
          <w:sz w:val="32"/>
          <w:szCs w:val="32"/>
          <w14:textFill>
            <w14:solidFill>
              <w14:schemeClr w14:val="tx1"/>
            </w14:solidFill>
          </w14:textFill>
        </w:rPr>
        <w:t>，精心策划包装项目</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bCs/>
          <w:sz w:val="32"/>
          <w:szCs w:val="32"/>
        </w:rPr>
        <w:t>着力招引</w:t>
      </w:r>
      <w:r>
        <w:rPr>
          <w:rFonts w:hint="eastAsia" w:eastAsia="仿宋_GB2312"/>
          <w:bCs/>
          <w:sz w:val="32"/>
          <w:szCs w:val="32"/>
          <w:lang w:val="en-US" w:eastAsia="zh-CN"/>
        </w:rPr>
        <w:t>1-2个</w:t>
      </w:r>
      <w:r>
        <w:rPr>
          <w:rFonts w:hint="eastAsia" w:ascii="Times New Roman" w:hAnsi="Times New Roman" w:eastAsia="仿宋_GB2312"/>
          <w:bCs/>
          <w:sz w:val="32"/>
          <w:szCs w:val="32"/>
        </w:rPr>
        <w:t>科技含量高</w:t>
      </w:r>
      <w:r>
        <w:rPr>
          <w:rFonts w:hint="eastAsia" w:eastAsia="仿宋_GB2312"/>
          <w:bCs/>
          <w:sz w:val="32"/>
          <w:szCs w:val="32"/>
          <w:lang w:eastAsia="zh-CN"/>
        </w:rPr>
        <w:t>、经济效益高、市场竞争力强、符合环保要求</w:t>
      </w:r>
      <w:r>
        <w:rPr>
          <w:rFonts w:hint="eastAsia" w:ascii="Times New Roman" w:hAnsi="Times New Roman" w:eastAsia="仿宋_GB2312"/>
          <w:bCs/>
          <w:sz w:val="32"/>
          <w:szCs w:val="32"/>
        </w:rPr>
        <w:t>的</w:t>
      </w:r>
      <w:r>
        <w:rPr>
          <w:rFonts w:hint="default" w:ascii="Times New Roman" w:hAnsi="Times New Roman" w:eastAsia="仿宋_GB2312" w:cs="Times New Roman"/>
          <w:kern w:val="0"/>
          <w:sz w:val="32"/>
          <w:szCs w:val="32"/>
          <w:lang w:val="en-US" w:eastAsia="zh-CN" w:bidi="ar-SA"/>
        </w:rPr>
        <w:t>重大项目</w:t>
      </w:r>
      <w:r>
        <w:rPr>
          <w:rFonts w:hint="eastAsia" w:ascii="Times New Roman" w:hAnsi="Times New Roman" w:eastAsia="仿宋_GB2312" w:cs="Times New Roman"/>
          <w:kern w:val="0"/>
          <w:sz w:val="32"/>
          <w:szCs w:val="32"/>
          <w:lang w:val="en-US" w:eastAsia="zh-CN" w:bidi="ar-SA"/>
        </w:rPr>
        <w:t>投产落地</w:t>
      </w:r>
      <w:r>
        <w:rPr>
          <w:rFonts w:hint="eastAsia" w:ascii="Times New Roman" w:hAnsi="Times New Roman" w:eastAsia="仿宋_GB2312"/>
          <w:bCs/>
          <w:sz w:val="32"/>
          <w:szCs w:val="32"/>
        </w:rPr>
        <w:t>。</w:t>
      </w:r>
      <w:r>
        <w:rPr>
          <w:rFonts w:hint="eastAsia" w:ascii="仿宋_GB2312" w:hAnsi="仿宋_GB2312" w:eastAsia="仿宋_GB2312" w:cs="仿宋_GB2312"/>
          <w:kern w:val="2"/>
          <w:sz w:val="32"/>
          <w:szCs w:val="32"/>
          <w:lang w:val="en-US" w:eastAsia="zh-CN" w:bidi="ar-SA"/>
        </w:rPr>
        <w:t>抓好项目跟踪服务，</w:t>
      </w:r>
      <w:r>
        <w:rPr>
          <w:rFonts w:hint="eastAsia" w:ascii="Times New Roman" w:hAnsi="Times New Roman" w:eastAsia="仿宋_GB2312" w:cs="Times New Roman"/>
          <w:kern w:val="2"/>
          <w:sz w:val="32"/>
          <w:szCs w:val="32"/>
          <w:shd w:val="solid" w:color="FFFFFF" w:fill="FFFFFF"/>
          <w:lang w:val="en-US" w:eastAsia="zh-CN" w:bidi="ar-SA"/>
        </w:rPr>
        <w:t>高效盘活镇域闲置资产和土地，切实增强镇域经济发展后劲。</w:t>
      </w:r>
      <w:r>
        <w:rPr>
          <w:rFonts w:hint="eastAsia" w:eastAsia="仿宋_GB2312" w:cs="Times New Roman"/>
          <w:b/>
          <w:bCs/>
          <w:kern w:val="2"/>
          <w:sz w:val="32"/>
          <w:szCs w:val="32"/>
          <w:shd w:val="solid" w:color="FFFFFF" w:fill="FFFFFF"/>
          <w:lang w:val="en-US" w:eastAsia="zh-CN" w:bidi="ar-SA"/>
        </w:rPr>
        <w:t>提质实体企业</w:t>
      </w:r>
      <w:r>
        <w:rPr>
          <w:rFonts w:hint="eastAsia" w:ascii="Times New Roman" w:hAnsi="Times New Roman" w:eastAsia="仿宋_GB2312" w:cs="Times New Roman"/>
          <w:b/>
          <w:bCs/>
          <w:kern w:val="2"/>
          <w:sz w:val="32"/>
          <w:szCs w:val="32"/>
          <w:shd w:val="solid" w:color="FFFFFF" w:fill="FFFFFF"/>
          <w:lang w:val="en-US" w:eastAsia="zh-CN" w:bidi="ar-SA"/>
        </w:rPr>
        <w:t>。</w:t>
      </w:r>
      <w:r>
        <w:rPr>
          <w:rFonts w:hint="eastAsia" w:ascii="Times New Roman" w:hAnsi="Times New Roman" w:eastAsia="仿宋_GB2312" w:cs="Times New Roman"/>
          <w:bCs/>
          <w:sz w:val="32"/>
          <w:szCs w:val="32"/>
          <w:lang w:val="en-US" w:eastAsia="zh-CN"/>
        </w:rPr>
        <w:t>不</w:t>
      </w:r>
      <w:r>
        <w:rPr>
          <w:rFonts w:hint="eastAsia" w:ascii="Times New Roman" w:hAnsi="Times New Roman" w:eastAsia="仿宋_GB2312" w:cs="Times New Roman"/>
          <w:kern w:val="2"/>
          <w:sz w:val="32"/>
          <w:szCs w:val="32"/>
          <w:shd w:val="solid" w:color="FFFFFF" w:fill="FFFFFF"/>
          <w:lang w:val="en-US" w:eastAsia="zh-CN" w:bidi="ar-SA"/>
        </w:rPr>
        <w:t>断优化发展环境，加强领导干部对口联系帮扶服务，</w:t>
      </w:r>
      <w:r>
        <w:rPr>
          <w:rFonts w:hint="default" w:ascii="Times New Roman" w:hAnsi="Times New Roman" w:eastAsia="仿宋_GB2312" w:cs="Times New Roman"/>
          <w:kern w:val="2"/>
          <w:sz w:val="32"/>
          <w:szCs w:val="32"/>
          <w:shd w:val="solid" w:color="FFFFFF" w:fill="FFFFFF"/>
          <w:lang w:val="en-US" w:eastAsia="zh-CN" w:bidi="ar-SA"/>
        </w:rPr>
        <w:t>引导金健粮食、昌盛建筑等规模企业</w:t>
      </w:r>
      <w:r>
        <w:rPr>
          <w:rFonts w:hint="eastAsia" w:ascii="Times New Roman" w:hAnsi="Times New Roman" w:eastAsia="仿宋_GB2312" w:cs="Times New Roman"/>
          <w:kern w:val="2"/>
          <w:sz w:val="32"/>
          <w:szCs w:val="32"/>
          <w:shd w:val="solid" w:color="FFFFFF" w:fill="FFFFFF"/>
          <w:lang w:val="en-US" w:eastAsia="zh-CN" w:bidi="ar-SA"/>
        </w:rPr>
        <w:t>提质增效，</w:t>
      </w:r>
      <w:r>
        <w:rPr>
          <w:rFonts w:hint="default" w:ascii="Times New Roman" w:hAnsi="Times New Roman" w:eastAsia="仿宋_GB2312" w:cs="Times New Roman"/>
          <w:kern w:val="2"/>
          <w:sz w:val="32"/>
          <w:szCs w:val="32"/>
          <w:shd w:val="solid" w:color="FFFFFF" w:fill="FFFFFF"/>
          <w:lang w:val="en-US" w:eastAsia="zh-CN" w:bidi="ar-SA"/>
        </w:rPr>
        <w:t>重点推进金健粮食大通湖大米建</w:t>
      </w:r>
      <w:r>
        <w:rPr>
          <w:rFonts w:hint="default" w:ascii="Times New Roman" w:hAnsi="Times New Roman" w:eastAsia="仿宋_GB2312" w:cs="Times New Roman"/>
          <w:color w:val="auto"/>
          <w:sz w:val="32"/>
          <w:szCs w:val="32"/>
          <w:lang w:val="en-US" w:eastAsia="zh-CN"/>
        </w:rPr>
        <w:t>设</w:t>
      </w:r>
      <w:r>
        <w:rPr>
          <w:rFonts w:hint="eastAsia" w:ascii="Times New Roman" w:hAnsi="Times New Roman" w:eastAsia="仿宋_GB2312" w:cs="Times New Roman"/>
          <w:bCs/>
          <w:sz w:val="32"/>
          <w:szCs w:val="32"/>
          <w:lang w:val="en-US" w:eastAsia="zh-CN"/>
        </w:rPr>
        <w:t>。</w:t>
      </w:r>
      <w:r>
        <w:rPr>
          <w:rFonts w:hint="eastAsia" w:eastAsia="仿宋_GB2312" w:cs="Times New Roman"/>
          <w:bCs/>
          <w:sz w:val="32"/>
          <w:szCs w:val="32"/>
          <w:lang w:val="en-US" w:eastAsia="zh-CN"/>
        </w:rPr>
        <w:t>鼓励企业发展电商经济，调整产业结构，有效提升经济效益。</w:t>
      </w:r>
      <w:r>
        <w:rPr>
          <w:rFonts w:hint="eastAsia" w:ascii="Times New Roman" w:hAnsi="Times New Roman" w:eastAsia="仿宋_GB2312" w:cs="Times New Roman"/>
          <w:b/>
          <w:bCs/>
          <w:kern w:val="0"/>
          <w:sz w:val="32"/>
          <w:szCs w:val="32"/>
          <w:lang w:val="en-US" w:eastAsia="zh-CN" w:bidi="ar-SA"/>
        </w:rPr>
        <w:t>优化现代农业</w:t>
      </w:r>
      <w:r>
        <w:rPr>
          <w:rFonts w:hint="eastAsia" w:eastAsia="仿宋_GB2312" w:cs="Times New Roman"/>
          <w:b/>
          <w:bCs/>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持续稳定粮食生产</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推动华源农业、湘粤生态农业</w:t>
      </w:r>
      <w:r>
        <w:rPr>
          <w:rFonts w:hint="eastAsia" w:eastAsia="仿宋_GB2312" w:cs="Times New Roman"/>
          <w:kern w:val="0"/>
          <w:sz w:val="32"/>
          <w:szCs w:val="32"/>
          <w:lang w:val="en-US" w:eastAsia="zh-CN" w:bidi="ar-SA"/>
        </w:rPr>
        <w:t>、强农合作社</w:t>
      </w:r>
      <w:r>
        <w:rPr>
          <w:rFonts w:hint="eastAsia" w:ascii="Times New Roman" w:hAnsi="Times New Roman" w:eastAsia="仿宋_GB2312" w:cs="Times New Roman"/>
          <w:kern w:val="0"/>
          <w:sz w:val="32"/>
          <w:szCs w:val="32"/>
          <w:lang w:val="en-US" w:eastAsia="zh-CN" w:bidi="ar-SA"/>
        </w:rPr>
        <w:t>等做优做强</w:t>
      </w:r>
      <w:r>
        <w:rPr>
          <w:rFonts w:hint="default" w:ascii="Times New Roman" w:hAnsi="Times New Roman" w:eastAsia="仿宋_GB2312" w:cs="Times New Roman"/>
          <w:kern w:val="0"/>
          <w:sz w:val="32"/>
          <w:szCs w:val="32"/>
          <w:lang w:val="en-US" w:eastAsia="zh-CN" w:bidi="ar-SA"/>
        </w:rPr>
        <w:t>小龙虾、大闸蟹、优质稻、小水果等特色农产品品牌</w:t>
      </w:r>
      <w:r>
        <w:rPr>
          <w:rFonts w:hint="eastAsia" w:ascii="Times New Roman" w:hAnsi="Times New Roman" w:eastAsia="仿宋_GB2312" w:cs="Times New Roman"/>
          <w:kern w:val="0"/>
          <w:sz w:val="32"/>
          <w:szCs w:val="32"/>
          <w:lang w:val="en-US" w:eastAsia="zh-CN" w:bidi="ar-SA"/>
        </w:rPr>
        <w:t>。</w:t>
      </w:r>
      <w:r>
        <w:rPr>
          <w:rFonts w:hint="eastAsia" w:eastAsia="仿宋_GB2312" w:cs="Times New Roman"/>
          <w:kern w:val="0"/>
          <w:sz w:val="32"/>
          <w:szCs w:val="32"/>
          <w:lang w:val="en-US" w:eastAsia="zh-CN" w:bidi="ar-SA"/>
        </w:rPr>
        <w:t>进一步做实向阳村内源式脱贫致富试点工作。</w:t>
      </w:r>
      <w:r>
        <w:rPr>
          <w:rFonts w:hint="default" w:ascii="Times New Roman" w:hAnsi="Times New Roman" w:eastAsia="仿宋_GB2312" w:cs="Times New Roman"/>
          <w:kern w:val="0"/>
          <w:sz w:val="32"/>
          <w:szCs w:val="32"/>
          <w:lang w:val="en-US" w:eastAsia="zh-CN" w:bidi="ar-SA"/>
        </w:rPr>
        <w:t>加强农民合作社、家庭农场等农业新型经营主体培育力度。强化农技推广、土地</w:t>
      </w:r>
      <w:r>
        <w:rPr>
          <w:rFonts w:hint="eastAsia" w:ascii="Times New Roman" w:hAnsi="Times New Roman" w:eastAsia="仿宋_GB2312" w:cs="Times New Roman"/>
          <w:kern w:val="0"/>
          <w:sz w:val="32"/>
          <w:szCs w:val="32"/>
          <w:lang w:val="en-US" w:eastAsia="zh-CN" w:bidi="ar-SA"/>
        </w:rPr>
        <w:t>集中连片流转</w:t>
      </w:r>
      <w:r>
        <w:rPr>
          <w:rFonts w:hint="default" w:ascii="Times New Roman" w:hAnsi="Times New Roman" w:eastAsia="仿宋_GB2312" w:cs="Times New Roman"/>
          <w:kern w:val="0"/>
          <w:sz w:val="32"/>
          <w:szCs w:val="32"/>
          <w:lang w:val="en-US" w:eastAsia="zh-CN" w:bidi="ar-SA"/>
        </w:rPr>
        <w:t>、涉农电子商务、农村物流等</w:t>
      </w:r>
      <w:r>
        <w:rPr>
          <w:rFonts w:hint="eastAsia" w:ascii="Times New Roman" w:hAnsi="Times New Roman" w:eastAsia="仿宋_GB2312" w:cs="Times New Roman"/>
          <w:kern w:val="0"/>
          <w:sz w:val="32"/>
          <w:szCs w:val="32"/>
          <w:lang w:val="en-US" w:eastAsia="zh-CN" w:bidi="ar-SA"/>
        </w:rPr>
        <w:t>，推进农村服务业发展。</w:t>
      </w:r>
      <w:r>
        <w:rPr>
          <w:rFonts w:hint="eastAsia" w:eastAsia="仿宋_GB2312" w:cs="Times New Roman"/>
          <w:b/>
          <w:bCs w:val="0"/>
          <w:sz w:val="32"/>
          <w:szCs w:val="32"/>
          <w:lang w:val="en-US" w:eastAsia="zh-CN"/>
        </w:rPr>
        <w:t>推动全域旅游</w:t>
      </w:r>
      <w:r>
        <w:rPr>
          <w:rFonts w:hint="eastAsia" w:ascii="Times New Roman" w:hAnsi="Times New Roman" w:eastAsia="仿宋_GB2312" w:cs="Times New Roman"/>
          <w:b/>
          <w:bCs w:val="0"/>
          <w:sz w:val="32"/>
          <w:szCs w:val="32"/>
          <w:lang w:val="en-US" w:eastAsia="zh-CN"/>
        </w:rPr>
        <w:t>。</w:t>
      </w:r>
      <w:r>
        <w:rPr>
          <w:rFonts w:hint="eastAsia" w:ascii="Times New Roman" w:hAnsi="Times New Roman" w:eastAsia="仿宋_GB2312" w:cs="Times New Roman"/>
          <w:kern w:val="0"/>
          <w:sz w:val="32"/>
          <w:szCs w:val="32"/>
          <w:lang w:val="en-US" w:eastAsia="zh-CN"/>
        </w:rPr>
        <w:t>依托</w:t>
      </w:r>
      <w:r>
        <w:rPr>
          <w:rFonts w:hint="eastAsia" w:eastAsia="仿宋_GB2312" w:cs="Times New Roman"/>
          <w:kern w:val="0"/>
          <w:sz w:val="32"/>
          <w:szCs w:val="32"/>
          <w:lang w:val="en-US" w:eastAsia="zh-CN"/>
        </w:rPr>
        <w:t>漉湖风光，借力农垦文化</w:t>
      </w:r>
      <w:r>
        <w:rPr>
          <w:rFonts w:hint="eastAsia" w:ascii="Times New Roman" w:hAnsi="Times New Roman" w:eastAsia="仿宋_GB2312" w:cs="Times New Roman"/>
          <w:kern w:val="0"/>
          <w:sz w:val="32"/>
          <w:szCs w:val="32"/>
          <w:lang w:val="en-US" w:eastAsia="zh-CN"/>
        </w:rPr>
        <w:t>，大力发展休闲旅游，</w:t>
      </w:r>
      <w:r>
        <w:rPr>
          <w:rFonts w:hint="eastAsia" w:eastAsia="仿宋_GB2312" w:cs="Times New Roman"/>
          <w:kern w:val="0"/>
          <w:sz w:val="32"/>
          <w:szCs w:val="32"/>
          <w:lang w:val="en-US" w:eastAsia="zh-CN"/>
        </w:rPr>
        <w:t>打造</w:t>
      </w:r>
      <w:r>
        <w:rPr>
          <w:rFonts w:hint="eastAsia" w:ascii="Times New Roman" w:hAnsi="Times New Roman" w:eastAsia="仿宋_GB2312"/>
          <w:kern w:val="0"/>
          <w:sz w:val="32"/>
          <w:szCs w:val="32"/>
          <w:lang w:val="en-US" w:eastAsia="zh-CN"/>
        </w:rPr>
        <w:t>集</w:t>
      </w:r>
      <w:r>
        <w:rPr>
          <w:rFonts w:hint="eastAsia" w:ascii="Times New Roman" w:hAnsi="Times New Roman" w:eastAsia="仿宋_GB2312"/>
          <w:kern w:val="0"/>
          <w:sz w:val="32"/>
          <w:szCs w:val="32"/>
          <w:lang w:eastAsia="zh-CN"/>
        </w:rPr>
        <w:t>采摘、垂钓、餐饮住宿、农家乐</w:t>
      </w:r>
      <w:r>
        <w:rPr>
          <w:rFonts w:hint="eastAsia" w:eastAsia="仿宋_GB2312"/>
          <w:kern w:val="0"/>
          <w:sz w:val="32"/>
          <w:szCs w:val="32"/>
          <w:lang w:eastAsia="zh-CN"/>
        </w:rPr>
        <w:t>及农耕体验</w:t>
      </w:r>
      <w:r>
        <w:rPr>
          <w:rFonts w:hint="eastAsia" w:ascii="Times New Roman" w:hAnsi="Times New Roman" w:eastAsia="仿宋_GB2312"/>
          <w:kern w:val="0"/>
          <w:sz w:val="32"/>
          <w:szCs w:val="32"/>
          <w:lang w:eastAsia="zh-CN"/>
        </w:rPr>
        <w:t>等为一体的</w:t>
      </w:r>
      <w:r>
        <w:rPr>
          <w:rFonts w:hint="eastAsia" w:eastAsia="仿宋_GB2312"/>
          <w:kern w:val="0"/>
          <w:sz w:val="32"/>
          <w:szCs w:val="32"/>
          <w:lang w:eastAsia="zh-CN"/>
        </w:rPr>
        <w:t>“一站式”乡村</w:t>
      </w:r>
      <w:r>
        <w:rPr>
          <w:rFonts w:hint="eastAsia" w:ascii="Times New Roman" w:hAnsi="Times New Roman" w:eastAsia="仿宋_GB2312"/>
          <w:kern w:val="0"/>
          <w:sz w:val="32"/>
          <w:szCs w:val="32"/>
          <w:lang w:eastAsia="zh-CN"/>
        </w:rPr>
        <w:t>旅游路线。</w:t>
      </w: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kern w:val="2"/>
          <w:sz w:val="32"/>
          <w:szCs w:val="32"/>
          <w:shd w:val="solid" w:color="FFFFFF" w:fill="FFFFFF"/>
          <w:lang w:val="en-US" w:eastAsia="zh-CN" w:bidi="ar-SA"/>
        </w:rPr>
        <w:t>（3）聚力城乡建设，打开乡村振兴新局面。</w:t>
      </w:r>
      <w:r>
        <w:rPr>
          <w:rFonts w:hint="eastAsia" w:ascii="仿宋_GB2312" w:hAnsi="仿宋_GB2312" w:eastAsia="仿宋_GB2312" w:cs="仿宋_GB2312"/>
          <w:b/>
          <w:bCs/>
          <w:kern w:val="2"/>
          <w:sz w:val="32"/>
          <w:szCs w:val="32"/>
          <w:shd w:val="solid" w:color="FFFFFF" w:fill="FFFFFF"/>
          <w:lang w:val="en-US" w:eastAsia="zh-CN" w:bidi="ar-SA"/>
        </w:rPr>
        <w:t>完善基础设施。</w:t>
      </w:r>
      <w:r>
        <w:rPr>
          <w:rFonts w:hint="eastAsia" w:ascii="Times New Roman" w:hAnsi="Times New Roman" w:eastAsia="仿宋_GB2312" w:cs="Times New Roman"/>
          <w:b w:val="0"/>
          <w:bCs w:val="0"/>
          <w:color w:val="000000"/>
          <w:kern w:val="2"/>
          <w:sz w:val="32"/>
          <w:szCs w:val="32"/>
          <w:lang w:val="en-US" w:eastAsia="zh-CN" w:bidi="ar-SA"/>
        </w:rPr>
        <w:t>扎实推进安全饮水、农网升级改造</w:t>
      </w:r>
      <w:r>
        <w:rPr>
          <w:rFonts w:hint="eastAsia" w:eastAsia="仿宋_GB2312" w:cs="Times New Roman"/>
          <w:b w:val="0"/>
          <w:bCs w:val="0"/>
          <w:color w:val="000000"/>
          <w:kern w:val="2"/>
          <w:sz w:val="32"/>
          <w:szCs w:val="32"/>
          <w:lang w:val="en-US" w:eastAsia="zh-CN" w:bidi="ar-SA"/>
        </w:rPr>
        <w:t>、农田水利</w:t>
      </w:r>
      <w:r>
        <w:rPr>
          <w:rFonts w:hint="eastAsia" w:ascii="Times New Roman" w:hAnsi="Times New Roman" w:eastAsia="仿宋_GB2312" w:cs="Times New Roman"/>
          <w:b w:val="0"/>
          <w:bCs w:val="0"/>
          <w:color w:val="000000"/>
          <w:kern w:val="2"/>
          <w:sz w:val="32"/>
          <w:szCs w:val="32"/>
          <w:lang w:val="en-US" w:eastAsia="zh-CN" w:bidi="ar-SA"/>
        </w:rPr>
        <w:t>等基础</w:t>
      </w:r>
      <w:r>
        <w:rPr>
          <w:rFonts w:hint="default" w:ascii="Times New Roman" w:hAnsi="Times New Roman" w:eastAsia="仿宋_GB2312" w:cs="Times New Roman"/>
          <w:b w:val="0"/>
          <w:bCs w:val="0"/>
          <w:color w:val="000000"/>
          <w:kern w:val="2"/>
          <w:sz w:val="32"/>
          <w:szCs w:val="32"/>
          <w:lang w:val="en-US" w:eastAsia="zh-CN" w:bidi="ar-SA"/>
        </w:rPr>
        <w:t>设施建设，完成高标准农田建设。积极争取新建农村公路、窄路加宽、干线道路升级改造等工程项目，跟进做好通用机场协调服务工作。</w:t>
      </w:r>
      <w:r>
        <w:rPr>
          <w:rFonts w:hint="eastAsia" w:eastAsia="仿宋_GB2312" w:cs="Times New Roman"/>
          <w:b/>
          <w:bCs/>
          <w:color w:val="000000"/>
          <w:kern w:val="2"/>
          <w:sz w:val="32"/>
          <w:szCs w:val="32"/>
          <w:lang w:val="en-US" w:eastAsia="zh-CN" w:bidi="ar-SA"/>
        </w:rPr>
        <w:t>升级</w:t>
      </w:r>
      <w:r>
        <w:rPr>
          <w:rFonts w:hint="default" w:ascii="Times New Roman" w:hAnsi="Times New Roman" w:eastAsia="仿宋_GB2312" w:cs="Times New Roman"/>
          <w:b/>
          <w:bCs w:val="0"/>
          <w:kern w:val="2"/>
          <w:sz w:val="32"/>
          <w:szCs w:val="32"/>
          <w:lang w:val="en-US" w:eastAsia="zh-CN" w:bidi="ar-SA"/>
        </w:rPr>
        <w:t>城镇品质。</w:t>
      </w:r>
      <w:r>
        <w:rPr>
          <w:rFonts w:hint="default" w:ascii="Times New Roman" w:hAnsi="Times New Roman" w:eastAsia="仿宋_GB2312" w:cs="Times New Roman"/>
          <w:b w:val="0"/>
          <w:bCs w:val="0"/>
          <w:color w:val="000000"/>
          <w:kern w:val="2"/>
          <w:sz w:val="32"/>
          <w:szCs w:val="32"/>
          <w:lang w:val="en-US" w:eastAsia="zh-CN" w:bidi="ar-SA"/>
        </w:rPr>
        <w:t>持续抓好城区规划建设，坚决整治违章建筑、乱停乱靠。争取小区外基础设施建设项目，完善背街小巷硬化、亮化、绿化工程。</w:t>
      </w:r>
      <w:r>
        <w:rPr>
          <w:rFonts w:hint="eastAsia" w:ascii="Times New Roman" w:hAnsi="Times New Roman" w:eastAsia="仿宋_GB2312" w:cs="Times New Roman"/>
          <w:b/>
          <w:bCs/>
          <w:color w:val="000000"/>
          <w:kern w:val="2"/>
          <w:sz w:val="32"/>
          <w:szCs w:val="32"/>
          <w:lang w:val="en-US" w:eastAsia="zh-CN" w:bidi="ar-SA"/>
        </w:rPr>
        <w:t>抓好污染防治</w:t>
      </w:r>
      <w:r>
        <w:rPr>
          <w:rFonts w:hint="default" w:ascii="Times New Roman" w:hAnsi="Times New Roman" w:eastAsia="仿宋_GB2312" w:cs="Times New Roman"/>
          <w:b/>
          <w:bCs/>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持续打好“碧水、蓝天、净土”保卫战</w:t>
      </w:r>
      <w:r>
        <w:rPr>
          <w:rFonts w:hint="eastAsia"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落实“禁、退、清、建、改、治”六字方针</w:t>
      </w:r>
      <w:r>
        <w:rPr>
          <w:rFonts w:hint="default"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切实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强大湖</w:t>
      </w:r>
      <w:r>
        <w:rPr>
          <w:rFonts w:hint="default" w:ascii="Times New Roman" w:hAnsi="Times New Roman" w:eastAsia="仿宋_GB2312" w:cs="Times New Roman"/>
          <w:color w:val="000000" w:themeColor="text1"/>
          <w:sz w:val="32"/>
          <w:szCs w:val="32"/>
          <w14:textFill>
            <w14:solidFill>
              <w14:schemeClr w14:val="tx1"/>
            </w14:solidFill>
          </w14:textFill>
        </w:rPr>
        <w:t>水环境综合治理</w:t>
      </w:r>
      <w:r>
        <w:rPr>
          <w:rFonts w:hint="default"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sz w:val="32"/>
          <w:szCs w:val="32"/>
          <w:lang w:val="en-US" w:eastAsia="zh-CN"/>
        </w:rPr>
        <w:t>持续抓好污水管网、厕所革命、禁磷及“散、污、乱”企业整治行动</w:t>
      </w:r>
      <w:r>
        <w:rPr>
          <w:rFonts w:hint="default" w:ascii="Times New Roman" w:hAnsi="Times New Roman" w:eastAsia="仿宋_GB2312" w:cs="Times New Roman"/>
          <w:color w:val="auto"/>
          <w:sz w:val="32"/>
          <w:szCs w:val="32"/>
          <w:lang w:val="en-US" w:eastAsia="zh-CN"/>
        </w:rPr>
        <w:t>。完成农业面源治理项目，强化秸秆和垃圾焚烧管控</w:t>
      </w:r>
      <w:r>
        <w:rPr>
          <w:rFonts w:hint="eastAsia" w:eastAsia="仿宋_GB2312" w:cs="Times New Roman"/>
          <w:color w:val="auto"/>
          <w:sz w:val="32"/>
          <w:szCs w:val="32"/>
          <w:lang w:val="en-US" w:eastAsia="zh-CN"/>
        </w:rPr>
        <w:t>。突出抓好污水处理厂、众仁旺等中央环保突出问题整改，</w:t>
      </w:r>
      <w:r>
        <w:rPr>
          <w:rFonts w:hint="default" w:ascii="Times New Roman" w:hAnsi="Times New Roman" w:eastAsia="仿宋_GB2312" w:cs="Times New Roman"/>
          <w:color w:val="auto"/>
          <w:sz w:val="32"/>
          <w:szCs w:val="32"/>
          <w:lang w:val="en-US" w:eastAsia="zh-CN"/>
        </w:rPr>
        <w:t>确保生态环</w:t>
      </w:r>
      <w:r>
        <w:rPr>
          <w:rFonts w:hint="eastAsia" w:ascii="仿宋_GB2312" w:hAnsi="仿宋_GB2312" w:eastAsia="仿宋_GB2312" w:cs="仿宋_GB2312"/>
          <w:color w:val="auto"/>
          <w:sz w:val="32"/>
          <w:szCs w:val="32"/>
          <w:lang w:val="en-US" w:eastAsia="zh-CN"/>
        </w:rPr>
        <w:t>境</w:t>
      </w:r>
      <w:r>
        <w:rPr>
          <w:rFonts w:hint="eastAsia" w:ascii="仿宋_GB2312" w:hAnsi="仿宋_GB2312" w:eastAsia="仿宋_GB2312" w:cs="仿宋_GB2312"/>
          <w:b w:val="0"/>
          <w:bCs w:val="0"/>
          <w:color w:val="000000"/>
          <w:sz w:val="32"/>
          <w:szCs w:val="32"/>
          <w:lang w:eastAsia="zh-CN"/>
        </w:rPr>
        <w:t>质量不断优化</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b/>
          <w:bCs/>
          <w:kern w:val="0"/>
          <w:sz w:val="32"/>
          <w:szCs w:val="32"/>
          <w:lang w:val="en-US" w:eastAsia="zh-CN" w:bidi="ar-SA"/>
        </w:rPr>
        <w:t>抓好创建共享。</w:t>
      </w:r>
      <w:r>
        <w:rPr>
          <w:rFonts w:hint="eastAsia" w:ascii="仿宋_GB2312" w:hAnsi="仿宋_GB2312" w:eastAsia="仿宋_GB2312" w:cs="仿宋_GB2312"/>
          <w:color w:val="auto"/>
          <w:kern w:val="0"/>
          <w:sz w:val="32"/>
          <w:szCs w:val="32"/>
          <w:lang w:val="en-US" w:eastAsia="zh-CN" w:bidi="ar-SA"/>
        </w:rPr>
        <w:t>加快特色乡镇规划建设步伐</w:t>
      </w:r>
      <w:r>
        <w:rPr>
          <w:rFonts w:hint="eastAsia" w:ascii="仿宋_GB2312" w:hAnsi="仿宋_GB2312" w:eastAsia="仿宋_GB2312" w:cs="仿宋_GB2312"/>
          <w:b w:val="0"/>
          <w:bCs w:val="0"/>
          <w:color w:val="000000"/>
          <w:sz w:val="32"/>
          <w:szCs w:val="32"/>
          <w:lang w:val="en-US" w:eastAsia="zh-CN"/>
        </w:rPr>
        <w:t>，强化规划引领</w:t>
      </w:r>
      <w:r>
        <w:rPr>
          <w:rFonts w:hint="eastAsia" w:ascii="仿宋_GB2312" w:hAnsi="仿宋_GB2312" w:eastAsia="仿宋_GB2312" w:cs="仿宋_GB2312"/>
          <w:b w:val="0"/>
          <w:bCs w:val="0"/>
          <w:color w:val="000000"/>
          <w:sz w:val="32"/>
          <w:szCs w:val="32"/>
          <w:lang w:eastAsia="zh-CN"/>
        </w:rPr>
        <w:t>。</w:t>
      </w:r>
      <w:r>
        <w:rPr>
          <w:rFonts w:hint="default" w:ascii="Times New Roman" w:hAnsi="Times New Roman" w:eastAsia="仿宋_GB2312" w:cs="Times New Roman"/>
          <w:color w:val="auto"/>
          <w:kern w:val="2"/>
          <w:sz w:val="32"/>
          <w:szCs w:val="32"/>
          <w:lang w:val="en-US" w:eastAsia="zh-CN" w:bidi="ar-SA"/>
        </w:rPr>
        <w:t>持续推进农村人居环境整治，坚持落实“门前五包”和网格化管理。</w:t>
      </w:r>
      <w:r>
        <w:rPr>
          <w:rFonts w:hint="eastAsia" w:ascii="仿宋_GB2312" w:hAnsi="仿宋_GB2312" w:eastAsia="仿宋_GB2312" w:cs="仿宋_GB2312"/>
          <w:color w:val="auto"/>
          <w:kern w:val="0"/>
          <w:sz w:val="32"/>
          <w:szCs w:val="32"/>
          <w:lang w:val="en-US" w:eastAsia="zh-CN" w:bidi="ar-SA"/>
        </w:rPr>
        <w:t>积极推进向阳村省级美丽乡村建设，全面提升新农村建设水平。</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4</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聚力民生事业，实现</w:t>
      </w:r>
      <w:r>
        <w:rPr>
          <w:rFonts w:hint="eastAsia" w:ascii="楷体_GB2312" w:hAnsi="楷体_GB2312" w:eastAsia="楷体_GB2312" w:cs="楷体_GB2312"/>
          <w:bCs/>
          <w:sz w:val="32"/>
          <w:szCs w:val="32"/>
          <w:lang w:val="en-US" w:eastAsia="zh-CN"/>
        </w:rPr>
        <w:t>美好生活新期盼</w:t>
      </w:r>
      <w:r>
        <w:rPr>
          <w:rFonts w:hint="default" w:ascii="Times New Roman" w:hAnsi="Times New Roman" w:eastAsia="楷体_GB2312" w:cs="Times New Roman"/>
          <w:bCs/>
          <w:sz w:val="32"/>
          <w:szCs w:val="32"/>
        </w:rPr>
        <w:t>。</w:t>
      </w:r>
      <w:r>
        <w:rPr>
          <w:rFonts w:hint="eastAsia" w:ascii="仿宋_GB2312" w:hAnsi="仿宋_GB2312" w:eastAsia="仿宋_GB2312" w:cs="仿宋_GB2312"/>
          <w:b/>
          <w:bCs w:val="0"/>
          <w:sz w:val="32"/>
          <w:szCs w:val="32"/>
          <w:lang w:eastAsia="zh-CN"/>
        </w:rPr>
        <w:t>打好脱贫攻坚战。</w:t>
      </w:r>
      <w:r>
        <w:rPr>
          <w:rFonts w:hint="eastAsia" w:ascii="Times New Roman" w:hAnsi="Times New Roman" w:eastAsia="仿宋_GB2312" w:cs="Times New Roman"/>
          <w:kern w:val="2"/>
          <w:sz w:val="32"/>
          <w:szCs w:val="32"/>
          <w:lang w:val="en-US" w:eastAsia="zh-CN" w:bidi="ar-SA"/>
        </w:rPr>
        <w:t>始终聚焦精准，一户一策，开展滴灌式扶贫，落实“六个一批”“六大建设”，加大产业扶贫力度，加强扶贫资金监督和管理，推行“党建+扶贫+纪检监督”，压实帮扶责任，</w:t>
      </w:r>
      <w:r>
        <w:rPr>
          <w:rFonts w:hint="default" w:ascii="Times New Roman" w:hAnsi="Times New Roman" w:eastAsia="仿宋_GB2312" w:cs="Times New Roman"/>
          <w:kern w:val="2"/>
          <w:sz w:val="32"/>
          <w:szCs w:val="32"/>
          <w:lang w:val="en-US" w:eastAsia="zh-CN" w:bidi="ar-SA"/>
        </w:rPr>
        <w:t>实</w:t>
      </w:r>
      <w:r>
        <w:rPr>
          <w:rFonts w:hint="default" w:ascii="Times New Roman" w:hAnsi="Times New Roman" w:eastAsia="仿宋_GB2312" w:cs="Times New Roman"/>
          <w:color w:val="auto"/>
          <w:sz w:val="32"/>
          <w:szCs w:val="32"/>
          <w:lang w:val="en-US" w:eastAsia="zh-CN"/>
        </w:rPr>
        <w:t>现2020年现行标准下农村贫困人口全部脱贫，</w:t>
      </w:r>
      <w:r>
        <w:rPr>
          <w:rFonts w:hint="default" w:ascii="Times New Roman" w:hAnsi="Times New Roman" w:eastAsia="仿宋_GB2312" w:cs="Times New Roman"/>
          <w:color w:val="auto"/>
          <w:kern w:val="1"/>
          <w:sz w:val="32"/>
          <w:szCs w:val="32"/>
          <w:lang w:val="en-US" w:eastAsia="zh-CN"/>
        </w:rPr>
        <w:t>最大限度</w:t>
      </w:r>
      <w:r>
        <w:rPr>
          <w:rFonts w:hint="default" w:ascii="Times New Roman" w:hAnsi="Times New Roman" w:eastAsia="仿宋_GB2312" w:cs="Times New Roman"/>
          <w:color w:val="auto"/>
          <w:kern w:val="1"/>
          <w:sz w:val="32"/>
          <w:szCs w:val="32"/>
          <w:lang w:eastAsia="zh-CN"/>
        </w:rPr>
        <w:t>防止出现回流返贫</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b/>
          <w:bCs w:val="0"/>
          <w:sz w:val="32"/>
          <w:szCs w:val="32"/>
          <w:lang w:val="en-US" w:eastAsia="zh-CN"/>
        </w:rPr>
        <w:t>完善民生服务供给。</w:t>
      </w:r>
      <w:r>
        <w:rPr>
          <w:rFonts w:hint="default" w:ascii="Times New Roman" w:hAnsi="Times New Roman" w:eastAsia="仿宋_GB2312" w:cs="Times New Roman"/>
          <w:color w:val="auto"/>
          <w:sz w:val="32"/>
          <w:szCs w:val="32"/>
          <w:lang w:val="en-US" w:eastAsia="zh-CN"/>
        </w:rPr>
        <w:t>加快发展教育卫生事业，</w:t>
      </w:r>
      <w:r>
        <w:rPr>
          <w:rFonts w:hint="eastAsia" w:eastAsia="仿宋_GB2312" w:cs="Times New Roman"/>
          <w:color w:val="auto"/>
          <w:sz w:val="32"/>
          <w:szCs w:val="32"/>
          <w:lang w:val="en-US" w:eastAsia="zh-CN"/>
        </w:rPr>
        <w:t>积极争取中学食堂改造项目，</w:t>
      </w:r>
      <w:r>
        <w:rPr>
          <w:rFonts w:hint="default" w:ascii="Times New Roman" w:hAnsi="Times New Roman" w:eastAsia="仿宋_GB2312" w:cs="Times New Roman"/>
          <w:color w:val="auto"/>
          <w:sz w:val="32"/>
          <w:szCs w:val="32"/>
          <w:lang w:val="en-US" w:eastAsia="zh-CN"/>
        </w:rPr>
        <w:t>进一步改善教育环境</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kern w:val="0"/>
          <w:sz w:val="32"/>
          <w:szCs w:val="32"/>
          <w:lang w:eastAsia="zh-CN"/>
        </w:rPr>
        <w:t>积极开展</w:t>
      </w:r>
      <w:r>
        <w:rPr>
          <w:rFonts w:hint="eastAsia" w:ascii="Times New Roman" w:hAnsi="Times New Roman" w:eastAsia="仿宋_GB2312" w:cs="Times New Roman"/>
          <w:kern w:val="0"/>
          <w:sz w:val="32"/>
          <w:szCs w:val="32"/>
          <w:lang w:val="en-US" w:eastAsia="zh-CN"/>
        </w:rPr>
        <w:t>孕产妇优检产筛、贫困群众和老年人健康体检</w:t>
      </w:r>
      <w:r>
        <w:rPr>
          <w:rFonts w:hint="eastAsia" w:eastAsia="仿宋_GB2312" w:cs="Times New Roman"/>
          <w:kern w:val="0"/>
          <w:sz w:val="32"/>
          <w:szCs w:val="32"/>
          <w:lang w:val="en-US" w:eastAsia="zh-CN"/>
        </w:rPr>
        <w:t>、</w:t>
      </w:r>
      <w:r>
        <w:rPr>
          <w:rFonts w:hint="default" w:ascii="Times New Roman" w:hAnsi="Times New Roman" w:eastAsia="仿宋_GB2312" w:cs="Times New Roman"/>
          <w:sz w:val="32"/>
          <w:szCs w:val="32"/>
          <w:lang w:eastAsia="zh-CN"/>
        </w:rPr>
        <w:t>适龄妇女“两癌”免费检查</w:t>
      </w:r>
      <w:r>
        <w:rPr>
          <w:rFonts w:hint="eastAsia" w:ascii="Times New Roman" w:hAnsi="Times New Roman" w:eastAsia="仿宋_GB2312" w:cs="Times New Roman"/>
          <w:kern w:val="0"/>
          <w:sz w:val="32"/>
          <w:szCs w:val="32"/>
          <w:lang w:val="en-US" w:eastAsia="zh-CN"/>
        </w:rPr>
        <w:t>等工</w:t>
      </w:r>
      <w:r>
        <w:rPr>
          <w:rFonts w:hint="eastAsia" w:eastAsia="仿宋_GB2312" w:cs="Times New Roman"/>
          <w:kern w:val="0"/>
          <w:sz w:val="32"/>
          <w:szCs w:val="32"/>
          <w:lang w:val="en-US" w:eastAsia="zh-CN"/>
        </w:rPr>
        <w:t>作，</w:t>
      </w:r>
      <w:r>
        <w:rPr>
          <w:rFonts w:hint="eastAsia" w:ascii="Times New Roman" w:hAnsi="Times New Roman" w:eastAsia="仿宋_GB2312" w:cs="Times New Roman"/>
          <w:kern w:val="0"/>
          <w:sz w:val="32"/>
          <w:szCs w:val="32"/>
          <w:lang w:val="en-US" w:eastAsia="zh-CN"/>
        </w:rPr>
        <w:t>提升全民健康素养和医疗服务水平。</w:t>
      </w:r>
      <w:r>
        <w:rPr>
          <w:rFonts w:hint="default" w:ascii="Times New Roman" w:hAnsi="Times New Roman" w:eastAsia="仿宋_GB2312" w:cs="Times New Roman"/>
          <w:color w:val="auto"/>
          <w:sz w:val="32"/>
          <w:szCs w:val="32"/>
          <w:lang w:val="en-US" w:eastAsia="zh-CN"/>
        </w:rPr>
        <w:t>继续</w:t>
      </w:r>
      <w:r>
        <w:rPr>
          <w:rFonts w:hint="eastAsia" w:eastAsia="仿宋_GB2312" w:cs="Times New Roman"/>
          <w:color w:val="auto"/>
          <w:sz w:val="32"/>
          <w:szCs w:val="32"/>
          <w:lang w:val="en-US" w:eastAsia="zh-CN"/>
        </w:rPr>
        <w:t>抓好</w:t>
      </w:r>
      <w:r>
        <w:rPr>
          <w:rFonts w:hint="eastAsia" w:ascii="Times New Roman" w:hAnsi="Times New Roman" w:eastAsia="仿宋_GB2312" w:cs="Times New Roman"/>
          <w:sz w:val="32"/>
          <w:szCs w:val="32"/>
          <w:lang w:val="en-US" w:eastAsia="zh-CN"/>
        </w:rPr>
        <w:t>保障性住房</w:t>
      </w:r>
      <w:r>
        <w:rPr>
          <w:rFonts w:hint="default" w:ascii="Times New Roman" w:hAnsi="Times New Roman" w:eastAsia="仿宋_GB2312" w:cs="Times New Roman"/>
          <w:sz w:val="32"/>
          <w:szCs w:val="32"/>
          <w:lang w:val="en-US" w:eastAsia="zh-CN"/>
        </w:rPr>
        <w:t>、公益性公墓建设</w:t>
      </w:r>
      <w:r>
        <w:rPr>
          <w:rFonts w:hint="default" w:ascii="Times New Roman" w:hAnsi="Times New Roman" w:eastAsia="仿宋_GB2312" w:cs="Times New Roman"/>
          <w:color w:val="auto"/>
          <w:sz w:val="32"/>
          <w:szCs w:val="32"/>
          <w:lang w:val="en-US" w:eastAsia="zh-CN"/>
        </w:rPr>
        <w:t>。</w:t>
      </w:r>
      <w:r>
        <w:rPr>
          <w:rFonts w:hint="eastAsia" w:ascii="仿宋_GB2312" w:hAnsi="华文仿宋" w:eastAsia="仿宋_GB2312"/>
          <w:color w:val="auto"/>
          <w:sz w:val="32"/>
          <w:szCs w:val="32"/>
        </w:rPr>
        <w:t>统筹抓好人口与计划生育、妇女儿童、老龄</w:t>
      </w:r>
      <w:r>
        <w:rPr>
          <w:rFonts w:hint="eastAsia" w:ascii="仿宋_GB2312" w:hAnsi="华文仿宋" w:eastAsia="仿宋_GB2312"/>
          <w:color w:val="auto"/>
          <w:sz w:val="32"/>
          <w:szCs w:val="32"/>
          <w:lang w:eastAsia="zh-CN"/>
        </w:rPr>
        <w:t>、工会、共青团、妇联等工作开展</w:t>
      </w:r>
      <w:r>
        <w:rPr>
          <w:rFonts w:hint="eastAsia" w:ascii="仿宋_GB2312" w:hAnsi="华文仿宋" w:eastAsia="仿宋_GB2312"/>
          <w:color w:val="auto"/>
          <w:sz w:val="32"/>
          <w:szCs w:val="32"/>
        </w:rPr>
        <w:t>。</w:t>
      </w:r>
      <w:r>
        <w:rPr>
          <w:rFonts w:hint="eastAsia" w:ascii="Times New Roman" w:hAnsi="Times New Roman" w:eastAsia="仿宋_GB2312" w:cs="Times New Roman"/>
          <w:b/>
          <w:bCs/>
          <w:sz w:val="32"/>
          <w:szCs w:val="32"/>
          <w:lang w:val="en-US" w:eastAsia="zh-CN"/>
        </w:rPr>
        <w:t>优化社会保障制度。</w:t>
      </w:r>
      <w:r>
        <w:rPr>
          <w:rFonts w:hint="default" w:ascii="Times New Roman" w:hAnsi="Times New Roman" w:eastAsia="仿宋_GB2312" w:cs="Times New Roman"/>
          <w:sz w:val="32"/>
          <w:szCs w:val="32"/>
          <w:lang w:eastAsia="zh-CN"/>
        </w:rPr>
        <w:t>按照“最多跑一次”改革要求，规范提升村级便民服务中心</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lang w:val="en-US" w:eastAsia="zh-CN"/>
        </w:rPr>
        <w:t>落实基本医疗保险、</w:t>
      </w:r>
      <w:r>
        <w:rPr>
          <w:rFonts w:hint="eastAsia" w:eastAsia="仿宋_GB2312" w:cs="Times New Roman"/>
          <w:sz w:val="32"/>
          <w:szCs w:val="32"/>
          <w:lang w:val="en-US" w:eastAsia="zh-CN"/>
        </w:rPr>
        <w:t>养老保险、</w:t>
      </w:r>
      <w:r>
        <w:rPr>
          <w:rFonts w:hint="default" w:ascii="Times New Roman" w:hAnsi="Times New Roman" w:eastAsia="仿宋_GB2312" w:cs="Times New Roman"/>
          <w:sz w:val="32"/>
          <w:szCs w:val="32"/>
          <w:lang w:val="en-US" w:eastAsia="zh-CN"/>
        </w:rPr>
        <w:t>大病救助等，实现应保尽保。做好低</w:t>
      </w:r>
      <w:r>
        <w:rPr>
          <w:rFonts w:hint="eastAsia" w:eastAsia="仿宋_GB2312" w:cs="Times New Roman"/>
          <w:sz w:val="32"/>
          <w:szCs w:val="32"/>
          <w:lang w:val="en-US" w:eastAsia="zh-CN"/>
        </w:rPr>
        <w:t>保户、五保户</w:t>
      </w:r>
      <w:r>
        <w:rPr>
          <w:rFonts w:hint="default" w:ascii="Times New Roman" w:hAnsi="Times New Roman" w:eastAsia="仿宋_GB2312" w:cs="Times New Roman"/>
          <w:sz w:val="32"/>
          <w:szCs w:val="32"/>
          <w:lang w:val="en-US" w:eastAsia="zh-CN"/>
        </w:rPr>
        <w:t>、残疾人</w:t>
      </w:r>
      <w:r>
        <w:rPr>
          <w:rFonts w:hint="eastAsia" w:eastAsia="仿宋_GB2312" w:cs="Times New Roman"/>
          <w:sz w:val="32"/>
          <w:szCs w:val="32"/>
          <w:lang w:val="en-US" w:eastAsia="zh-CN"/>
        </w:rPr>
        <w:t>、精神病人</w:t>
      </w:r>
      <w:r>
        <w:rPr>
          <w:rFonts w:hint="default" w:ascii="Times New Roman" w:hAnsi="Times New Roman" w:eastAsia="仿宋_GB2312" w:cs="Times New Roman"/>
          <w:sz w:val="32"/>
          <w:szCs w:val="32"/>
          <w:lang w:val="en-US" w:eastAsia="zh-CN"/>
        </w:rPr>
        <w:t>等困难家庭的精准救助帮扶工作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进一步完善退役军人服务机制。加强政策扶持、就业培训、创业服务</w:t>
      </w:r>
      <w:r>
        <w:rPr>
          <w:rFonts w:hint="eastAsia" w:ascii="Times New Roman" w:hAnsi="Times New Roman" w:eastAsia="仿宋_GB2312" w:cs="Times New Roman"/>
          <w:sz w:val="32"/>
          <w:szCs w:val="32"/>
          <w:lang w:val="en-US" w:eastAsia="zh-CN"/>
        </w:rPr>
        <w:t>，新增城镇就业260人，提高群众满意度和幸福感。</w:t>
      </w:r>
      <w:r>
        <w:rPr>
          <w:rFonts w:hint="eastAsia" w:hAnsi="仿宋" w:eastAsia="仿宋" w:cs="仿宋" w:asciiTheme="minorAscii"/>
          <w:b/>
          <w:bCs/>
          <w:sz w:val="32"/>
          <w:szCs w:val="32"/>
          <w:lang w:val="en-US" w:eastAsia="zh-CN"/>
        </w:rPr>
        <w:t>倡导文明乡风。</w:t>
      </w:r>
      <w:r>
        <w:rPr>
          <w:rFonts w:hint="eastAsia" w:ascii="仿宋_GB2312" w:hAnsi="仿宋_GB2312" w:eastAsia="仿宋_GB2312" w:cs="仿宋_GB2312"/>
          <w:b w:val="0"/>
          <w:bCs w:val="0"/>
          <w:sz w:val="32"/>
          <w:szCs w:val="32"/>
          <w:lang w:val="en-US" w:eastAsia="zh-CN"/>
        </w:rPr>
        <w:t>巩</w:t>
      </w:r>
      <w:r>
        <w:rPr>
          <w:rFonts w:hint="eastAsia" w:ascii="Times New Roman" w:hAnsi="Times New Roman" w:eastAsia="仿宋_GB2312" w:cs="Times New Roman"/>
          <w:sz w:val="32"/>
          <w:szCs w:val="32"/>
          <w:lang w:val="en-US" w:eastAsia="zh-CN"/>
        </w:rPr>
        <w:t>固提升文明村镇创建成果，培育践行社会主义核心价值观。坚持移风易俗，</w:t>
      </w:r>
      <w:r>
        <w:rPr>
          <w:rFonts w:hint="eastAsia" w:eastAsia="仿宋_GB2312" w:cs="Times New Roman"/>
          <w:kern w:val="0"/>
          <w:sz w:val="32"/>
          <w:szCs w:val="32"/>
          <w:lang w:val="en-US" w:eastAsia="zh-CN"/>
        </w:rPr>
        <w:t>推行村规民约</w:t>
      </w:r>
      <w:r>
        <w:rPr>
          <w:rFonts w:hint="eastAsia" w:ascii="Times New Roman" w:hAnsi="Times New Roman" w:eastAsia="仿宋_GB2312" w:cs="Times New Roman"/>
          <w:kern w:val="0"/>
          <w:sz w:val="32"/>
          <w:szCs w:val="32"/>
          <w:lang w:val="en-US" w:eastAsia="zh-CN"/>
        </w:rPr>
        <w:t>，规范</w:t>
      </w:r>
      <w:r>
        <w:rPr>
          <w:rFonts w:hint="eastAsia" w:eastAsia="仿宋_GB2312" w:cs="Times New Roman"/>
          <w:kern w:val="0"/>
          <w:sz w:val="32"/>
          <w:szCs w:val="32"/>
          <w:lang w:val="en-US" w:eastAsia="zh-CN"/>
        </w:rPr>
        <w:t>婚丧喜庆事宜</w:t>
      </w:r>
      <w:r>
        <w:rPr>
          <w:rFonts w:hint="eastAsia" w:ascii="Times New Roman" w:hAnsi="Times New Roman" w:eastAsia="仿宋_GB2312" w:cs="Times New Roman"/>
          <w:kern w:val="0"/>
          <w:sz w:val="32"/>
          <w:szCs w:val="32"/>
          <w:lang w:val="en-US" w:eastAsia="zh-CN"/>
        </w:rPr>
        <w:t>操办。</w:t>
      </w:r>
      <w:r>
        <w:rPr>
          <w:rFonts w:hint="eastAsia" w:ascii="仿宋_GB2312" w:hAnsi="华文仿宋" w:eastAsia="仿宋_GB2312"/>
          <w:sz w:val="32"/>
          <w:szCs w:val="32"/>
        </w:rPr>
        <w:t>深入实施“文化惠民”工程</w:t>
      </w:r>
      <w:r>
        <w:rPr>
          <w:rFonts w:hint="eastAsia" w:ascii="仿宋_GB2312" w:hAnsi="华文仿宋" w:eastAsia="仿宋_GB2312"/>
          <w:sz w:val="32"/>
          <w:szCs w:val="32"/>
          <w:lang w:eastAsia="zh-CN"/>
        </w:rPr>
        <w:t>，</w:t>
      </w:r>
      <w:r>
        <w:rPr>
          <w:rFonts w:hint="default" w:ascii="Times New Roman" w:hAnsi="Times New Roman" w:eastAsia="仿宋_GB2312" w:cs="Times New Roman"/>
          <w:kern w:val="0"/>
          <w:sz w:val="32"/>
          <w:szCs w:val="32"/>
          <w:lang w:val="en-US" w:eastAsia="zh-CN" w:bidi="ar-SA"/>
        </w:rPr>
        <w:t>开展送戏下乡、送电影下乡</w:t>
      </w:r>
      <w:r>
        <w:rPr>
          <w:rFonts w:hint="eastAsia" w:eastAsia="仿宋_GB2312" w:cs="Times New Roman"/>
          <w:kern w:val="0"/>
          <w:sz w:val="32"/>
          <w:szCs w:val="32"/>
          <w:lang w:val="en-US" w:eastAsia="zh-CN" w:bidi="ar-SA"/>
        </w:rPr>
        <w:t>、道德模范评选等形式多样的活动</w:t>
      </w:r>
      <w:r>
        <w:rPr>
          <w:rFonts w:hint="default" w:ascii="Times New Roman" w:hAnsi="Times New Roman" w:eastAsia="仿宋_GB2312" w:cs="Times New Roman"/>
          <w:kern w:val="0"/>
          <w:sz w:val="32"/>
          <w:szCs w:val="32"/>
          <w:lang w:val="en-US" w:eastAsia="zh-CN" w:bidi="ar-SA"/>
        </w:rPr>
        <w:t>，充分</w:t>
      </w:r>
      <w:r>
        <w:rPr>
          <w:rFonts w:hint="eastAsia" w:ascii="Times New Roman" w:hAnsi="Times New Roman" w:eastAsia="仿宋_GB2312" w:cs="Times New Roman"/>
          <w:kern w:val="0"/>
          <w:sz w:val="32"/>
          <w:szCs w:val="32"/>
          <w:lang w:val="en-US" w:eastAsia="zh-CN" w:bidi="ar-SA"/>
        </w:rPr>
        <w:t>利用</w:t>
      </w:r>
      <w:r>
        <w:rPr>
          <w:rFonts w:hint="default" w:ascii="Times New Roman" w:hAnsi="Times New Roman" w:eastAsia="仿宋_GB2312" w:cs="Times New Roman"/>
          <w:kern w:val="0"/>
          <w:sz w:val="32"/>
          <w:szCs w:val="32"/>
          <w:lang w:val="en-US" w:eastAsia="zh-CN" w:bidi="ar-SA"/>
        </w:rPr>
        <w:t>镇、村农家书屋、文化广场、文化戏台等</w:t>
      </w:r>
      <w:r>
        <w:rPr>
          <w:rFonts w:hint="eastAsia" w:ascii="Times New Roman" w:hAnsi="Times New Roman" w:eastAsia="仿宋_GB2312" w:cs="Times New Roman"/>
          <w:kern w:val="0"/>
          <w:sz w:val="32"/>
          <w:szCs w:val="32"/>
          <w:lang w:val="en-US" w:eastAsia="zh-CN" w:bidi="ar-SA"/>
        </w:rPr>
        <w:t>丰富群众文娱生活</w:t>
      </w:r>
      <w:r>
        <w:rPr>
          <w:rFonts w:hint="default" w:ascii="Times New Roman" w:hAnsi="Times New Roman" w:eastAsia="仿宋_GB2312" w:cs="Times New Roman"/>
          <w:kern w:val="0"/>
          <w:sz w:val="32"/>
          <w:szCs w:val="32"/>
          <w:lang w:val="en-US" w:eastAsia="zh-CN" w:bidi="ar-SA"/>
        </w:rPr>
        <w:t>。</w:t>
      </w:r>
    </w:p>
    <w:p>
      <w:pPr>
        <w:pStyle w:val="7"/>
        <w:keepNext w:val="0"/>
        <w:keepLines w:val="0"/>
        <w:pageBreakBefore w:val="0"/>
        <w:widowControl/>
        <w:suppressLineNumbers w:val="0"/>
        <w:kinsoku/>
        <w:wordWrap/>
        <w:topLinePunct w:val="0"/>
        <w:bidi w:val="0"/>
        <w:spacing w:line="560" w:lineRule="exact"/>
        <w:ind w:firstLine="640" w:firstLineChars="200"/>
        <w:jc w:val="left"/>
        <w:textAlignment w:val="auto"/>
        <w:rPr>
          <w:rFonts w:hint="eastAsia" w:ascii="Times New Roman" w:hAnsi="Times New Roman" w:eastAsia="仿宋_GB2312" w:cs="Times New Roman"/>
          <w:kern w:val="0"/>
          <w:sz w:val="32"/>
          <w:szCs w:val="32"/>
          <w:lang w:val="en-US" w:eastAsia="zh-CN"/>
        </w:rPr>
      </w:pPr>
      <w:r>
        <w:rPr>
          <w:rFonts w:hint="eastAsia" w:ascii="楷体_GB2312" w:hAnsi="楷体_GB2312" w:eastAsia="楷体_GB2312" w:cs="楷体_GB2312"/>
          <w:sz w:val="32"/>
          <w:szCs w:val="32"/>
          <w:lang w:val="en-US" w:eastAsia="zh-CN"/>
        </w:rPr>
        <w:t>（5）聚力平安建设，营造和谐稳定新气象。</w:t>
      </w:r>
      <w:r>
        <w:rPr>
          <w:rFonts w:hint="eastAsia" w:hAnsi="Times New Roman" w:eastAsia="仿宋" w:cs="Times New Roman" w:asciiTheme="minorAscii"/>
          <w:b/>
          <w:bCs/>
          <w:sz w:val="32"/>
          <w:szCs w:val="32"/>
          <w:lang w:val="en-US" w:eastAsia="zh-CN"/>
        </w:rPr>
        <w:t>加强社会</w:t>
      </w:r>
      <w:r>
        <w:rPr>
          <w:rFonts w:hint="eastAsia" w:eastAsia="仿宋" w:cs="Times New Roman" w:asciiTheme="minorAscii"/>
          <w:b/>
          <w:bCs/>
          <w:sz w:val="32"/>
          <w:szCs w:val="32"/>
          <w:lang w:val="en-US" w:eastAsia="zh-CN"/>
        </w:rPr>
        <w:t>综合</w:t>
      </w:r>
      <w:r>
        <w:rPr>
          <w:rFonts w:hint="eastAsia" w:hAnsi="Times New Roman" w:eastAsia="仿宋" w:cs="Times New Roman" w:asciiTheme="minorAscii"/>
          <w:b/>
          <w:bCs/>
          <w:sz w:val="32"/>
          <w:szCs w:val="32"/>
          <w:lang w:val="en-US" w:eastAsia="zh-CN"/>
        </w:rPr>
        <w:t>治理。</w:t>
      </w:r>
      <w:r>
        <w:rPr>
          <w:rFonts w:hint="eastAsia" w:ascii="Times New Roman" w:hAnsi="Times New Roman" w:eastAsia="仿宋_GB2312" w:cs="Times New Roman"/>
          <w:kern w:val="0"/>
          <w:sz w:val="32"/>
          <w:szCs w:val="32"/>
          <w:lang w:val="en-US" w:eastAsia="zh-CN"/>
        </w:rPr>
        <w:t>深入开展扫黑除恶专项斗争，依法打击和惩治各类违法犯罪活动。坚持领导包案、定期接访、领导下访制度，推行依法信访，解决群众合理诉求。</w:t>
      </w:r>
      <w:r>
        <w:rPr>
          <w:rFonts w:hint="eastAsia" w:eastAsia="仿宋_GB2312" w:cs="Times New Roman"/>
          <w:kern w:val="0"/>
          <w:sz w:val="32"/>
          <w:szCs w:val="32"/>
          <w:lang w:val="en-US" w:eastAsia="zh-CN"/>
        </w:rPr>
        <w:t>学习推广“枫桥经验”和社会“微治理”创新，</w:t>
      </w:r>
      <w:r>
        <w:rPr>
          <w:rFonts w:hint="eastAsia" w:ascii="仿宋_GB2312" w:eastAsia="仿宋_GB2312"/>
          <w:sz w:val="32"/>
          <w:szCs w:val="32"/>
        </w:rPr>
        <w:t>深化“一村一警”</w:t>
      </w:r>
      <w:r>
        <w:rPr>
          <w:rFonts w:hint="eastAsia" w:ascii="仿宋_GB2312" w:eastAsia="仿宋_GB2312"/>
          <w:sz w:val="32"/>
          <w:szCs w:val="32"/>
          <w:lang w:eastAsia="zh-CN"/>
        </w:rPr>
        <w:t>工作，</w:t>
      </w:r>
      <w:r>
        <w:rPr>
          <w:rFonts w:hint="eastAsia" w:eastAsia="仿宋_GB2312" w:cs="Times New Roman"/>
          <w:kern w:val="0"/>
          <w:sz w:val="32"/>
          <w:szCs w:val="32"/>
          <w:lang w:val="en-US" w:eastAsia="zh-CN"/>
        </w:rPr>
        <w:t>建立健全群防群治长效机制，</w:t>
      </w:r>
      <w:r>
        <w:rPr>
          <w:rFonts w:hint="eastAsia" w:ascii="仿宋_GB2312" w:eastAsia="仿宋_GB2312"/>
          <w:sz w:val="32"/>
          <w:szCs w:val="32"/>
          <w:lang w:eastAsia="zh-CN"/>
        </w:rPr>
        <w:t>加强重点人群的关爱帮扶和动态管理，</w:t>
      </w:r>
      <w:r>
        <w:rPr>
          <w:rFonts w:hint="eastAsia" w:eastAsia="仿宋_GB2312" w:cs="Times New Roman"/>
          <w:kern w:val="0"/>
          <w:sz w:val="32"/>
          <w:szCs w:val="32"/>
          <w:lang w:val="en-US" w:eastAsia="zh-CN"/>
        </w:rPr>
        <w:t>及时调处化解群众矛盾纠纷。</w:t>
      </w:r>
      <w:r>
        <w:rPr>
          <w:rFonts w:hint="eastAsia" w:eastAsia="仿宋_GB2312" w:cs="Times New Roman"/>
          <w:b/>
          <w:bCs/>
          <w:kern w:val="0"/>
          <w:sz w:val="32"/>
          <w:szCs w:val="32"/>
          <w:lang w:val="en-US" w:eastAsia="zh-CN"/>
        </w:rPr>
        <w:t>高度重视</w:t>
      </w:r>
      <w:r>
        <w:rPr>
          <w:rFonts w:hint="eastAsia" w:hAnsi="仿宋" w:eastAsia="仿宋" w:cs="仿宋" w:asciiTheme="minorAscii"/>
          <w:b/>
          <w:bCs/>
          <w:sz w:val="32"/>
          <w:szCs w:val="32"/>
          <w:lang w:val="en-US" w:eastAsia="zh-CN"/>
        </w:rPr>
        <w:t>法制建设。</w:t>
      </w:r>
      <w:r>
        <w:rPr>
          <w:rFonts w:hint="eastAsia" w:ascii="Times New Roman" w:hAnsi="Times New Roman" w:eastAsia="仿宋_GB2312" w:cs="Times New Roman"/>
          <w:kern w:val="0"/>
          <w:sz w:val="32"/>
          <w:szCs w:val="32"/>
          <w:lang w:val="en-US" w:eastAsia="zh-CN"/>
        </w:rPr>
        <w:t> </w:t>
      </w:r>
      <w:r>
        <w:rPr>
          <w:rFonts w:hint="eastAsia" w:ascii="仿宋_GB2312" w:hAnsi="Times New Roman" w:eastAsia="仿宋_GB2312" w:cs="Times New Roman"/>
          <w:sz w:val="32"/>
          <w:szCs w:val="32"/>
          <w:lang w:eastAsia="zh-CN"/>
        </w:rPr>
        <w:t>积极组织开展“七五”普法教育和法律“六进”活动，增强人民法律和法制意识，形成全民学法、知法、懂法、守法的良好氛围。</w:t>
      </w:r>
      <w:r>
        <w:rPr>
          <w:rFonts w:hint="eastAsia" w:ascii="仿宋_GB2312" w:hAnsi="Times New Roman" w:eastAsia="仿宋_GB2312" w:cs="Times New Roman"/>
          <w:sz w:val="32"/>
          <w:szCs w:val="32"/>
          <w:lang w:val="en-US" w:eastAsia="zh-CN"/>
        </w:rPr>
        <w:t>严厉打击邪教组织的非法活动，妥善处置各类群体性事件。</w:t>
      </w:r>
      <w:r>
        <w:rPr>
          <w:rFonts w:hint="eastAsia" w:ascii="仿宋_GB2312" w:eastAsia="仿宋_GB2312" w:cs="Times New Roman"/>
          <w:color w:val="auto"/>
          <w:sz w:val="32"/>
          <w:szCs w:val="32"/>
          <w:lang w:val="en-US" w:eastAsia="zh-CN"/>
        </w:rPr>
        <w:t>依法撤销合并宗教违规场所。</w:t>
      </w:r>
      <w:r>
        <w:rPr>
          <w:rFonts w:hint="eastAsia" w:hAnsi="仿宋" w:eastAsia="仿宋" w:cs="仿宋" w:asciiTheme="minorAscii"/>
          <w:b/>
          <w:bCs/>
          <w:sz w:val="32"/>
          <w:szCs w:val="32"/>
          <w:lang w:val="en-US" w:eastAsia="zh-CN"/>
        </w:rPr>
        <w:t>提升应急管理能力。</w:t>
      </w:r>
      <w:r>
        <w:rPr>
          <w:rFonts w:hint="eastAsia" w:ascii="Times New Roman" w:hAnsi="Times New Roman" w:eastAsia="仿宋_GB2312" w:cs="Times New Roman"/>
          <w:kern w:val="0"/>
          <w:sz w:val="32"/>
          <w:szCs w:val="32"/>
          <w:lang w:val="en-US" w:eastAsia="zh-CN"/>
        </w:rPr>
        <w:t>强化安全生产责任落实，加强重点区域、高危行业、劳动密集型企业安全隐患排查整治，不断提升社会安全指数。加大对道路交通、食品药品、公共场所等领域的安全监管力度，预防重特大事故的发生。加强防汛抗旱、防寒抗冻、疫病防控等工作，提升综合应急处置能力。</w:t>
      </w:r>
    </w:p>
    <w:p>
      <w:pPr>
        <w:overflowPunct w:val="0"/>
        <w:autoSpaceDE w:val="0"/>
        <w:autoSpaceDN w:val="0"/>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 xml:space="preserve"> </w:t>
      </w:r>
      <w:r>
        <w:rPr>
          <w:rFonts w:hint="eastAsia" w:eastAsia="仿宋_GB2312" w:cs="仿宋_GB2312"/>
          <w:color w:val="000000"/>
          <w:sz w:val="32"/>
          <w:szCs w:val="32"/>
          <w:lang w:val="en-US" w:eastAsia="zh-CN"/>
        </w:rPr>
        <w:t>2、</w:t>
      </w:r>
      <w:r>
        <w:rPr>
          <w:rFonts w:hint="eastAsia" w:eastAsia="仿宋_GB2312" w:cs="仿宋_GB2312"/>
          <w:color w:val="000000"/>
          <w:sz w:val="32"/>
          <w:szCs w:val="32"/>
        </w:rPr>
        <w:t>预决算公开</w:t>
      </w:r>
    </w:p>
    <w:p>
      <w:pPr>
        <w:overflowPunct w:val="0"/>
        <w:autoSpaceDE w:val="0"/>
        <w:autoSpaceDN w:val="0"/>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lang w:val="en-US" w:eastAsia="zh-CN"/>
        </w:rPr>
        <w:t>2020</w:t>
      </w:r>
      <w:r>
        <w:rPr>
          <w:rFonts w:hint="eastAsia" w:eastAsia="仿宋_GB2312" w:cs="仿宋_GB2312"/>
          <w:color w:val="000000"/>
          <w:sz w:val="32"/>
          <w:szCs w:val="32"/>
        </w:rPr>
        <w:t>年度，根据区发展和改革财政局要求我镇在中国大通湖门户网上进行</w:t>
      </w:r>
      <w:r>
        <w:rPr>
          <w:rFonts w:hint="eastAsia" w:eastAsia="仿宋_GB2312" w:cs="仿宋_GB2312"/>
          <w:color w:val="000000"/>
          <w:sz w:val="32"/>
          <w:szCs w:val="32"/>
          <w:lang w:eastAsia="zh-CN"/>
        </w:rPr>
        <w:t>绩效目标申报表、政府财务报告、部门预算公开、部门决算公开报表等</w:t>
      </w:r>
      <w:r>
        <w:rPr>
          <w:rFonts w:hint="eastAsia" w:eastAsia="仿宋_GB2312" w:cs="仿宋_GB2312"/>
          <w:color w:val="000000" w:themeColor="text1"/>
          <w:sz w:val="32"/>
          <w:szCs w:val="32"/>
          <w14:textFill>
            <w14:solidFill>
              <w14:schemeClr w14:val="tx1"/>
            </w14:solidFill>
          </w14:textFill>
        </w:rPr>
        <w:t>预决算的公开、公示。</w:t>
      </w:r>
    </w:p>
    <w:p>
      <w:pPr>
        <w:overflowPunct w:val="0"/>
        <w:autoSpaceDE w:val="0"/>
        <w:autoSpaceDN w:val="0"/>
        <w:spacing w:line="592" w:lineRule="exact"/>
        <w:ind w:firstLine="640" w:firstLineChars="200"/>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3</w:t>
      </w:r>
      <w:r>
        <w:rPr>
          <w:rFonts w:hint="eastAsia" w:eastAsia="仿宋_GB2312" w:cs="仿宋_GB2312"/>
          <w:color w:val="000000" w:themeColor="text1"/>
          <w:sz w:val="32"/>
          <w:szCs w:val="32"/>
          <w14:textFill>
            <w14:solidFill>
              <w14:schemeClr w14:val="tx1"/>
            </w14:solidFill>
          </w14:textFill>
        </w:rPr>
        <w:t>、资产管理</w:t>
      </w:r>
    </w:p>
    <w:p>
      <w:pPr>
        <w:overflowPunct w:val="0"/>
        <w:autoSpaceDE w:val="0"/>
        <w:autoSpaceDN w:val="0"/>
        <w:spacing w:line="592" w:lineRule="exact"/>
        <w:ind w:firstLine="640" w:firstLineChars="200"/>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为落实区发展和改革财政局的会议精神和保证我镇资产的有效使用和利用，特制定北洲子镇资产管理制度，</w:t>
      </w:r>
      <w:r>
        <w:rPr>
          <w:rFonts w:hint="eastAsia" w:eastAsia="仿宋_GB2312" w:cs="仿宋_GB2312"/>
          <w:color w:val="000000" w:themeColor="text1"/>
          <w:sz w:val="32"/>
          <w:szCs w:val="32"/>
          <w:lang w:eastAsia="zh-CN"/>
          <w14:textFill>
            <w14:solidFill>
              <w14:schemeClr w14:val="tx1"/>
            </w14:solidFill>
          </w14:textFill>
        </w:rPr>
        <w:t>单位提出资产购置申请</w:t>
      </w:r>
      <w:r>
        <w:rPr>
          <w:rFonts w:hint="default" w:ascii="Arial" w:hAnsi="Arial" w:eastAsia="仿宋_GB2312" w:cs="Arial"/>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lang w:eastAsia="zh-CN"/>
          <w14:textFill>
            <w14:solidFill>
              <w14:schemeClr w14:val="tx1"/>
            </w14:solidFill>
          </w14:textFill>
        </w:rPr>
        <w:t>部门审核意见</w:t>
      </w:r>
      <w:r>
        <w:rPr>
          <w:rFonts w:hint="default" w:ascii="Arial" w:hAnsi="Arial" w:eastAsia="仿宋_GB2312" w:cs="Arial"/>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lang w:eastAsia="zh-CN"/>
          <w14:textFill>
            <w14:solidFill>
              <w14:schemeClr w14:val="tx1"/>
            </w14:solidFill>
          </w14:textFill>
        </w:rPr>
        <w:t>分管领导签署审批意见</w:t>
      </w:r>
      <w:r>
        <w:rPr>
          <w:rFonts w:hint="default" w:ascii="Arial" w:hAnsi="Arial" w:eastAsia="仿宋_GB2312" w:cs="Arial"/>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依法实施采购</w:t>
      </w:r>
      <w:r>
        <w:rPr>
          <w:rFonts w:hint="default" w:ascii="Arial" w:hAnsi="Arial" w:eastAsia="仿宋_GB2312" w:cs="Arial"/>
          <w:color w:val="000000" w:themeColor="text1"/>
          <w:sz w:val="32"/>
          <w:szCs w:val="32"/>
          <w:lang w:eastAsia="zh-CN"/>
          <w14:textFill>
            <w14:solidFill>
              <w14:schemeClr w14:val="tx1"/>
            </w14:solidFill>
          </w14:textFill>
        </w:rPr>
        <w:t>→</w:t>
      </w:r>
      <w:r>
        <w:rPr>
          <w:rFonts w:hint="eastAsia" w:ascii="Arial" w:hAnsi="Arial" w:eastAsia="仿宋_GB2312" w:cs="Arial"/>
          <w:color w:val="000000" w:themeColor="text1"/>
          <w:sz w:val="32"/>
          <w:szCs w:val="32"/>
          <w:lang w:eastAsia="zh-CN"/>
          <w14:textFill>
            <w14:solidFill>
              <w14:schemeClr w14:val="tx1"/>
            </w14:solidFill>
          </w14:textFill>
        </w:rPr>
        <w:t>单位对购置资产进行验收</w:t>
      </w:r>
      <w:r>
        <w:rPr>
          <w:rFonts w:hint="default" w:ascii="Arial" w:hAnsi="Arial" w:eastAsia="仿宋_GB2312" w:cs="Arial"/>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登记入账并由资产管理员及时更新国有资产管理系统数据信息。</w:t>
      </w:r>
      <w:r>
        <w:rPr>
          <w:rFonts w:hint="eastAsia" w:eastAsia="仿宋_GB2312" w:cs="仿宋_GB2312"/>
          <w:color w:val="000000" w:themeColor="text1"/>
          <w:sz w:val="32"/>
          <w:szCs w:val="32"/>
          <w:lang w:val="en-US" w:eastAsia="zh-CN"/>
          <w14:textFill>
            <w14:solidFill>
              <w14:schemeClr w14:val="tx1"/>
            </w14:solidFill>
          </w14:textFill>
        </w:rPr>
        <w:t>严格按固定资产管理制度执行，</w:t>
      </w:r>
      <w:r>
        <w:rPr>
          <w:rFonts w:hint="eastAsia" w:eastAsia="仿宋_GB2312" w:cs="仿宋_GB2312"/>
          <w:color w:val="000000" w:themeColor="text1"/>
          <w:sz w:val="32"/>
          <w:szCs w:val="32"/>
          <w14:textFill>
            <w14:solidFill>
              <w14:schemeClr w14:val="tx1"/>
            </w14:solidFill>
          </w14:textFill>
        </w:rPr>
        <w:t>完善固定资产档案、录入系统、责任到人，严格报批、销审等手续从开始的采购源头、到中间的使用、到最后报废和毁损，层层把关，杜绝资产流失现象。</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eastAsia="仿宋_GB2312" w:cs="仿宋_GB2312"/>
          <w:color w:val="000000"/>
          <w:sz w:val="32"/>
          <w:szCs w:val="32"/>
        </w:rPr>
      </w:pPr>
      <w:r>
        <w:rPr>
          <w:rFonts w:hint="eastAsia" w:eastAsia="仿宋_GB2312" w:cs="仿宋_GB2312"/>
          <w:color w:val="000000"/>
          <w:sz w:val="32"/>
          <w:szCs w:val="32"/>
          <w:lang w:val="en-US" w:eastAsia="zh-CN"/>
        </w:rPr>
        <w:t>4</w:t>
      </w:r>
      <w:r>
        <w:rPr>
          <w:rFonts w:hint="eastAsia" w:eastAsia="仿宋_GB2312" w:cs="仿宋_GB2312"/>
          <w:color w:val="000000"/>
          <w:sz w:val="32"/>
          <w:szCs w:val="32"/>
        </w:rPr>
        <w:t>、三公经费控制情况</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color w:val="000000" w:themeColor="text1"/>
          <w:highlight w:val="yellow"/>
          <w:lang w:val="en-US" w:eastAsia="zh-CN"/>
          <w14:textFill>
            <w14:solidFill>
              <w14:schemeClr w14:val="tx1"/>
            </w14:solidFill>
          </w14:textFill>
        </w:rPr>
      </w:pPr>
      <w:r>
        <w:rPr>
          <w:rFonts w:hint="eastAsia" w:eastAsia="仿宋_GB2312" w:cs="仿宋_GB2312"/>
          <w:color w:val="000000"/>
          <w:sz w:val="32"/>
          <w:szCs w:val="32"/>
        </w:rPr>
        <w:t>在已有的制度办法基础上，进一步完善公务接待、公务用车配置使用和因公出国（境）等管理制度和审核程序，将“三公”经费严格纳入预算管理，严控 “三公”经费支出。</w:t>
      </w:r>
      <w:r>
        <w:rPr>
          <w:rFonts w:hint="eastAsia" w:eastAsia="仿宋_GB2312" w:cs="仿宋_GB2312"/>
          <w:color w:val="000000" w:themeColor="text1"/>
          <w:sz w:val="32"/>
          <w:szCs w:val="32"/>
          <w:lang w:val="en-US" w:eastAsia="zh-CN"/>
          <w14:textFill>
            <w14:solidFill>
              <w14:schemeClr w14:val="tx1"/>
            </w14:solidFill>
          </w14:textFill>
        </w:rPr>
        <w:t>2020</w:t>
      </w:r>
      <w:r>
        <w:rPr>
          <w:rFonts w:hint="eastAsia" w:eastAsia="仿宋_GB2312" w:cs="仿宋_GB2312"/>
          <w:color w:val="000000" w:themeColor="text1"/>
          <w:sz w:val="32"/>
          <w:szCs w:val="32"/>
          <w14:textFill>
            <w14:solidFill>
              <w14:schemeClr w14:val="tx1"/>
            </w14:solidFill>
          </w14:textFill>
        </w:rPr>
        <w:t>年“三公”经费预算</w:t>
      </w:r>
      <w:r>
        <w:rPr>
          <w:rFonts w:hint="eastAsia" w:eastAsia="仿宋_GB2312" w:cs="仿宋_GB2312"/>
          <w:color w:val="000000" w:themeColor="text1"/>
          <w:sz w:val="32"/>
          <w:szCs w:val="32"/>
          <w:lang w:val="en-US" w:eastAsia="zh-CN"/>
          <w14:textFill>
            <w14:solidFill>
              <w14:schemeClr w14:val="tx1"/>
            </w14:solidFill>
          </w14:textFill>
        </w:rPr>
        <w:t>50</w:t>
      </w:r>
      <w:r>
        <w:rPr>
          <w:rFonts w:hint="eastAsia" w:eastAsia="仿宋_GB2312" w:cs="仿宋_GB2312"/>
          <w:color w:val="000000" w:themeColor="text1"/>
          <w:sz w:val="32"/>
          <w:szCs w:val="32"/>
          <w14:textFill>
            <w14:solidFill>
              <w14:schemeClr w14:val="tx1"/>
            </w14:solidFill>
          </w14:textFill>
        </w:rPr>
        <w:t>万元，</w:t>
      </w:r>
      <w:r>
        <w:rPr>
          <w:rFonts w:hint="eastAsia" w:eastAsia="仿宋_GB2312" w:cs="仿宋_GB2312"/>
          <w:color w:val="000000" w:themeColor="text1"/>
          <w:sz w:val="32"/>
          <w:szCs w:val="32"/>
          <w:lang w:eastAsia="zh-CN"/>
          <w14:textFill>
            <w14:solidFill>
              <w14:schemeClr w14:val="tx1"/>
            </w14:solidFill>
          </w14:textFill>
        </w:rPr>
        <w:t>其中公务接待费预算</w:t>
      </w:r>
      <w:r>
        <w:rPr>
          <w:rFonts w:hint="eastAsia" w:eastAsia="仿宋_GB2312" w:cs="仿宋_GB2312"/>
          <w:color w:val="000000" w:themeColor="text1"/>
          <w:sz w:val="32"/>
          <w:szCs w:val="32"/>
          <w:lang w:val="en-US" w:eastAsia="zh-CN"/>
          <w14:textFill>
            <w14:solidFill>
              <w14:schemeClr w14:val="tx1"/>
            </w14:solidFill>
          </w14:textFill>
        </w:rPr>
        <w:t>36万元，公务用车运行维护费预算14万元，控制率达100%。</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sz w:val="32"/>
          <w:szCs w:val="32"/>
        </w:rPr>
      </w:pPr>
      <w:r>
        <w:rPr>
          <w:rFonts w:hint="eastAsia" w:eastAsia="仿宋_GB2312" w:cs="仿宋_GB2312"/>
          <w:color w:val="000000"/>
          <w:sz w:val="32"/>
          <w:szCs w:val="32"/>
          <w:lang w:val="en-US" w:eastAsia="zh-CN"/>
        </w:rPr>
        <w:t>5</w:t>
      </w:r>
      <w:r>
        <w:rPr>
          <w:rFonts w:hint="eastAsia" w:eastAsia="仿宋_GB2312" w:cs="仿宋_GB2312"/>
          <w:color w:val="000000"/>
          <w:sz w:val="32"/>
          <w:szCs w:val="32"/>
        </w:rPr>
        <w:t>、内部管理制度建设</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我镇按照《区发展改革和财政局对乡镇财政管理体制实施办法》，完善并创新财务管理体制。</w:t>
      </w:r>
      <w:r>
        <w:rPr>
          <w:rFonts w:hint="eastAsia" w:eastAsia="仿宋_GB2312" w:cs="仿宋_GB2312"/>
          <w:color w:val="000000" w:themeColor="text1"/>
          <w:sz w:val="32"/>
          <w:szCs w:val="32"/>
          <w:lang w:eastAsia="zh-CN"/>
          <w14:textFill>
            <w14:solidFill>
              <w14:schemeClr w14:val="tx1"/>
            </w14:solidFill>
          </w14:textFill>
        </w:rPr>
        <w:t>这一年来，我单位认真贯彻有关会议和文件精神，在镇政府帮助和指导下，紧紧围绕监管制约，排查廉政风险，开展风险评估，制定防控措施，完善考核体系，内控机制总体框架基本形成，取得了成效。本单位内控制度建设与管理工作详细情况如下：</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lang w:val="en-US" w:eastAsia="zh-CN"/>
          <w14:textFill>
            <w14:solidFill>
              <w14:schemeClr w14:val="tx1"/>
            </w14:solidFill>
          </w14:textFill>
        </w:rPr>
        <w:t>1）不相容岗位与职责分离制度 </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1、会计职务与出纳职务分离，出纳人员不得兼任稽核、会计档案保管和收入、支出、费用、债权、债务账目的登记工作；  </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2、支票保管职务与印章保管职务分离；  </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3、批准采购职务与采购经办职务分离；  </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4、采购职务与验收职务分离； </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5、付款审批职务与付款执行职务分离；   </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6、合同签署（或委托签署）职务与条款订立职务分离；</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7、合同谈判职务与合同定价职务分离； </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8、合同履行职务与收付款职务分离； </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9、合同审计职务与上述职务分离。</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lang w:val="en-US" w:eastAsia="zh-CN"/>
          <w14:textFill>
            <w14:solidFill>
              <w14:schemeClr w14:val="tx1"/>
            </w14:solidFill>
          </w14:textFill>
        </w:rPr>
        <w:t>2</w:t>
      </w:r>
      <w:r>
        <w:rPr>
          <w:rFonts w:hint="eastAsia" w:eastAsia="仿宋_GB2312" w:cs="仿宋_GB2312"/>
          <w:color w:val="000000" w:themeColor="text1"/>
          <w:sz w:val="32"/>
          <w:szCs w:val="32"/>
          <w:lang w:eastAsia="zh-CN"/>
          <w14:textFill>
            <w14:solidFill>
              <w14:schemeClr w14:val="tx1"/>
            </w14:solidFill>
          </w14:textFill>
        </w:rPr>
        <w:t>）预算业务管理</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单位通过定期召开预算执行分析会议的形式，开展预算执行分析，研究解决预算执行中存在的问题，提出改进措施。</w:t>
      </w:r>
    </w:p>
    <w:p>
      <w:pPr>
        <w:keepNext w:val="0"/>
        <w:keepLines w:val="0"/>
        <w:pageBreakBefore w:val="0"/>
        <w:numPr>
          <w:ilvl w:val="0"/>
          <w:numId w:val="2"/>
        </w:numPr>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收支业务管理</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①明确各支出事项的开支标准；②加强支出审批控制，各项支出都应经过规定的审批才能向财务部门申请资金支付或者办理报销手续，审批人应当在授权范围内审批，不得越权审批；③加强支出审核控制，审核单据来源是否合法，内容是否真实、完整，使用是否准确，是否符合预算， 审批手续是否齐全；④加强资金支付和会计核算控制，财务部门应当按照规定办理资金支付业务，签发的支付凭证应当进行登记；⑤加强支出业务分析控制，单位定期编制支出业务预算执行情况分析报告，对于支出业务中发现的异常情况，应及时采取有效措施。</w:t>
      </w:r>
    </w:p>
    <w:p>
      <w:pPr>
        <w:keepNext w:val="0"/>
        <w:keepLines w:val="0"/>
        <w:pageBreakBefore w:val="0"/>
        <w:numPr>
          <w:ilvl w:val="0"/>
          <w:numId w:val="2"/>
        </w:numPr>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国有资产业务管理</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①明确各种资产的归口管理部门；②明确资产使用和保管责任人；③按照国有资产管理相关规定，明确资产的调剂、租借、对外投资、处置的程序、审批权限和责任；④建立资产台账，加强资产的实物管理；⑤建立资产信息管理系统，做好资产的统计、报告、分析工作，实现对资产的动态管理。</w:t>
      </w:r>
    </w:p>
    <w:p>
      <w:pPr>
        <w:keepNext w:val="0"/>
        <w:keepLines w:val="0"/>
        <w:pageBreakBefore w:val="0"/>
        <w:numPr>
          <w:ilvl w:val="0"/>
          <w:numId w:val="2"/>
        </w:numPr>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建设项目业务管理</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①对项目建议和可行性研究报告的编制、项目决策程序等做出明确规定，确保项目决策科学、合理。建设项目应当经单位领导班子集体研究决定，严禁任何个人单独决策或者擅自改变集体决策意见。②择优选取具有相应资质的设计单位，并签订合同；③建立与建设项目相关的审核机制，项目建议书、可行性研究报告、设计方案、概预算等应当由单位内部的规划、技术、财会、法律等相关工作人员或者根据国家有关规定委托具有相应资质的中介机构进行审核，出具评审意见。招标控制：依据国家有关规定组织建设项目招标工作。工程价款支付控制：按照审批单位下达的投资计划和预算对建设项目资金实行专款专用。工程变更控制：经批准的投资概算是工程投资的最高限额，未经批准，不得调整和突破。如需调整投资概算，应当按国家有关规定报经批准。项目记录控制：加强对建设项目档案的管理。竣工验收控制：按照规定的时限及时办理竣工决算。</w:t>
      </w:r>
    </w:p>
    <w:p>
      <w:pPr>
        <w:keepNext w:val="0"/>
        <w:keepLines w:val="0"/>
        <w:pageBreakBefore w:val="0"/>
        <w:numPr>
          <w:ilvl w:val="0"/>
          <w:numId w:val="2"/>
        </w:numPr>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合同业务管理</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合同订立控制：明确合同订立的范围和条件，严禁未经授权擅自以单位名义对外签订合同。合同履行控制：对合同履行情况实施有效监控。合同登记控制：定期对合同进行统计、分类和归档，详细登记合同的订立、履行和变更情况，实行对合同的全过程管理。合同纠纷控制：合同发生纠纷的，单位应当在规定时效内与对方协商谈判。</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themeColor="text1"/>
          <w:sz w:val="32"/>
          <w:szCs w:val="32"/>
          <w:lang w:eastAsia="zh-CN"/>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主要做法：提高认识，加强领导；梳理职权，优化流程；全面排查，突出重点；构建平台，健全制度；加强监控。</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sz w:val="32"/>
          <w:szCs w:val="32"/>
        </w:rPr>
      </w:pPr>
      <w:r>
        <w:rPr>
          <w:rFonts w:hint="eastAsia" w:eastAsia="仿宋_GB2312" w:cs="仿宋_GB2312"/>
          <w:color w:val="000000"/>
          <w:sz w:val="32"/>
          <w:szCs w:val="32"/>
        </w:rPr>
        <w:t>6、部门整体支出实施情况分析</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sz w:val="32"/>
          <w:szCs w:val="32"/>
        </w:rPr>
      </w:pPr>
      <w:r>
        <w:rPr>
          <w:rFonts w:hint="eastAsia" w:eastAsia="仿宋_GB2312" w:cs="仿宋_GB2312"/>
          <w:color w:val="000000"/>
          <w:sz w:val="32"/>
          <w:szCs w:val="32"/>
        </w:rPr>
        <w:t>从整体情况来看</w:t>
      </w:r>
      <w:r>
        <w:rPr>
          <w:rFonts w:hint="eastAsia" w:eastAsia="仿宋_GB2312" w:cs="仿宋_GB2312"/>
          <w:color w:val="000000"/>
          <w:sz w:val="32"/>
          <w:szCs w:val="32"/>
          <w:lang w:val="en-US" w:eastAsia="zh-CN"/>
        </w:rPr>
        <w:t>2020</w:t>
      </w:r>
      <w:r>
        <w:rPr>
          <w:rFonts w:hint="eastAsia" w:eastAsia="仿宋_GB2312" w:cs="仿宋_GB2312"/>
          <w:color w:val="000000"/>
          <w:sz w:val="32"/>
          <w:szCs w:val="32"/>
        </w:rPr>
        <w:t>年度，我镇严格按照年初预算进行了部门整体支出。在支出过程中，能严格遵守各项规章制度。年初在区财政预算的基础上制定了我镇预算执行方案表，将经费支出更加细化，严格执行了预算内与预算外的审批制度，各线分管领导分线负责把关，加强了资金的监督力度。资金管理按照制定的《财政预算资金拨付管理暂行办法》《会计核算制度》《行政单位内部控制制度》等制度使用。</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二、绩效评价工作情况</w:t>
      </w:r>
    </w:p>
    <w:p>
      <w:pPr>
        <w:keepNext w:val="0"/>
        <w:keepLines w:val="0"/>
        <w:pageBreakBefore w:val="0"/>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sz w:val="32"/>
          <w:szCs w:val="32"/>
        </w:rPr>
      </w:pPr>
      <w:r>
        <w:rPr>
          <w:rFonts w:hint="eastAsia" w:eastAsia="仿宋_GB2312" w:cs="仿宋_GB2312"/>
          <w:color w:val="000000"/>
          <w:sz w:val="32"/>
          <w:szCs w:val="32"/>
        </w:rPr>
        <w:t>（一）绩效评价的目的</w:t>
      </w:r>
    </w:p>
    <w:p>
      <w:pPr>
        <w:keepNext w:val="0"/>
        <w:keepLines w:val="0"/>
        <w:pageBreakBefore w:val="0"/>
        <w:widowControl w:val="0"/>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eastAsia="仿宋_GB2312" w:cs="仿宋_GB2312"/>
          <w:color w:val="000000"/>
          <w:sz w:val="32"/>
          <w:szCs w:val="32"/>
        </w:rPr>
      </w:pPr>
      <w:r>
        <w:rPr>
          <w:rFonts w:hint="eastAsia" w:eastAsia="仿宋_GB2312" w:cs="仿宋_GB2312"/>
          <w:color w:val="000000"/>
          <w:sz w:val="32"/>
          <w:szCs w:val="32"/>
        </w:rPr>
        <w:t>绩效评价的目的：严格落实《预算法》及省、市、区绩效管理工作的有关规定，结合我镇实际的情况建立健全财务基础管理制度和约束机制。进一步规范财政资金的管理，完善和加强财政预算资金管理，依法、有效地使用财政资金，提高财政资金使用效率，在完成部门职能目标中合理的分配人、财、物，使之达到较高的工作效率和水平。</w:t>
      </w:r>
    </w:p>
    <w:p>
      <w:pPr>
        <w:keepNext w:val="0"/>
        <w:keepLines w:val="0"/>
        <w:pageBreakBefore w:val="0"/>
        <w:numPr>
          <w:ilvl w:val="0"/>
          <w:numId w:val="3"/>
        </w:numPr>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eastAsia="仿宋_GB2312" w:cs="仿宋_GB2312"/>
          <w:color w:val="000000"/>
          <w:sz w:val="32"/>
          <w:szCs w:val="32"/>
        </w:rPr>
      </w:pPr>
      <w:r>
        <w:rPr>
          <w:rFonts w:hint="eastAsia" w:eastAsia="仿宋_GB2312" w:cs="仿宋_GB2312"/>
          <w:color w:val="000000"/>
          <w:sz w:val="32"/>
          <w:szCs w:val="32"/>
        </w:rPr>
        <w:t>绩效评价工作过程</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eastAsia="仿宋_GB2312" w:cs="仿宋_GB2312"/>
          <w:color w:val="000000"/>
          <w:sz w:val="32"/>
          <w:szCs w:val="32"/>
        </w:rPr>
      </w:pPr>
      <w:r>
        <w:rPr>
          <w:rFonts w:hint="eastAsia" w:eastAsia="仿宋_GB2312" w:cs="仿宋_GB2312"/>
          <w:color w:val="000000"/>
          <w:sz w:val="32"/>
          <w:szCs w:val="32"/>
        </w:rPr>
        <w:t xml:space="preserve"> 按照有关文件要求和相关实施方案，根据部门整体支出绩效考评指标对我镇</w:t>
      </w:r>
      <w:r>
        <w:rPr>
          <w:rFonts w:hint="eastAsia" w:eastAsia="仿宋_GB2312" w:cs="仿宋_GB2312"/>
          <w:color w:val="000000"/>
          <w:sz w:val="32"/>
          <w:szCs w:val="32"/>
          <w:lang w:val="en-US" w:eastAsia="zh-CN"/>
        </w:rPr>
        <w:t>2020</w:t>
      </w:r>
      <w:r>
        <w:rPr>
          <w:rFonts w:hint="eastAsia" w:eastAsia="仿宋_GB2312" w:cs="仿宋_GB2312"/>
          <w:color w:val="000000"/>
          <w:sz w:val="32"/>
          <w:szCs w:val="32"/>
        </w:rPr>
        <w:t>年度基本支出、项目支出和三公经费等方面的情况进行了自评，</w:t>
      </w:r>
      <w:r>
        <w:rPr>
          <w:rFonts w:hint="eastAsia" w:eastAsia="仿宋_GB2312" w:cs="仿宋_GB2312"/>
          <w:color w:val="000000"/>
          <w:sz w:val="32"/>
          <w:szCs w:val="32"/>
          <w:lang w:eastAsia="zh-CN"/>
        </w:rPr>
        <w:t>将</w:t>
      </w:r>
      <w:r>
        <w:rPr>
          <w:rFonts w:hint="eastAsia" w:eastAsia="仿宋_GB2312" w:cs="仿宋_GB2312"/>
          <w:color w:val="000000"/>
          <w:sz w:val="32"/>
          <w:szCs w:val="32"/>
          <w:lang w:val="en-US" w:eastAsia="zh-CN"/>
        </w:rPr>
        <w:t>2019年度和2020年度部门整体支出情况进行对比分析，按照设定的绩效评价指标客观、真实的进行打分，总结财政资金绩效情况，</w:t>
      </w:r>
      <w:r>
        <w:rPr>
          <w:rFonts w:hint="eastAsia" w:eastAsia="仿宋_GB2312" w:cs="仿宋_GB2312"/>
          <w:color w:val="000000"/>
          <w:sz w:val="32"/>
          <w:szCs w:val="32"/>
        </w:rPr>
        <w:t>主要包括预算分配、预算执行、预算管理、职责履行、职能效益及节源开流的措施等方面的情况。</w:t>
      </w:r>
    </w:p>
    <w:p>
      <w:pPr>
        <w:keepNext w:val="0"/>
        <w:keepLines w:val="0"/>
        <w:pageBreakBefore w:val="0"/>
        <w:numPr>
          <w:ilvl w:val="0"/>
          <w:numId w:val="4"/>
        </w:numPr>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主要绩效及评价结论</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157" w:beforeLines="50" w:after="157" w:afterLines="50" w:line="600" w:lineRule="exact"/>
        <w:ind w:left="0" w:leftChars="0" w:right="59" w:rightChars="28"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Cs/>
          <w:color w:val="000000"/>
          <w:sz w:val="32"/>
          <w:szCs w:val="32"/>
          <w:lang w:val="en-US" w:eastAsia="zh-CN"/>
        </w:rPr>
        <w:t>2020年度以来本单位严格管控资金使用，全年预算为</w:t>
      </w:r>
      <w:r>
        <w:rPr>
          <w:rFonts w:hint="eastAsia" w:ascii="仿宋_GB2312" w:hAnsi="仿宋_GB2312" w:eastAsia="仿宋_GB2312" w:cs="仿宋_GB2312"/>
          <w:color w:val="000000"/>
          <w:sz w:val="32"/>
          <w:szCs w:val="32"/>
          <w:shd w:val="clear" w:color="auto" w:fill="auto"/>
          <w:lang w:val="en-US" w:eastAsia="zh-CN"/>
        </w:rPr>
        <w:t>6667.97万元，全年执行数6667.97万元，执行率100%。资金</w:t>
      </w:r>
      <w:r>
        <w:rPr>
          <w:rFonts w:hint="eastAsia" w:ascii="仿宋_GB2312" w:hAnsi="仿宋_GB2312" w:eastAsia="仿宋_GB2312" w:cs="仿宋_GB2312"/>
          <w:color w:val="000000"/>
          <w:sz w:val="32"/>
          <w:szCs w:val="32"/>
          <w:lang w:val="en-US" w:eastAsia="zh-CN"/>
        </w:rPr>
        <w:t>支出做到真实、合理、合法。保证全镇机构工作正常运行。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2020年是极不平凡的一年，在区委、区管委的正确领导下，全镇上下紧紧围绕区委“1454”发展思路，深入贯彻</w:t>
      </w:r>
      <w:r>
        <w:rPr>
          <w:rFonts w:hint="eastAsia" w:ascii="Times New Roman" w:hAnsi="Times New Roman" w:eastAsia="仿宋_GB2312" w:cs="Times New Roman"/>
          <w:bCs/>
          <w:color w:val="auto"/>
          <w:sz w:val="32"/>
          <w:szCs w:val="32"/>
          <w:lang w:val="en-US" w:eastAsia="zh-CN"/>
        </w:rPr>
        <w:t>落实</w:t>
      </w:r>
      <w:r>
        <w:rPr>
          <w:rFonts w:hint="default" w:ascii="Times New Roman" w:hAnsi="Times New Roman" w:eastAsia="仿宋_GB2312" w:cs="Times New Roman"/>
          <w:bCs/>
          <w:color w:val="auto"/>
          <w:sz w:val="32"/>
          <w:szCs w:val="32"/>
          <w:lang w:val="en-US" w:eastAsia="zh-CN"/>
        </w:rPr>
        <w:t>区委经济工作会议精神，全镇党的建设和社会经济发展取得新的进步。</w:t>
      </w:r>
    </w:p>
    <w:p>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textAlignment w:val="auto"/>
        <w:outlineLvl w:val="9"/>
        <w:rPr>
          <w:rFonts w:hint="default" w:ascii="Times New Roman" w:hAnsi="Times New Roman" w:eastAsia="楷体_GB2312" w:cs="Times New Roman"/>
          <w:color w:val="auto"/>
          <w:sz w:val="32"/>
          <w:lang w:eastAsia="zh-CN"/>
        </w:rPr>
      </w:pPr>
      <w:r>
        <w:rPr>
          <w:rFonts w:hint="default" w:ascii="Times New Roman" w:hAnsi="Times New Roman" w:eastAsia="楷体_GB2312" w:cs="Times New Roman"/>
          <w:b w:val="0"/>
          <w:bCs w:val="0"/>
          <w:color w:val="auto"/>
          <w:sz w:val="32"/>
          <w:lang w:val="en-US" w:eastAsia="zh-CN"/>
        </w:rPr>
        <w:t>（一）</w:t>
      </w:r>
      <w:r>
        <w:rPr>
          <w:rFonts w:hint="default" w:ascii="Times New Roman" w:hAnsi="Times New Roman" w:eastAsia="楷体_GB2312" w:cs="Times New Roman"/>
          <w:b w:val="0"/>
          <w:bCs w:val="0"/>
          <w:color w:val="auto"/>
          <w:sz w:val="32"/>
          <w:lang w:eastAsia="zh-CN"/>
        </w:rPr>
        <w:t>党的建设不断加强。</w:t>
      </w:r>
      <w:r>
        <w:rPr>
          <w:rFonts w:hint="default" w:ascii="Times New Roman" w:hAnsi="Times New Roman" w:eastAsia="仿宋_GB2312" w:cs="Times New Roman"/>
          <w:b/>
          <w:bCs/>
          <w:color w:val="auto"/>
          <w:sz w:val="32"/>
          <w:szCs w:val="32"/>
          <w:lang w:val="en-US" w:eastAsia="zh-CN"/>
        </w:rPr>
        <w:t>思想建设有提升。</w:t>
      </w:r>
      <w:r>
        <w:rPr>
          <w:rFonts w:hint="default" w:ascii="Times New Roman" w:hAnsi="Times New Roman" w:eastAsia="仿宋_GB2312" w:cs="Times New Roman"/>
          <w:color w:val="auto"/>
          <w:sz w:val="32"/>
          <w:szCs w:val="32"/>
          <w:lang w:val="en-US" w:eastAsia="zh-CN"/>
        </w:rPr>
        <w:t>全年开展党委理论中心组学习12次，领导干部上党课15次，先后在中央、省、市、区级媒体上稿150余篇，</w:t>
      </w:r>
      <w:r>
        <w:rPr>
          <w:rFonts w:hint="default" w:ascii="Times New Roman" w:hAnsi="Times New Roman" w:eastAsia="仿宋_GB2312" w:cs="Times New Roman"/>
          <w:b w:val="0"/>
          <w:bCs/>
          <w:color w:val="auto"/>
          <w:sz w:val="32"/>
          <w:szCs w:val="32"/>
          <w:lang w:val="en-US" w:eastAsia="zh-CN"/>
        </w:rPr>
        <w:t>网络舆情管控有力，学习强国覆盖率达85%以上，建设新时代文明实践站6个，党员干部“四个意识”“两个维护”更加坚定</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color w:val="auto"/>
          <w:sz w:val="32"/>
          <w:lang w:eastAsia="zh-CN"/>
        </w:rPr>
        <w:t>基层组织</w:t>
      </w:r>
      <w:r>
        <w:rPr>
          <w:rFonts w:hint="default" w:ascii="Times New Roman" w:hAnsi="Times New Roman" w:eastAsia="仿宋_GB2312" w:cs="Times New Roman"/>
          <w:b/>
          <w:bCs/>
          <w:color w:val="auto"/>
          <w:sz w:val="32"/>
          <w:lang w:val="en-US" w:eastAsia="zh-CN"/>
        </w:rPr>
        <w:t>更牢固</w:t>
      </w:r>
      <w:r>
        <w:rPr>
          <w:rFonts w:hint="default" w:ascii="Times New Roman" w:hAnsi="Times New Roman" w:eastAsia="仿宋_GB2312" w:cs="Times New Roman"/>
          <w:b/>
          <w:bCs/>
          <w:color w:val="auto"/>
          <w:sz w:val="32"/>
          <w:lang w:eastAsia="zh-CN"/>
        </w:rPr>
        <w:t>。</w:t>
      </w:r>
      <w:r>
        <w:rPr>
          <w:rFonts w:hint="default" w:ascii="Times New Roman" w:hAnsi="Times New Roman" w:eastAsia="仿宋_GB2312" w:cs="Times New Roman"/>
          <w:b w:val="0"/>
          <w:bCs w:val="0"/>
          <w:color w:val="auto"/>
          <w:position w:val="0"/>
          <w:sz w:val="32"/>
          <w:szCs w:val="32"/>
          <w:highlight w:val="none"/>
          <w:lang w:val="en-US" w:eastAsia="zh-CN"/>
        </w:rPr>
        <w:t>圆满完成6个村（社区）党组织换届选举工作。</w:t>
      </w:r>
      <w:r>
        <w:rPr>
          <w:rFonts w:hint="default" w:ascii="Times New Roman" w:hAnsi="Times New Roman" w:eastAsia="仿宋_GB2312" w:cs="Times New Roman"/>
          <w:bCs/>
          <w:color w:val="auto"/>
          <w:sz w:val="32"/>
          <w:szCs w:val="32"/>
          <w:lang w:val="en-US" w:eastAsia="zh-CN"/>
        </w:rPr>
        <w:t>严格</w:t>
      </w:r>
      <w:r>
        <w:rPr>
          <w:rFonts w:hint="default" w:ascii="Times New Roman" w:hAnsi="Times New Roman" w:eastAsia="仿宋_GB2312" w:cs="Times New Roman"/>
          <w:color w:val="auto"/>
          <w:kern w:val="0"/>
          <w:sz w:val="32"/>
          <w:szCs w:val="32"/>
          <w:lang w:val="en-US" w:eastAsia="zh-CN" w:bidi="ar-SA"/>
        </w:rPr>
        <w:t>执行党建工作旬例会月督察季考核制度，高质量开展</w:t>
      </w:r>
      <w:r>
        <w:rPr>
          <w:rFonts w:hint="default" w:ascii="Times New Roman" w:hAnsi="Times New Roman" w:eastAsia="仿宋_GB2312" w:cs="Times New Roman"/>
          <w:b w:val="0"/>
          <w:bCs w:val="0"/>
          <w:color w:val="auto"/>
          <w:position w:val="0"/>
          <w:sz w:val="32"/>
          <w:szCs w:val="32"/>
          <w:lang w:val="en-US" w:eastAsia="zh-CN"/>
        </w:rPr>
        <w:t>“三会一课”、“四位一体”、主题党日活动、专题组织生活会、双述双评等工作。</w:t>
      </w:r>
      <w:r>
        <w:rPr>
          <w:rFonts w:hint="default" w:ascii="Times New Roman" w:hAnsi="Times New Roman" w:eastAsia="仿宋_GB2312" w:cs="Times New Roman"/>
          <w:color w:val="auto"/>
          <w:spacing w:val="2"/>
          <w:kern w:val="32"/>
          <w:sz w:val="32"/>
          <w:szCs w:val="32"/>
          <w:lang w:val="en-US" w:eastAsia="zh-CN"/>
        </w:rPr>
        <w:t>北胜村软弱涣散党组织对标摘帽，</w:t>
      </w:r>
      <w:r>
        <w:rPr>
          <w:rFonts w:hint="default" w:ascii="Times New Roman" w:hAnsi="Times New Roman" w:eastAsia="仿宋_GB2312" w:cs="Times New Roman"/>
          <w:b w:val="0"/>
          <w:bCs w:val="0"/>
          <w:color w:val="auto"/>
          <w:position w:val="0"/>
          <w:sz w:val="32"/>
          <w:szCs w:val="32"/>
          <w:lang w:val="en-US" w:eastAsia="zh-CN"/>
        </w:rPr>
        <w:t>高标准建成小区党群服务站，3个党支部获评示范五化支部。</w:t>
      </w:r>
      <w:r>
        <w:rPr>
          <w:rFonts w:hint="default" w:ascii="Times New Roman" w:hAnsi="Times New Roman" w:eastAsia="仿宋_GB2312" w:cs="Times New Roman"/>
          <w:color w:val="auto"/>
          <w:sz w:val="32"/>
          <w:lang w:eastAsia="zh-CN"/>
        </w:rPr>
        <w:t>率先实现基层公共服务（一门式）全覆盖，</w:t>
      </w:r>
      <w:r>
        <w:rPr>
          <w:rFonts w:hint="default" w:ascii="Times New Roman" w:hAnsi="Times New Roman" w:eastAsia="仿宋_GB2312" w:cs="Times New Roman"/>
          <w:color w:val="auto"/>
          <w:sz w:val="32"/>
          <w:lang w:val="en-US" w:eastAsia="zh-CN"/>
        </w:rPr>
        <w:t>高标准</w:t>
      </w:r>
      <w:r>
        <w:rPr>
          <w:rFonts w:hint="default" w:ascii="Times New Roman" w:hAnsi="Times New Roman" w:eastAsia="仿宋_GB2312" w:cs="Times New Roman"/>
          <w:color w:val="auto"/>
          <w:sz w:val="32"/>
          <w:lang w:eastAsia="zh-CN"/>
        </w:rPr>
        <w:t>建成镇</w:t>
      </w:r>
      <w:r>
        <w:rPr>
          <w:rFonts w:hint="default" w:ascii="Times New Roman" w:hAnsi="Times New Roman" w:eastAsia="仿宋_GB2312" w:cs="Times New Roman"/>
          <w:color w:val="auto"/>
          <w:sz w:val="32"/>
          <w:lang w:val="en-US" w:eastAsia="zh-CN"/>
        </w:rPr>
        <w:t>党群和</w:t>
      </w:r>
      <w:r>
        <w:rPr>
          <w:rFonts w:hint="default" w:ascii="Times New Roman" w:hAnsi="Times New Roman" w:eastAsia="仿宋_GB2312" w:cs="Times New Roman"/>
          <w:color w:val="auto"/>
          <w:sz w:val="32"/>
          <w:lang w:eastAsia="zh-CN"/>
        </w:rPr>
        <w:t>政务服务</w:t>
      </w:r>
      <w:r>
        <w:rPr>
          <w:rFonts w:hint="default" w:ascii="Times New Roman" w:hAnsi="Times New Roman" w:eastAsia="仿宋_GB2312" w:cs="Times New Roman"/>
          <w:color w:val="auto"/>
          <w:sz w:val="32"/>
          <w:lang w:val="en-US" w:eastAsia="zh-CN"/>
        </w:rPr>
        <w:t>大厅</w:t>
      </w:r>
      <w:r>
        <w:rPr>
          <w:rFonts w:hint="default" w:ascii="Times New Roman" w:hAnsi="Times New Roman" w:eastAsia="仿宋_GB2312" w:cs="Times New Roman"/>
          <w:color w:val="auto"/>
          <w:sz w:val="32"/>
          <w:lang w:eastAsia="zh-CN"/>
        </w:rPr>
        <w:t>，累计办理群众服务事项万余人次。</w:t>
      </w:r>
      <w:r>
        <w:rPr>
          <w:rFonts w:hint="default" w:ascii="Times New Roman" w:hAnsi="Times New Roman" w:eastAsia="仿宋_GB2312" w:cs="Times New Roman"/>
          <w:color w:val="auto"/>
          <w:sz w:val="32"/>
          <w:szCs w:val="32"/>
          <w:highlight w:val="none"/>
          <w:lang w:val="en-US" w:eastAsia="zh-CN"/>
        </w:rPr>
        <w:t>村级集体经济逐年增加，向阳村省级扶持壮大集体经济项目达到预期收益</w:t>
      </w:r>
      <w:r>
        <w:rPr>
          <w:rFonts w:hint="default" w:ascii="Times New Roman" w:hAnsi="Times New Roman" w:eastAsia="仿宋_GB2312" w:cs="Times New Roman"/>
          <w:b w:val="0"/>
          <w:bCs w:val="0"/>
          <w:color w:val="auto"/>
          <w:position w:val="0"/>
          <w:sz w:val="32"/>
          <w:szCs w:val="32"/>
          <w:highlight w:val="none"/>
          <w:lang w:val="en-US" w:eastAsia="zh-CN"/>
        </w:rPr>
        <w:t>。</w:t>
      </w:r>
      <w:r>
        <w:rPr>
          <w:rFonts w:hint="default" w:ascii="Times New Roman" w:hAnsi="Times New Roman" w:eastAsia="仿宋_GB2312" w:cs="Times New Roman"/>
          <w:b/>
          <w:bCs/>
          <w:color w:val="auto"/>
          <w:position w:val="0"/>
          <w:sz w:val="32"/>
          <w:szCs w:val="32"/>
          <w:highlight w:val="none"/>
          <w:lang w:val="en-US" w:eastAsia="zh-CN"/>
        </w:rPr>
        <w:t>队</w:t>
      </w:r>
      <w:r>
        <w:rPr>
          <w:rFonts w:hint="default" w:ascii="Times New Roman" w:hAnsi="Times New Roman" w:eastAsia="仿宋_GB2312" w:cs="Times New Roman"/>
          <w:b/>
          <w:bCs/>
          <w:color w:val="auto"/>
          <w:position w:val="0"/>
          <w:sz w:val="32"/>
          <w:szCs w:val="32"/>
          <w:lang w:val="en-US" w:eastAsia="zh-CN"/>
        </w:rPr>
        <w:t>伍管理有实招。</w:t>
      </w:r>
      <w:r>
        <w:rPr>
          <w:rFonts w:hint="default" w:ascii="Times New Roman" w:hAnsi="Times New Roman" w:eastAsia="仿宋_GB2312" w:cs="Times New Roman"/>
          <w:color w:val="auto"/>
          <w:spacing w:val="2"/>
          <w:kern w:val="32"/>
          <w:sz w:val="32"/>
          <w:szCs w:val="32"/>
          <w:lang w:val="en-US" w:eastAsia="zh-CN"/>
        </w:rPr>
        <w:t>全年培养入党积极分子8名，发展新党员7名，转正党员6名</w:t>
      </w:r>
      <w:r>
        <w:rPr>
          <w:rFonts w:hint="default" w:ascii="Times New Roman" w:hAnsi="Times New Roman" w:eastAsia="仿宋_GB2312" w:cs="Times New Roman"/>
          <w:b w:val="0"/>
          <w:bCs w:val="0"/>
          <w:color w:val="auto"/>
          <w:position w:val="0"/>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坚持“每月一考”和“十二分”党员量化积分管理、在职党员进社区、党员按月缴纳党费等制度，党员教育和管理不断增强。坚持党建引领，组织开展“党建+志愿服务”活动40余次，号召党员群众自愿捐款13万余元抗大疫，积极动员广大党员干部投身疫情防控、脱贫攻坚、防汛抗旱、农村人居环境整治、信访维稳等重点中心工作一线，党员身份意识、责任意识和服务意识不断提高。</w:t>
      </w:r>
      <w:r>
        <w:rPr>
          <w:rFonts w:hint="default" w:ascii="Times New Roman" w:hAnsi="Times New Roman" w:eastAsia="仿宋_GB2312" w:cs="Times New Roman"/>
          <w:b/>
          <w:bCs/>
          <w:color w:val="auto"/>
          <w:sz w:val="32"/>
          <w:szCs w:val="32"/>
          <w:lang w:val="en-US" w:eastAsia="zh-CN"/>
        </w:rPr>
        <w:t>党风廉政有实效。</w:t>
      </w:r>
      <w:r>
        <w:rPr>
          <w:rFonts w:hint="default" w:ascii="Times New Roman" w:hAnsi="Times New Roman" w:eastAsia="仿宋_GB2312" w:cs="Times New Roman"/>
          <w:b w:val="0"/>
          <w:bCs w:val="0"/>
          <w:color w:val="auto"/>
          <w:sz w:val="32"/>
          <w:szCs w:val="32"/>
          <w:lang w:val="en-US" w:eastAsia="zh-CN"/>
        </w:rPr>
        <w:t>坚持正风肃纪不停步，全年开展谈心谈话180余人次，开展“四风”问题专项检查20次，</w:t>
      </w:r>
      <w:r>
        <w:rPr>
          <w:rFonts w:hint="eastAsia" w:ascii="Times New Roman" w:hAnsi="Times New Roman" w:eastAsia="仿宋_GB2312" w:cs="Times New Roman"/>
          <w:b w:val="0"/>
          <w:bCs w:val="0"/>
          <w:color w:val="auto"/>
          <w:sz w:val="32"/>
          <w:szCs w:val="32"/>
          <w:lang w:val="en-US" w:eastAsia="zh-CN"/>
        </w:rPr>
        <w:t>通报批评5人，</w:t>
      </w:r>
      <w:r>
        <w:rPr>
          <w:rFonts w:hint="default" w:ascii="Times New Roman" w:hAnsi="Times New Roman" w:eastAsia="仿宋_GB2312" w:cs="Times New Roman"/>
          <w:b w:val="0"/>
          <w:bCs w:val="0"/>
          <w:color w:val="auto"/>
          <w:sz w:val="32"/>
          <w:szCs w:val="32"/>
          <w:lang w:val="en-US" w:eastAsia="zh-CN"/>
        </w:rPr>
        <w:t>采取诫勉谈话、谈话提醒、约谈、批评教育等方式处理干部19人次，受理办结来信来访9件，立案5件，结案5件，查处党员干部5人，收缴违纪资金1.2万余元，组织百名党员干部参观益阳市反腐倡廉警示教育基地。针对区委巡察反馈的3大类13项问题制定整改方案和整改措施，目前各项问题正在有序整改。</w:t>
      </w:r>
    </w:p>
    <w:p>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textAlignment w:val="auto"/>
        <w:outlineLvl w:val="9"/>
        <w:rPr>
          <w:rFonts w:hint="default" w:ascii="Times New Roman" w:hAnsi="Times New Roman" w:eastAsia="仿宋_GB2312" w:cs="Times New Roman"/>
          <w:color w:val="auto"/>
          <w:sz w:val="32"/>
          <w:highlight w:val="none"/>
          <w:lang w:eastAsia="zh-CN"/>
        </w:rPr>
      </w:pPr>
      <w:r>
        <w:rPr>
          <w:rFonts w:hint="default" w:ascii="Times New Roman" w:hAnsi="Times New Roman" w:eastAsia="楷体_GB2312" w:cs="Times New Roman"/>
          <w:b w:val="0"/>
          <w:bCs w:val="0"/>
          <w:color w:val="auto"/>
          <w:sz w:val="32"/>
          <w:lang w:val="en-US" w:eastAsia="zh-CN"/>
        </w:rPr>
        <w:t>（二）产业经济向好发展。</w:t>
      </w:r>
      <w:r>
        <w:rPr>
          <w:rFonts w:hint="default" w:ascii="Times New Roman" w:hAnsi="Times New Roman" w:eastAsia="仿宋_GB2312" w:cs="Times New Roman"/>
          <w:color w:val="auto"/>
          <w:sz w:val="32"/>
          <w:lang w:eastAsia="zh-CN"/>
        </w:rPr>
        <w:t>经济指标稳中有进，</w:t>
      </w:r>
      <w:r>
        <w:rPr>
          <w:rFonts w:hint="default" w:ascii="Times New Roman" w:hAnsi="Times New Roman" w:eastAsia="仿宋_GB2312" w:cs="Times New Roman"/>
          <w:color w:val="auto"/>
          <w:sz w:val="32"/>
          <w:highlight w:val="none"/>
          <w:lang w:eastAsia="zh-CN"/>
        </w:rPr>
        <w:t>全年实现财税收入</w:t>
      </w:r>
      <w:r>
        <w:rPr>
          <w:rFonts w:hint="default" w:ascii="Times New Roman" w:hAnsi="Times New Roman" w:eastAsia="仿宋_GB2312" w:cs="Times New Roman"/>
          <w:color w:val="auto"/>
          <w:sz w:val="32"/>
          <w:highlight w:val="none"/>
          <w:lang w:val="en-US" w:eastAsia="zh-CN"/>
        </w:rPr>
        <w:t>2052</w:t>
      </w:r>
      <w:r>
        <w:rPr>
          <w:rFonts w:hint="default" w:ascii="Times New Roman" w:hAnsi="Times New Roman" w:eastAsia="仿宋_GB2312" w:cs="Times New Roman"/>
          <w:color w:val="auto"/>
          <w:sz w:val="32"/>
          <w:highlight w:val="none"/>
          <w:lang w:eastAsia="zh-CN"/>
        </w:rPr>
        <w:t>万元，同比增长</w:t>
      </w:r>
      <w:r>
        <w:rPr>
          <w:rFonts w:hint="default" w:ascii="Times New Roman" w:hAnsi="Times New Roman" w:eastAsia="仿宋_GB2312" w:cs="Times New Roman"/>
          <w:color w:val="auto"/>
          <w:sz w:val="32"/>
          <w:highlight w:val="none"/>
          <w:lang w:val="en-US" w:eastAsia="zh-CN"/>
        </w:rPr>
        <w:t>17.4</w:t>
      </w:r>
      <w:r>
        <w:rPr>
          <w:rFonts w:hint="default" w:ascii="Times New Roman" w:hAnsi="Times New Roman" w:eastAsia="仿宋_GB2312" w:cs="Times New Roman"/>
          <w:color w:val="auto"/>
          <w:sz w:val="32"/>
          <w:highlight w:val="none"/>
          <w:lang w:eastAsia="zh-CN"/>
        </w:rPr>
        <w:t>%。地区生产总值、规模以上工业总产值、农业生产总值、城乡居民人均可支配收入同比分别增长12%、10%、3.8%、12%。固定资产投资1.</w:t>
      </w:r>
      <w:r>
        <w:rPr>
          <w:rFonts w:hint="default" w:ascii="Times New Roman" w:hAnsi="Times New Roman"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lang w:eastAsia="zh-CN"/>
        </w:rPr>
        <w:t>亿元。新增限上企业3家，签约企业2个。金健粮食、昌盛建筑、德星纺织等规模企业实现产值2亿余元。众仁旺公司实现产值2.5亿余元。全年落实粮食播种面积4.3万亩、稻虾种养1.91万亩、订单优质稻生产基地1500亩、大闸蟹示范基地400亩。国有农用地清理整治面积</w:t>
      </w:r>
      <w:r>
        <w:rPr>
          <w:rFonts w:hint="default" w:ascii="Times New Roman" w:hAnsi="Times New Roman" w:eastAsia="仿宋_GB2312" w:cs="Times New Roman"/>
          <w:color w:val="auto"/>
          <w:sz w:val="32"/>
          <w:highlight w:val="none"/>
          <w:lang w:val="en-US" w:eastAsia="zh-CN"/>
        </w:rPr>
        <w:t>706.4</w:t>
      </w:r>
      <w:r>
        <w:rPr>
          <w:rFonts w:hint="default" w:ascii="Times New Roman" w:hAnsi="Times New Roman" w:eastAsia="仿宋_GB2312" w:cs="Times New Roman"/>
          <w:color w:val="auto"/>
          <w:sz w:val="32"/>
          <w:highlight w:val="none"/>
          <w:lang w:eastAsia="zh-CN"/>
        </w:rPr>
        <w:t>亩，收回欠款</w:t>
      </w:r>
      <w:r>
        <w:rPr>
          <w:rFonts w:hint="default" w:ascii="Times New Roman" w:hAnsi="Times New Roman" w:eastAsia="仿宋_GB2312" w:cs="Times New Roman"/>
          <w:color w:val="auto"/>
          <w:sz w:val="32"/>
          <w:highlight w:val="none"/>
          <w:lang w:val="en-US" w:eastAsia="zh-CN"/>
        </w:rPr>
        <w:t>51.4</w:t>
      </w:r>
      <w:r>
        <w:rPr>
          <w:rFonts w:hint="default" w:ascii="Times New Roman" w:hAnsi="Times New Roman" w:eastAsia="仿宋_GB2312" w:cs="Times New Roman"/>
          <w:color w:val="auto"/>
          <w:sz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楷体_GB2312" w:cs="Times New Roman"/>
          <w:b w:val="0"/>
          <w:bCs w:val="0"/>
          <w:color w:val="auto"/>
          <w:sz w:val="32"/>
          <w:lang w:val="en-US" w:eastAsia="zh-CN"/>
        </w:rPr>
        <w:t>（三）基础设施逐步完善。</w:t>
      </w:r>
      <w:r>
        <w:rPr>
          <w:rFonts w:hint="default" w:ascii="Times New Roman" w:hAnsi="Times New Roman" w:eastAsia="仿宋_GB2312" w:cs="Times New Roman"/>
          <w:b w:val="0"/>
          <w:bCs w:val="0"/>
          <w:color w:val="auto"/>
          <w:sz w:val="32"/>
          <w:lang w:eastAsia="zh-CN"/>
        </w:rPr>
        <w:t>通用机场建设完成坟墓迁移工作。</w:t>
      </w:r>
      <w:r>
        <w:rPr>
          <w:rFonts w:hint="default" w:ascii="Times New Roman" w:hAnsi="Times New Roman" w:eastAsia="仿宋_GB2312" w:cs="Times New Roman"/>
          <w:color w:val="auto"/>
          <w:sz w:val="32"/>
          <w:lang w:eastAsia="zh-CN"/>
        </w:rPr>
        <w:t>全年维修道路7公里、新建农村公路4公里、窄路加宽0.8公里，维修危桥3座。整治道路交通顽瘴痼疾30余处，安装减速带、警示牌31处。“空心房”整治30个地块，复垦面积50余亩。完成农村安全饮水工程、向阳村高标准农田建设、镇足球场建设及北干堤指挥部、二电排穿堤建筑物、东大堤防鼠墙维修改造，镇村级泵站维修25处、涵闸9处。</w:t>
      </w:r>
    </w:p>
    <w:p>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lang w:val="en-US" w:eastAsia="zh-CN"/>
        </w:rPr>
        <w:t>（四）生态环境持续美化。</w:t>
      </w:r>
      <w:r>
        <w:rPr>
          <w:rFonts w:hint="default" w:ascii="Times New Roman" w:hAnsi="Times New Roman" w:eastAsia="仿宋_GB2312" w:cs="Times New Roman"/>
          <w:color w:val="auto"/>
          <w:sz w:val="32"/>
          <w:lang w:eastAsia="zh-CN"/>
        </w:rPr>
        <w:t>常态化开展污染防治攻坚、河长制、农村人居环境整治。清淤疏浚</w:t>
      </w:r>
      <w:r>
        <w:rPr>
          <w:rFonts w:hint="default" w:ascii="Times New Roman" w:hAnsi="Times New Roman" w:eastAsia="仿宋_GB2312" w:cs="Times New Roman"/>
          <w:color w:val="auto"/>
          <w:sz w:val="32"/>
          <w:lang w:val="en-US" w:eastAsia="zh-CN"/>
        </w:rPr>
        <w:t>小微</w:t>
      </w:r>
      <w:r>
        <w:rPr>
          <w:rFonts w:hint="default" w:ascii="Times New Roman" w:hAnsi="Times New Roman" w:eastAsia="仿宋_GB2312" w:cs="Times New Roman"/>
          <w:color w:val="auto"/>
          <w:sz w:val="32"/>
          <w:lang w:eastAsia="zh-CN"/>
        </w:rPr>
        <w:t>型沟渠86.43公里、小型塘坝5处，</w:t>
      </w:r>
      <w:r>
        <w:rPr>
          <w:rFonts w:hint="eastAsia" w:ascii="Times New Roman" w:hAnsi="Times New Roman" w:eastAsia="仿宋_GB2312" w:cs="Times New Roman"/>
          <w:color w:val="auto"/>
          <w:sz w:val="32"/>
          <w:lang w:eastAsia="zh-CN"/>
        </w:rPr>
        <w:t>清理水葫芦</w:t>
      </w:r>
      <w:r>
        <w:rPr>
          <w:rFonts w:hint="eastAsia" w:ascii="Times New Roman" w:hAnsi="Times New Roman" w:eastAsia="仿宋_GB2312" w:cs="Times New Roman"/>
          <w:color w:val="auto"/>
          <w:sz w:val="32"/>
          <w:lang w:val="en-US" w:eastAsia="zh-CN"/>
        </w:rPr>
        <w:t>等水面漂浮物150余吨，</w:t>
      </w:r>
      <w:r>
        <w:rPr>
          <w:rFonts w:hint="default" w:ascii="Times New Roman" w:hAnsi="Times New Roman" w:eastAsia="仿宋_GB2312" w:cs="Times New Roman"/>
          <w:color w:val="auto"/>
          <w:sz w:val="32"/>
          <w:lang w:eastAsia="zh-CN"/>
        </w:rPr>
        <w:t>完成东风渠向阳村段示范渠创建，向阳河种草项目高质量推进</w:t>
      </w:r>
      <w:r>
        <w:rPr>
          <w:rFonts w:hint="default"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eastAsia="zh-CN"/>
        </w:rPr>
        <w:t>落实稻虾田特护期尾水管控措施。秸秆禁烧成效明显。</w:t>
      </w:r>
      <w:r>
        <w:rPr>
          <w:rFonts w:hint="default" w:ascii="Times New Roman" w:hAnsi="Times New Roman" w:eastAsia="仿宋_GB2312" w:cs="Times New Roman"/>
          <w:color w:val="auto"/>
          <w:sz w:val="32"/>
          <w:highlight w:val="none"/>
          <w:lang w:eastAsia="zh-CN"/>
        </w:rPr>
        <w:t>农村改厕638个，公厕改造4处。向东村集中污水处理和“五结合”</w:t>
      </w:r>
      <w:r>
        <w:rPr>
          <w:rFonts w:hint="default" w:ascii="Times New Roman" w:hAnsi="Times New Roman" w:eastAsia="仿宋_GB2312" w:cs="Times New Roman"/>
          <w:color w:val="auto"/>
          <w:sz w:val="32"/>
          <w:lang w:eastAsia="zh-CN"/>
        </w:rPr>
        <w:t>项目、向阳村生活污水治理、镇农业面源污染治理项目和污水管网改造三期工程已完工，污水处理厂提质改造</w:t>
      </w:r>
      <w:r>
        <w:rPr>
          <w:rFonts w:hint="default" w:ascii="Times New Roman" w:hAnsi="Times New Roman" w:eastAsia="仿宋_GB2312" w:cs="Times New Roman"/>
          <w:b w:val="0"/>
          <w:bCs w:val="0"/>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lang w:val="en-US" w:eastAsia="zh-CN"/>
        </w:rPr>
        <w:t>污水管网改造PPP工程扫尾。</w:t>
      </w:r>
      <w:r>
        <w:rPr>
          <w:rFonts w:hint="default" w:ascii="Times New Roman" w:hAnsi="Times New Roman" w:eastAsia="仿宋_GB2312" w:cs="Times New Roman"/>
          <w:color w:val="auto"/>
          <w:sz w:val="32"/>
          <w:lang w:eastAsia="zh-CN"/>
        </w:rPr>
        <w:t>完成测土配方施肥7.4万亩、统防统治4.07万亩、绿色防控3.84万亩，紫云英种植7800亩。</w:t>
      </w:r>
      <w:r>
        <w:rPr>
          <w:rFonts w:hint="default" w:ascii="Times New Roman" w:hAnsi="Times New Roman" w:eastAsia="仿宋_GB2312" w:cs="Times New Roman"/>
          <w:color w:val="auto"/>
          <w:sz w:val="32"/>
          <w:szCs w:val="32"/>
          <w:lang w:val="en-US" w:eastAsia="zh-CN"/>
        </w:rPr>
        <w:t>抓好禁捕退捕，完成渔民认定，渔具评估、补偿、安置等工作。昌盛建筑环保问题、“千吨万人”饮用水源6个问题对标整改。</w:t>
      </w:r>
    </w:p>
    <w:p>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楷体_GB2312" w:cs="Times New Roman"/>
          <w:b w:val="0"/>
          <w:bCs w:val="0"/>
          <w:color w:val="auto"/>
          <w:sz w:val="32"/>
          <w:lang w:val="en-US" w:eastAsia="zh-CN"/>
        </w:rPr>
        <w:t>（五）民生福祉全力保障。</w:t>
      </w:r>
      <w:r>
        <w:rPr>
          <w:rFonts w:hint="default" w:ascii="Times New Roman" w:hAnsi="Times New Roman" w:eastAsia="仿宋_GB2312" w:cs="Times New Roman"/>
          <w:color w:val="auto"/>
          <w:sz w:val="32"/>
          <w:lang w:eastAsia="zh-CN"/>
        </w:rPr>
        <w:t>疫情防控取得阶段性胜利。完成扶贫资金使用项目16个，18户26名贫困户如期脱贫。全年累计发放低保、五保等补助资金</w:t>
      </w:r>
      <w:r>
        <w:rPr>
          <w:rFonts w:hint="default" w:ascii="Times New Roman" w:hAnsi="Times New Roman" w:eastAsia="仿宋_GB2312" w:cs="Times New Roman"/>
          <w:color w:val="auto"/>
          <w:sz w:val="32"/>
          <w:lang w:val="en-US" w:eastAsia="zh-CN"/>
        </w:rPr>
        <w:t>200余万元。</w:t>
      </w:r>
      <w:r>
        <w:rPr>
          <w:rFonts w:hint="default" w:ascii="Times New Roman" w:hAnsi="Times New Roman" w:eastAsia="仿宋_GB2312" w:cs="Times New Roman"/>
          <w:color w:val="auto"/>
          <w:sz w:val="32"/>
          <w:lang w:eastAsia="zh-CN"/>
        </w:rPr>
        <w:t>新增城镇就业266人，农民工技能培训500人。殡葬改革全面推进，百孝陵园投入运行。镇中学教学楼新建和食堂改造完工。完成堤防管理接管和3000余户确权颁证外业调查工作。</w:t>
      </w:r>
      <w:r>
        <w:rPr>
          <w:rFonts w:hint="default" w:ascii="Times New Roman" w:hAnsi="Times New Roman" w:eastAsia="仿宋_GB2312" w:cs="Times New Roman"/>
          <w:color w:val="auto"/>
          <w:sz w:val="32"/>
          <w:szCs w:val="32"/>
          <w:lang w:val="en-US" w:eastAsia="zh-CN"/>
        </w:rPr>
        <w:t>多措并举筑牢防溺水“安全网”。</w:t>
      </w:r>
      <w:r>
        <w:rPr>
          <w:rFonts w:hint="default" w:ascii="Times New Roman" w:hAnsi="Times New Roman" w:eastAsia="仿宋_GB2312" w:cs="Times New Roman"/>
          <w:color w:val="auto"/>
          <w:sz w:val="32"/>
          <w:lang w:eastAsia="zh-CN"/>
        </w:rPr>
        <w:t>防汛抗洪实现“五个确保”。稳步推进信访“三无乡镇”创建</w:t>
      </w:r>
      <w:r>
        <w:rPr>
          <w:rFonts w:hint="default" w:ascii="Times New Roman" w:hAnsi="Times New Roman" w:eastAsia="仿宋_GB2312" w:cs="Times New Roman"/>
          <w:color w:val="auto"/>
          <w:sz w:val="32"/>
          <w:lang w:val="en-US" w:eastAsia="zh-CN"/>
        </w:rPr>
        <w:t>，获评市级平安乡镇。安全生产形势稳定，</w:t>
      </w:r>
      <w:r>
        <w:rPr>
          <w:rFonts w:hint="default" w:ascii="Times New Roman" w:hAnsi="Times New Roman" w:eastAsia="仿宋_GB2312" w:cs="Times New Roman"/>
          <w:color w:val="auto"/>
          <w:sz w:val="32"/>
          <w:lang w:eastAsia="zh-CN"/>
        </w:rPr>
        <w:t>成功创建市级安全生产示范乡镇。</w:t>
      </w:r>
    </w:p>
    <w:p>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textAlignment w:val="auto"/>
        <w:outlineLvl w:val="9"/>
        <w:rPr>
          <w:rFonts w:hint="eastAsia" w:eastAsia="仿宋_GB2312" w:cs="仿宋_GB2312"/>
          <w:color w:val="000000"/>
          <w:sz w:val="32"/>
          <w:szCs w:val="32"/>
        </w:rPr>
      </w:pPr>
      <w:r>
        <w:rPr>
          <w:rFonts w:hint="default" w:ascii="Times New Roman" w:hAnsi="Times New Roman" w:eastAsia="仿宋_GB2312" w:cs="Times New Roman"/>
          <w:color w:val="auto"/>
          <w:sz w:val="32"/>
          <w:lang w:val="en-US" w:eastAsia="zh-CN"/>
        </w:rPr>
        <w:t>同时，我们还支持人大代表依法履职，政协代表依法监督，统一战线和民族宗教取得新进展，党管武装得到加强，基层民主不断发展，工会、妇联、共青团工作硕果累累，获评“湖南省百佳乡镇工会”、</w:t>
      </w:r>
      <w:r>
        <w:rPr>
          <w:rFonts w:hint="default" w:ascii="Times New Roman" w:hAnsi="Times New Roman" w:eastAsia="仿宋_GB2312" w:cs="Times New Roman"/>
          <w:color w:val="auto"/>
          <w:kern w:val="2"/>
          <w:sz w:val="32"/>
          <w:szCs w:val="32"/>
          <w:lang w:val="en-US" w:eastAsia="zh-CN" w:bidi="ar-SA"/>
        </w:rPr>
        <w:t>“湖南省‘七彩假期’优秀志愿服务队”</w:t>
      </w:r>
      <w:r>
        <w:rPr>
          <w:rFonts w:hint="default" w:ascii="Times New Roman" w:hAnsi="Times New Roman" w:eastAsia="仿宋_GB2312" w:cs="Times New Roman"/>
          <w:color w:val="auto"/>
          <w:sz w:val="32"/>
          <w:lang w:val="en-US" w:eastAsia="zh-CN"/>
        </w:rPr>
        <w:t>等荣誉。</w:t>
      </w:r>
    </w:p>
    <w:p>
      <w:pPr>
        <w:keepNext w:val="0"/>
        <w:keepLines w:val="0"/>
        <w:pageBreakBefore w:val="0"/>
        <w:numPr>
          <w:ilvl w:val="0"/>
          <w:numId w:val="5"/>
        </w:numPr>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存在的问题</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发展动能还不足，规模企业保运转艰难，传统产业转型困难，产业链条延伸不足，招商引资项目落地率低。二是民生领域还有短板，脱贫攻坚、生态环保、安全稳定任务繁重，教育、医疗等公共服务还不够健全。三是党的建设还有薄弱环节，少数基层党组织战斗堡垒作用发挥还不够，少数干部不想为、不敢为、不善为现象客观存在。</w:t>
      </w:r>
    </w:p>
    <w:p>
      <w:pPr>
        <w:pStyle w:val="5"/>
        <w:ind w:left="0" w:leftChars="0" w:firstLine="0" w:firstLineChars="0"/>
        <w:rPr>
          <w:rFonts w:hint="eastAsia"/>
          <w:b w:val="0"/>
          <w:bCs w:val="0"/>
          <w:highlight w:val="none"/>
          <w:lang w:eastAsia="zh-CN"/>
        </w:rPr>
      </w:pPr>
    </w:p>
    <w:p>
      <w:pPr>
        <w:pStyle w:val="5"/>
        <w:rPr>
          <w:rFonts w:hint="eastAsia"/>
          <w:b w:val="0"/>
          <w:bCs w:val="0"/>
          <w:highlight w:val="none"/>
          <w:lang w:val="en-US" w:eastAsia="zh-CN"/>
        </w:rPr>
      </w:pPr>
      <w:r>
        <w:rPr>
          <w:rFonts w:hint="eastAsia"/>
          <w:b w:val="0"/>
          <w:bCs w:val="0"/>
          <w:highlight w:val="none"/>
          <w:lang w:eastAsia="zh-CN"/>
        </w:rPr>
        <w:t>附件：</w:t>
      </w:r>
      <w:r>
        <w:rPr>
          <w:rFonts w:hint="eastAsia"/>
          <w:b w:val="0"/>
          <w:bCs w:val="0"/>
          <w:highlight w:val="none"/>
          <w:lang w:val="en-US" w:eastAsia="zh-CN"/>
        </w:rPr>
        <w:t>1、2020年部门整体支出绩效自评表</w:t>
      </w:r>
    </w:p>
    <w:p>
      <w:pPr>
        <w:pStyle w:val="5"/>
        <w:rPr>
          <w:rFonts w:hint="eastAsia"/>
          <w:b w:val="0"/>
          <w:bCs w:val="0"/>
          <w:highlight w:val="none"/>
          <w:lang w:val="en-US" w:eastAsia="zh-CN"/>
        </w:rPr>
      </w:pPr>
      <w:r>
        <w:rPr>
          <w:rFonts w:hint="eastAsia"/>
          <w:b w:val="0"/>
          <w:bCs w:val="0"/>
          <w:highlight w:val="none"/>
          <w:lang w:val="en-US" w:eastAsia="zh-CN"/>
        </w:rPr>
        <w:t xml:space="preserve">      2、2020年部门整体支出绩效评价基础数据表</w:t>
      </w:r>
    </w:p>
    <w:p>
      <w:pPr>
        <w:pStyle w:val="5"/>
        <w:rPr>
          <w:rFonts w:hint="eastAsia"/>
          <w:b w:val="0"/>
          <w:bCs w:val="0"/>
          <w:highlight w:val="none"/>
          <w:lang w:val="en-US" w:eastAsia="zh-CN"/>
        </w:rPr>
      </w:pPr>
      <w:r>
        <w:rPr>
          <w:rFonts w:hint="eastAsia"/>
          <w:b w:val="0"/>
          <w:bCs w:val="0"/>
          <w:highlight w:val="none"/>
          <w:lang w:val="en-US" w:eastAsia="zh-CN"/>
        </w:rPr>
        <w:t xml:space="preserve">      3、2020年部门整体支出绩效自评指标计分表</w:t>
      </w:r>
    </w:p>
    <w:p>
      <w:pPr>
        <w:keepNext w:val="0"/>
        <w:keepLines w:val="0"/>
        <w:pageBreakBefore w:val="0"/>
        <w:numPr>
          <w:ilvl w:val="0"/>
          <w:numId w:val="0"/>
        </w:numPr>
        <w:kinsoku/>
        <w:wordWrap/>
        <w:overflowPunct w:val="0"/>
        <w:topLinePunct w:val="0"/>
        <w:autoSpaceDE w:val="0"/>
        <w:autoSpaceDN w:val="0"/>
        <w:bidi w:val="0"/>
        <w:adjustRightInd/>
        <w:snapToGrid/>
        <w:spacing w:before="157" w:beforeLines="50" w:after="157" w:afterLines="50" w:line="600" w:lineRule="exact"/>
        <w:ind w:leftChars="200" w:right="59" w:rightChars="28" w:firstLine="640" w:firstLineChars="200"/>
        <w:rPr>
          <w:rFonts w:hint="eastAsia" w:ascii="仿宋_GB2312" w:hAnsi="仿宋_GB2312" w:eastAsia="仿宋_GB2312" w:cs="仿宋_GB2312"/>
          <w:bCs/>
          <w:color w:val="000000"/>
          <w:sz w:val="32"/>
          <w:szCs w:val="32"/>
        </w:rPr>
      </w:pPr>
    </w:p>
    <w:p>
      <w:pPr>
        <w:keepNext w:val="0"/>
        <w:keepLines w:val="0"/>
        <w:pageBreakBefore w:val="0"/>
        <w:numPr>
          <w:ilvl w:val="0"/>
          <w:numId w:val="0"/>
        </w:numPr>
        <w:kinsoku/>
        <w:wordWrap/>
        <w:overflowPunct w:val="0"/>
        <w:topLinePunct w:val="0"/>
        <w:autoSpaceDE w:val="0"/>
        <w:autoSpaceDN w:val="0"/>
        <w:bidi w:val="0"/>
        <w:adjustRightInd/>
        <w:snapToGrid/>
        <w:spacing w:before="157" w:beforeLines="50" w:after="157" w:afterLines="50" w:line="600" w:lineRule="exact"/>
        <w:ind w:leftChars="200" w:right="59" w:rightChars="28" w:firstLine="640" w:firstLineChars="200"/>
        <w:rPr>
          <w:rFonts w:hint="eastAsia" w:ascii="仿宋_GB2312" w:hAnsi="仿宋_GB2312" w:eastAsia="仿宋_GB2312" w:cs="仿宋_GB2312"/>
          <w:bCs/>
          <w:color w:val="000000"/>
          <w:sz w:val="32"/>
          <w:szCs w:val="32"/>
        </w:rPr>
      </w:pPr>
    </w:p>
    <w:p>
      <w:pPr>
        <w:keepNext w:val="0"/>
        <w:keepLines w:val="0"/>
        <w:pageBreakBefore w:val="0"/>
        <w:numPr>
          <w:ilvl w:val="0"/>
          <w:numId w:val="0"/>
        </w:numPr>
        <w:kinsoku/>
        <w:wordWrap/>
        <w:overflowPunct w:val="0"/>
        <w:topLinePunct w:val="0"/>
        <w:autoSpaceDE w:val="0"/>
        <w:autoSpaceDN w:val="0"/>
        <w:bidi w:val="0"/>
        <w:adjustRightInd/>
        <w:snapToGrid/>
        <w:spacing w:before="157" w:beforeLines="50" w:after="157" w:afterLines="50" w:line="600" w:lineRule="exact"/>
        <w:ind w:right="59" w:rightChars="28"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大通湖区北洲子镇人民政府</w:t>
      </w:r>
    </w:p>
    <w:p>
      <w:pPr>
        <w:keepNext w:val="0"/>
        <w:keepLines w:val="0"/>
        <w:pageBreakBefore w:val="0"/>
        <w:numPr>
          <w:ilvl w:val="0"/>
          <w:numId w:val="0"/>
        </w:numPr>
        <w:kinsoku/>
        <w:wordWrap/>
        <w:overflowPunct w:val="0"/>
        <w:topLinePunct w:val="0"/>
        <w:autoSpaceDE w:val="0"/>
        <w:autoSpaceDN w:val="0"/>
        <w:bidi w:val="0"/>
        <w:adjustRightInd/>
        <w:snapToGrid/>
        <w:spacing w:before="157" w:beforeLines="50" w:after="157" w:afterLines="50" w:line="600" w:lineRule="exact"/>
        <w:ind w:leftChars="200" w:right="59" w:rightChars="28"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 xml:space="preserve">   二〇二</w:t>
      </w:r>
      <w:r>
        <w:rPr>
          <w:rFonts w:hint="eastAsia" w:ascii="仿宋_GB2312" w:hAnsi="仿宋_GB2312" w:eastAsia="仿宋_GB2312" w:cs="仿宋_GB2312"/>
          <w:bCs/>
          <w:color w:val="000000"/>
          <w:sz w:val="32"/>
          <w:szCs w:val="32"/>
          <w:lang w:eastAsia="zh-CN"/>
        </w:rPr>
        <w:t>一</w:t>
      </w:r>
      <w:r>
        <w:rPr>
          <w:rFonts w:hint="eastAsia" w:ascii="仿宋_GB2312" w:hAnsi="仿宋_GB2312" w:eastAsia="仿宋_GB2312" w:cs="仿宋_GB2312"/>
          <w:bCs/>
          <w:color w:val="000000"/>
          <w:sz w:val="32"/>
          <w:szCs w:val="32"/>
        </w:rPr>
        <w:t>年九月</w:t>
      </w:r>
      <w:r>
        <w:rPr>
          <w:rFonts w:hint="eastAsia" w:ascii="仿宋_GB2312" w:hAnsi="仿宋_GB2312" w:eastAsia="仿宋_GB2312" w:cs="仿宋_GB2312"/>
          <w:bCs/>
          <w:color w:val="000000"/>
          <w:sz w:val="32"/>
          <w:szCs w:val="32"/>
          <w:lang w:eastAsia="zh-CN"/>
        </w:rPr>
        <w:t>二十八</w:t>
      </w:r>
      <w:r>
        <w:rPr>
          <w:rFonts w:hint="eastAsia" w:ascii="仿宋_GB2312" w:hAnsi="仿宋_GB2312" w:eastAsia="仿宋_GB2312" w:cs="仿宋_GB2312"/>
          <w:bCs/>
          <w:color w:val="000000"/>
          <w:sz w:val="32"/>
          <w:szCs w:val="32"/>
        </w:rPr>
        <w:t>日</w:t>
      </w:r>
    </w:p>
    <w:p>
      <w:pPr>
        <w:keepNext w:val="0"/>
        <w:keepLines w:val="0"/>
        <w:pageBreakBefore w:val="0"/>
        <w:kinsoku/>
        <w:wordWrap/>
        <w:topLinePunct w:val="0"/>
        <w:bidi w:val="0"/>
        <w:adjustRightInd/>
        <w:snapToGrid/>
        <w:spacing w:before="157" w:beforeLines="50" w:after="157" w:afterLines="50" w:line="600" w:lineRule="exact"/>
        <w:ind w:right="59" w:rightChars="28" w:firstLine="420" w:firstLineChars="200"/>
      </w:pPr>
    </w:p>
    <w:p>
      <w:pPr>
        <w:keepNext w:val="0"/>
        <w:keepLines w:val="0"/>
        <w:pageBreakBefore w:val="0"/>
        <w:kinsoku/>
        <w:wordWrap/>
        <w:topLinePunct w:val="0"/>
        <w:bidi w:val="0"/>
        <w:adjustRightInd/>
        <w:snapToGrid/>
        <w:spacing w:before="157" w:beforeLines="50" w:after="157" w:afterLines="50" w:line="600" w:lineRule="exact"/>
        <w:ind w:right="59" w:rightChars="28" w:firstLine="420" w:firstLineChars="20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rPr>
          <w:rFonts w:eastAsia="黑体"/>
          <w:color w:val="000000"/>
          <w:kern w:val="0"/>
          <w:sz w:val="32"/>
          <w:szCs w:val="32"/>
        </w:rPr>
      </w:pPr>
      <w:r>
        <w:rPr>
          <w:rFonts w:hAnsi="黑体" w:eastAsia="黑体"/>
          <w:color w:val="000000"/>
          <w:kern w:val="0"/>
          <w:sz w:val="32"/>
          <w:szCs w:val="32"/>
        </w:rPr>
        <w:t>附件</w:t>
      </w:r>
      <w:r>
        <w:rPr>
          <w:rFonts w:hint="eastAsia" w:hAnsi="黑体" w:eastAsia="黑体"/>
          <w:color w:val="000000"/>
          <w:kern w:val="0"/>
          <w:sz w:val="32"/>
          <w:szCs w:val="32"/>
          <w:lang w:val="en-US" w:eastAsia="zh-CN"/>
        </w:rPr>
        <w:t>1</w:t>
      </w:r>
    </w:p>
    <w:p>
      <w:pPr>
        <w:spacing w:line="360" w:lineRule="auto"/>
        <w:jc w:val="center"/>
        <w:rPr>
          <w:rFonts w:hint="default" w:hAnsi="黑体" w:eastAsia="黑体"/>
          <w:color w:val="000000"/>
          <w:kern w:val="0"/>
          <w:sz w:val="32"/>
          <w:szCs w:val="32"/>
          <w:lang w:val="en-US" w:eastAsia="zh-CN"/>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20</w:t>
      </w:r>
      <w:r>
        <w:rPr>
          <w:rFonts w:hint="eastAsia" w:ascii="方正大标宋简体" w:eastAsia="方正大标宋简体" w:cs="仿宋_GB2312"/>
          <w:color w:val="000000"/>
          <w:sz w:val="44"/>
          <w:szCs w:val="44"/>
        </w:rPr>
        <w:t>年部门整体支出绩效自评表</w:t>
      </w:r>
    </w:p>
    <w:tbl>
      <w:tblPr>
        <w:tblStyle w:val="11"/>
        <w:tblW w:w="10459"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710"/>
        <w:gridCol w:w="1382"/>
        <w:gridCol w:w="522"/>
        <w:gridCol w:w="81"/>
        <w:gridCol w:w="1885"/>
        <w:gridCol w:w="1622"/>
        <w:gridCol w:w="5"/>
        <w:gridCol w:w="153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3450" w:type="dxa"/>
            <w:gridSpan w:val="3"/>
            <w:vAlign w:val="center"/>
          </w:tcPr>
          <w:p>
            <w:pPr>
              <w:spacing w:line="360" w:lineRule="auto"/>
              <w:jc w:val="center"/>
              <w:rPr>
                <w:rFonts w:hAnsi="黑体" w:eastAsia="黑体"/>
                <w:color w:val="000000"/>
                <w:kern w:val="0"/>
                <w:sz w:val="32"/>
                <w:szCs w:val="32"/>
                <w:vertAlign w:val="baseline"/>
              </w:rPr>
            </w:pPr>
            <w:r>
              <w:rPr>
                <w:rFonts w:hint="eastAsia" w:cs="宋体"/>
                <w:color w:val="000000"/>
                <w:sz w:val="24"/>
                <w:lang w:val="en-US" w:eastAsia="zh-CN"/>
              </w:rPr>
              <w:t>预算单位名称</w:t>
            </w:r>
          </w:p>
        </w:tc>
        <w:tc>
          <w:tcPr>
            <w:tcW w:w="7009" w:type="dxa"/>
            <w:gridSpan w:val="7"/>
            <w:vAlign w:val="center"/>
          </w:tcPr>
          <w:p>
            <w:pPr>
              <w:spacing w:line="360" w:lineRule="auto"/>
              <w:jc w:val="center"/>
              <w:rPr>
                <w:rFonts w:hint="eastAsia" w:hAnsi="黑体" w:eastAsia="黑体"/>
                <w:color w:val="000000"/>
                <w:kern w:val="0"/>
                <w:sz w:val="32"/>
                <w:szCs w:val="32"/>
                <w:vertAlign w:val="baseline"/>
                <w:lang w:eastAsia="zh-CN"/>
              </w:rPr>
            </w:pPr>
            <w:r>
              <w:rPr>
                <w:rFonts w:hint="eastAsia" w:hAnsi="黑体" w:eastAsia="黑体"/>
                <w:color w:val="000000"/>
                <w:kern w:val="0"/>
                <w:sz w:val="32"/>
                <w:szCs w:val="32"/>
                <w:vertAlign w:val="baseline"/>
                <w:lang w:eastAsia="zh-CN"/>
              </w:rPr>
              <w:t>益阳市北洲子镇人民政府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年度预算资金（万元）</w:t>
            </w:r>
          </w:p>
        </w:tc>
        <w:tc>
          <w:tcPr>
            <w:tcW w:w="2695" w:type="dxa"/>
            <w:gridSpan w:val="4"/>
            <w:vAlign w:val="center"/>
          </w:tcPr>
          <w:p>
            <w:pPr>
              <w:spacing w:line="360" w:lineRule="auto"/>
              <w:jc w:val="center"/>
              <w:rPr>
                <w:rFonts w:hAnsi="黑体" w:eastAsia="黑体"/>
                <w:color w:val="000000"/>
                <w:kern w:val="0"/>
                <w:sz w:val="32"/>
                <w:szCs w:val="32"/>
                <w:vertAlign w:val="baseline"/>
              </w:rPr>
            </w:pPr>
          </w:p>
        </w:tc>
        <w:tc>
          <w:tcPr>
            <w:tcW w:w="188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年初预算数</w:t>
            </w:r>
          </w:p>
        </w:tc>
        <w:tc>
          <w:tcPr>
            <w:tcW w:w="1622"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全年预算数</w:t>
            </w:r>
          </w:p>
        </w:tc>
        <w:tc>
          <w:tcPr>
            <w:tcW w:w="1540" w:type="dxa"/>
            <w:gridSpan w:val="2"/>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全年执行数</w:t>
            </w:r>
          </w:p>
        </w:tc>
        <w:tc>
          <w:tcPr>
            <w:tcW w:w="1359"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vMerge w:val="continue"/>
            <w:vAlign w:val="center"/>
          </w:tcPr>
          <w:p>
            <w:pPr>
              <w:spacing w:line="360" w:lineRule="auto"/>
              <w:jc w:val="center"/>
              <w:rPr>
                <w:rFonts w:hint="eastAsia" w:cs="宋体"/>
                <w:color w:val="000000"/>
                <w:sz w:val="24"/>
                <w:lang w:val="en-US" w:eastAsia="zh-CN"/>
              </w:rPr>
            </w:pPr>
          </w:p>
        </w:tc>
        <w:tc>
          <w:tcPr>
            <w:tcW w:w="2695" w:type="dxa"/>
            <w:gridSpan w:val="4"/>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年度资金总额</w:t>
            </w:r>
          </w:p>
        </w:tc>
        <w:tc>
          <w:tcPr>
            <w:tcW w:w="1885" w:type="dxa"/>
            <w:vAlign w:val="center"/>
          </w:tcPr>
          <w:p>
            <w:pPr>
              <w:spacing w:line="360" w:lineRule="auto"/>
              <w:jc w:val="center"/>
              <w:rPr>
                <w:rFonts w:hint="eastAsia" w:cs="宋体"/>
                <w:b w:val="0"/>
                <w:bCs w:val="0"/>
                <w:color w:val="000000" w:themeColor="text1"/>
                <w:sz w:val="24"/>
                <w:lang w:val="en-US" w:eastAsia="zh-CN"/>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2543.97</w:t>
            </w:r>
          </w:p>
        </w:tc>
        <w:tc>
          <w:tcPr>
            <w:tcW w:w="1622"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6667.97</w:t>
            </w:r>
          </w:p>
        </w:tc>
        <w:tc>
          <w:tcPr>
            <w:tcW w:w="1540"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6667.97</w:t>
            </w:r>
          </w:p>
        </w:tc>
        <w:tc>
          <w:tcPr>
            <w:tcW w:w="1359"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vMerge w:val="continue"/>
            <w:vAlign w:val="center"/>
          </w:tcPr>
          <w:p>
            <w:pPr>
              <w:spacing w:line="360" w:lineRule="auto"/>
              <w:jc w:val="center"/>
              <w:rPr>
                <w:rFonts w:hint="eastAsia" w:cs="宋体"/>
                <w:color w:val="000000"/>
                <w:sz w:val="24"/>
                <w:lang w:val="en-US" w:eastAsia="zh-CN"/>
              </w:rPr>
            </w:pPr>
          </w:p>
        </w:tc>
        <w:tc>
          <w:tcPr>
            <w:tcW w:w="2695" w:type="dxa"/>
            <w:gridSpan w:val="4"/>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其中：当年财政拨款</w:t>
            </w:r>
          </w:p>
        </w:tc>
        <w:tc>
          <w:tcPr>
            <w:tcW w:w="1885" w:type="dxa"/>
            <w:vAlign w:val="center"/>
          </w:tcPr>
          <w:p>
            <w:pPr>
              <w:spacing w:line="360" w:lineRule="auto"/>
              <w:jc w:val="center"/>
              <w:rPr>
                <w:rFonts w:hint="eastAsia" w:cs="宋体"/>
                <w:b w:val="0"/>
                <w:bCs w:val="0"/>
                <w:color w:val="000000" w:themeColor="text1"/>
                <w:sz w:val="24"/>
                <w:lang w:val="en-US" w:eastAsia="zh-CN"/>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2543.97</w:t>
            </w:r>
          </w:p>
        </w:tc>
        <w:tc>
          <w:tcPr>
            <w:tcW w:w="1622"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6667.97</w:t>
            </w:r>
          </w:p>
        </w:tc>
        <w:tc>
          <w:tcPr>
            <w:tcW w:w="1540"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6667.97</w:t>
            </w:r>
          </w:p>
        </w:tc>
        <w:tc>
          <w:tcPr>
            <w:tcW w:w="1359"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vMerge w:val="continue"/>
            <w:vAlign w:val="center"/>
          </w:tcPr>
          <w:p>
            <w:pPr>
              <w:spacing w:line="360" w:lineRule="auto"/>
              <w:jc w:val="center"/>
              <w:rPr>
                <w:rFonts w:hint="eastAsia" w:cs="宋体"/>
                <w:color w:val="000000"/>
                <w:sz w:val="24"/>
                <w:lang w:val="en-US" w:eastAsia="zh-CN"/>
              </w:rPr>
            </w:pPr>
          </w:p>
        </w:tc>
        <w:tc>
          <w:tcPr>
            <w:tcW w:w="2695" w:type="dxa"/>
            <w:gridSpan w:val="4"/>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上年结转资金</w:t>
            </w:r>
          </w:p>
        </w:tc>
        <w:tc>
          <w:tcPr>
            <w:tcW w:w="1885" w:type="dxa"/>
            <w:vAlign w:val="center"/>
          </w:tcPr>
          <w:p>
            <w:pPr>
              <w:spacing w:line="360" w:lineRule="auto"/>
              <w:jc w:val="center"/>
              <w:rPr>
                <w:rFonts w:hint="eastAsia" w:cs="宋体"/>
                <w:color w:val="000000"/>
                <w:sz w:val="24"/>
                <w:lang w:val="en-US" w:eastAsia="zh-CN"/>
              </w:rPr>
            </w:pPr>
          </w:p>
        </w:tc>
        <w:tc>
          <w:tcPr>
            <w:tcW w:w="1622" w:type="dxa"/>
            <w:vAlign w:val="center"/>
          </w:tcPr>
          <w:p>
            <w:pPr>
              <w:spacing w:line="360" w:lineRule="auto"/>
              <w:jc w:val="center"/>
              <w:rPr>
                <w:rFonts w:hint="eastAsia" w:cs="宋体"/>
                <w:color w:val="000000"/>
                <w:sz w:val="24"/>
                <w:lang w:val="en-US" w:eastAsia="zh-CN"/>
              </w:rPr>
            </w:pPr>
          </w:p>
        </w:tc>
        <w:tc>
          <w:tcPr>
            <w:tcW w:w="1540" w:type="dxa"/>
            <w:gridSpan w:val="2"/>
            <w:vAlign w:val="center"/>
          </w:tcPr>
          <w:p>
            <w:pPr>
              <w:spacing w:line="360" w:lineRule="auto"/>
              <w:jc w:val="center"/>
              <w:rPr>
                <w:rFonts w:hint="eastAsia" w:cs="宋体"/>
                <w:color w:val="000000"/>
                <w:sz w:val="24"/>
                <w:lang w:val="en-US" w:eastAsia="zh-CN"/>
              </w:rPr>
            </w:pP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vMerge w:val="continue"/>
            <w:vAlign w:val="center"/>
          </w:tcPr>
          <w:p>
            <w:pPr>
              <w:spacing w:line="360" w:lineRule="auto"/>
              <w:jc w:val="center"/>
              <w:rPr>
                <w:rFonts w:hint="eastAsia" w:cs="宋体"/>
                <w:color w:val="000000"/>
                <w:sz w:val="24"/>
                <w:lang w:val="en-US" w:eastAsia="zh-CN"/>
              </w:rPr>
            </w:pPr>
          </w:p>
        </w:tc>
        <w:tc>
          <w:tcPr>
            <w:tcW w:w="2695" w:type="dxa"/>
            <w:gridSpan w:val="4"/>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其他资金</w:t>
            </w:r>
          </w:p>
        </w:tc>
        <w:tc>
          <w:tcPr>
            <w:tcW w:w="1885" w:type="dxa"/>
            <w:vAlign w:val="center"/>
          </w:tcPr>
          <w:p>
            <w:pPr>
              <w:spacing w:line="360" w:lineRule="auto"/>
              <w:jc w:val="center"/>
              <w:rPr>
                <w:rFonts w:hint="eastAsia" w:cs="宋体"/>
                <w:color w:val="000000"/>
                <w:sz w:val="24"/>
                <w:lang w:val="en-US" w:eastAsia="zh-CN"/>
              </w:rPr>
            </w:pPr>
          </w:p>
        </w:tc>
        <w:tc>
          <w:tcPr>
            <w:tcW w:w="1622" w:type="dxa"/>
            <w:vAlign w:val="center"/>
          </w:tcPr>
          <w:p>
            <w:pPr>
              <w:spacing w:line="360" w:lineRule="auto"/>
              <w:jc w:val="center"/>
              <w:rPr>
                <w:rFonts w:hint="eastAsia" w:cs="宋体"/>
                <w:color w:val="000000"/>
                <w:sz w:val="24"/>
                <w:lang w:val="en-US" w:eastAsia="zh-CN"/>
              </w:rPr>
            </w:pPr>
          </w:p>
        </w:tc>
        <w:tc>
          <w:tcPr>
            <w:tcW w:w="1540" w:type="dxa"/>
            <w:gridSpan w:val="2"/>
            <w:vAlign w:val="center"/>
          </w:tcPr>
          <w:p>
            <w:pPr>
              <w:spacing w:line="360" w:lineRule="auto"/>
              <w:jc w:val="center"/>
              <w:rPr>
                <w:rFonts w:hint="eastAsia" w:cs="宋体"/>
                <w:color w:val="000000"/>
                <w:sz w:val="24"/>
                <w:lang w:val="en-US" w:eastAsia="zh-CN"/>
              </w:rPr>
            </w:pP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068"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年度总体目标</w:t>
            </w:r>
          </w:p>
        </w:tc>
        <w:tc>
          <w:tcPr>
            <w:tcW w:w="3870" w:type="dxa"/>
            <w:gridSpan w:val="4"/>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预期目标</w:t>
            </w:r>
          </w:p>
        </w:tc>
        <w:tc>
          <w:tcPr>
            <w:tcW w:w="4521" w:type="dxa"/>
            <w:gridSpan w:val="4"/>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trPr>
        <w:tc>
          <w:tcPr>
            <w:tcW w:w="2068" w:type="dxa"/>
            <w:gridSpan w:val="2"/>
            <w:vMerge w:val="continue"/>
            <w:vAlign w:val="center"/>
          </w:tcPr>
          <w:p>
            <w:pPr>
              <w:spacing w:line="360" w:lineRule="auto"/>
              <w:jc w:val="center"/>
              <w:rPr>
                <w:rFonts w:hint="eastAsia" w:cs="宋体"/>
                <w:color w:val="000000"/>
                <w:sz w:val="24"/>
                <w:lang w:val="en-US" w:eastAsia="zh-CN"/>
              </w:rPr>
            </w:pPr>
          </w:p>
        </w:tc>
        <w:tc>
          <w:tcPr>
            <w:tcW w:w="3870" w:type="dxa"/>
            <w:gridSpan w:val="4"/>
            <w:vAlign w:val="center"/>
          </w:tcPr>
          <w:p>
            <w:pPr>
              <w:spacing w:line="360" w:lineRule="auto"/>
              <w:jc w:val="both"/>
              <w:rPr>
                <w:rFonts w:hint="eastAsia"/>
                <w:highlight w:val="none"/>
              </w:rPr>
            </w:pPr>
            <w:r>
              <w:rPr>
                <w:rFonts w:hint="eastAsia"/>
                <w:highlight w:val="none"/>
              </w:rPr>
              <w:t>（1）聚力从严治党，增添党建引领新活力。强化政治引领。</w:t>
            </w:r>
          </w:p>
          <w:p>
            <w:pPr>
              <w:spacing w:line="360" w:lineRule="auto"/>
              <w:jc w:val="both"/>
              <w:rPr>
                <w:rFonts w:hint="eastAsia"/>
                <w:highlight w:val="none"/>
              </w:rPr>
            </w:pPr>
            <w:r>
              <w:rPr>
                <w:rFonts w:hint="eastAsia"/>
                <w:highlight w:val="none"/>
              </w:rPr>
              <w:t>（2）聚力产业兴旺，激活发展新动能。全面招商引资</w:t>
            </w:r>
            <w:r>
              <w:rPr>
                <w:rFonts w:hint="eastAsia"/>
                <w:highlight w:val="none"/>
                <w:lang w:eastAsia="zh-CN"/>
              </w:rPr>
              <w:t>，</w:t>
            </w:r>
            <w:r>
              <w:rPr>
                <w:rFonts w:hint="eastAsia"/>
                <w:highlight w:val="none"/>
              </w:rPr>
              <w:t>提质实体企业</w:t>
            </w:r>
            <w:r>
              <w:rPr>
                <w:rFonts w:hint="eastAsia"/>
                <w:highlight w:val="none"/>
                <w:lang w:eastAsia="zh-CN"/>
              </w:rPr>
              <w:t>，</w:t>
            </w:r>
            <w:r>
              <w:rPr>
                <w:rFonts w:hint="eastAsia"/>
                <w:highlight w:val="none"/>
              </w:rPr>
              <w:t>优化现代农业。</w:t>
            </w:r>
          </w:p>
          <w:p>
            <w:pPr>
              <w:spacing w:line="360" w:lineRule="auto"/>
              <w:jc w:val="both"/>
              <w:rPr>
                <w:rFonts w:hint="eastAsia"/>
                <w:highlight w:val="none"/>
              </w:rPr>
            </w:pPr>
            <w:r>
              <w:rPr>
                <w:rFonts w:hint="eastAsia"/>
                <w:highlight w:val="none"/>
              </w:rPr>
              <w:t>（3）聚力城乡建设，打开乡村振兴新局面。完善基础设施。</w:t>
            </w:r>
          </w:p>
          <w:p>
            <w:pPr>
              <w:spacing w:line="360" w:lineRule="auto"/>
              <w:jc w:val="both"/>
              <w:rPr>
                <w:rFonts w:hint="eastAsia"/>
                <w:highlight w:val="none"/>
              </w:rPr>
            </w:pPr>
            <w:r>
              <w:rPr>
                <w:rFonts w:hint="eastAsia"/>
                <w:highlight w:val="none"/>
              </w:rPr>
              <w:t>（4）聚力民生事业，实现美好生活新期盼</w:t>
            </w:r>
            <w:r>
              <w:rPr>
                <w:rFonts w:hint="eastAsia"/>
                <w:highlight w:val="none"/>
                <w:lang w:eastAsia="zh-CN"/>
              </w:rPr>
              <w:t>，</w:t>
            </w:r>
            <w:r>
              <w:rPr>
                <w:rFonts w:hint="eastAsia"/>
                <w:highlight w:val="none"/>
              </w:rPr>
              <w:t>打好脱贫攻坚战</w:t>
            </w:r>
            <w:r>
              <w:rPr>
                <w:rFonts w:hint="eastAsia"/>
                <w:highlight w:val="none"/>
                <w:lang w:eastAsia="zh-CN"/>
              </w:rPr>
              <w:t>，</w:t>
            </w:r>
            <w:r>
              <w:rPr>
                <w:rFonts w:hint="eastAsia"/>
                <w:highlight w:val="none"/>
              </w:rPr>
              <w:t>完善民生服务供给。</w:t>
            </w:r>
          </w:p>
          <w:p>
            <w:pPr>
              <w:spacing w:line="360" w:lineRule="auto"/>
              <w:jc w:val="both"/>
              <w:rPr>
                <w:rFonts w:hint="eastAsia" w:eastAsia="宋体" w:cs="宋体"/>
                <w:color w:val="000000" w:themeColor="text1"/>
                <w:sz w:val="24"/>
                <w:lang w:val="en-US" w:eastAsia="zh-CN"/>
                <w14:textFill>
                  <w14:solidFill>
                    <w14:schemeClr w14:val="tx1"/>
                  </w14:solidFill>
                </w14:textFill>
              </w:rPr>
            </w:pPr>
            <w:r>
              <w:rPr>
                <w:rFonts w:hint="eastAsia"/>
                <w:highlight w:val="none"/>
              </w:rPr>
              <w:t>（5）聚力平安建设，营造和谐稳定新气象。加强社会综合治理。</w:t>
            </w:r>
          </w:p>
        </w:tc>
        <w:tc>
          <w:tcPr>
            <w:tcW w:w="4521" w:type="dxa"/>
            <w:gridSpan w:val="4"/>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jc w:val="left"/>
              <w:rPr>
                <w:rFonts w:hint="eastAsia" w:ascii="宋体" w:hAnsi="宋体" w:eastAsia="宋体" w:cs="宋体"/>
                <w:i w:val="0"/>
                <w:iCs w:val="0"/>
                <w:caps w:val="0"/>
                <w:color w:val="000000"/>
                <w:spacing w:val="0"/>
                <w:sz w:val="21"/>
                <w:szCs w:val="21"/>
                <w:highlight w:val="none"/>
                <w:shd w:val="clear" w:color="auto" w:fill="FFFFFF"/>
              </w:rPr>
            </w:pPr>
            <w:r>
              <w:rPr>
                <w:rFonts w:hint="eastAsia" w:ascii="宋体" w:hAnsi="宋体" w:eastAsia="宋体" w:cs="宋体"/>
                <w:i w:val="0"/>
                <w:iCs w:val="0"/>
                <w:caps w:val="0"/>
                <w:color w:val="000000"/>
                <w:spacing w:val="0"/>
                <w:sz w:val="21"/>
                <w:szCs w:val="21"/>
                <w:highlight w:val="none"/>
                <w:shd w:val="clear" w:color="auto" w:fill="FFFFFF"/>
              </w:rPr>
              <w:t>（</w:t>
            </w:r>
            <w:r>
              <w:rPr>
                <w:rFonts w:hint="eastAsia" w:ascii="宋体" w:hAnsi="宋体" w:cs="宋体"/>
                <w:i w:val="0"/>
                <w:iCs w:val="0"/>
                <w:caps w:val="0"/>
                <w:color w:val="000000"/>
                <w:spacing w:val="0"/>
                <w:sz w:val="21"/>
                <w:szCs w:val="21"/>
                <w:highlight w:val="none"/>
                <w:shd w:val="clear" w:color="auto" w:fill="FFFFFF"/>
                <w:lang w:val="en-US" w:eastAsia="zh-CN"/>
              </w:rPr>
              <w:t>1</w:t>
            </w:r>
            <w:r>
              <w:rPr>
                <w:rFonts w:hint="eastAsia" w:ascii="宋体" w:hAnsi="宋体" w:eastAsia="宋体" w:cs="宋体"/>
                <w:i w:val="0"/>
                <w:iCs w:val="0"/>
                <w:caps w:val="0"/>
                <w:color w:val="000000"/>
                <w:spacing w:val="0"/>
                <w:sz w:val="21"/>
                <w:szCs w:val="21"/>
                <w:highlight w:val="none"/>
                <w:shd w:val="clear" w:color="auto" w:fill="FFFFFF"/>
              </w:rPr>
              <w:t>）党的建设不断加强。全年开展党委理论中心组学习12次，领导干部上党课15次，先后在中央、省、市、区级媒体上稿150余篇，网络舆情管控有力，学习强国覆盖率达85%以上，建设新时代文明实践站6个，党员干部“四个意识”“两个维护”更加坚定。</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jc w:val="left"/>
              <w:rPr>
                <w:rFonts w:hint="eastAsia" w:ascii="宋体" w:hAnsi="宋体" w:eastAsia="宋体" w:cs="宋体"/>
                <w:i w:val="0"/>
                <w:iCs w:val="0"/>
                <w:caps w:val="0"/>
                <w:color w:val="000000"/>
                <w:spacing w:val="0"/>
                <w:sz w:val="21"/>
                <w:szCs w:val="21"/>
                <w:highlight w:val="none"/>
                <w:shd w:val="clear" w:color="auto" w:fill="FFFFFF"/>
              </w:rPr>
            </w:pPr>
            <w:r>
              <w:rPr>
                <w:rFonts w:hint="eastAsia" w:ascii="宋体" w:hAnsi="宋体" w:eastAsia="宋体" w:cs="宋体"/>
                <w:i w:val="0"/>
                <w:iCs w:val="0"/>
                <w:caps w:val="0"/>
                <w:color w:val="000000"/>
                <w:spacing w:val="0"/>
                <w:sz w:val="21"/>
                <w:szCs w:val="21"/>
                <w:highlight w:val="none"/>
                <w:shd w:val="clear" w:color="auto" w:fill="FFFFFF"/>
              </w:rPr>
              <w:t>（</w:t>
            </w:r>
            <w:r>
              <w:rPr>
                <w:rFonts w:hint="eastAsia" w:ascii="宋体" w:hAnsi="宋体" w:cs="宋体"/>
                <w:i w:val="0"/>
                <w:iCs w:val="0"/>
                <w:caps w:val="0"/>
                <w:color w:val="000000"/>
                <w:spacing w:val="0"/>
                <w:sz w:val="21"/>
                <w:szCs w:val="21"/>
                <w:highlight w:val="none"/>
                <w:shd w:val="clear" w:color="auto" w:fill="FFFFFF"/>
                <w:lang w:val="en-US" w:eastAsia="zh-CN"/>
              </w:rPr>
              <w:t>2</w:t>
            </w:r>
            <w:r>
              <w:rPr>
                <w:rFonts w:hint="eastAsia" w:ascii="宋体" w:hAnsi="宋体" w:eastAsia="宋体" w:cs="宋体"/>
                <w:i w:val="0"/>
                <w:iCs w:val="0"/>
                <w:caps w:val="0"/>
                <w:color w:val="000000"/>
                <w:spacing w:val="0"/>
                <w:sz w:val="21"/>
                <w:szCs w:val="21"/>
                <w:highlight w:val="none"/>
                <w:shd w:val="clear" w:color="auto" w:fill="FFFFFF"/>
              </w:rPr>
              <w:t>）产业经济向好发展。经济指标稳中有进，全年实现财税收入2052万元，同比增长17.4%。</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jc w:val="left"/>
              <w:rPr>
                <w:rFonts w:hint="eastAsia" w:ascii="宋体" w:hAnsi="宋体" w:eastAsia="宋体" w:cs="宋体"/>
                <w:i w:val="0"/>
                <w:iCs w:val="0"/>
                <w:caps w:val="0"/>
                <w:color w:val="000000"/>
                <w:spacing w:val="0"/>
                <w:sz w:val="21"/>
                <w:szCs w:val="21"/>
                <w:highlight w:val="none"/>
                <w:shd w:val="clear" w:color="auto" w:fill="FFFFFF"/>
              </w:rPr>
            </w:pPr>
            <w:r>
              <w:rPr>
                <w:rFonts w:hint="eastAsia" w:ascii="宋体" w:hAnsi="宋体" w:eastAsia="宋体" w:cs="宋体"/>
                <w:i w:val="0"/>
                <w:iCs w:val="0"/>
                <w:caps w:val="0"/>
                <w:color w:val="000000"/>
                <w:spacing w:val="0"/>
                <w:sz w:val="21"/>
                <w:szCs w:val="21"/>
                <w:highlight w:val="none"/>
                <w:shd w:val="clear" w:color="auto" w:fill="FFFFFF"/>
              </w:rPr>
              <w:t>地区生产总值、规模以上工业总产值、农业生产总值、城乡居民人均可支配收入同比分别增长12%、10%、3.8%、12%。新增限上企业3家，签约企业2个。</w:t>
            </w:r>
          </w:p>
          <w:p>
            <w:pPr>
              <w:pStyle w:val="7"/>
              <w:keepNext w:val="0"/>
              <w:keepLines w:val="0"/>
              <w:pageBreakBefore w:val="0"/>
              <w:widowControl/>
              <w:numPr>
                <w:ilvl w:val="0"/>
                <w:numId w:val="6"/>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jc w:val="left"/>
              <w:rPr>
                <w:rFonts w:hint="eastAsia" w:ascii="宋体" w:hAnsi="宋体" w:eastAsia="宋体" w:cs="宋体"/>
                <w:i w:val="0"/>
                <w:iCs w:val="0"/>
                <w:caps w:val="0"/>
                <w:color w:val="000000"/>
                <w:spacing w:val="0"/>
                <w:sz w:val="21"/>
                <w:szCs w:val="21"/>
                <w:highlight w:val="none"/>
                <w:shd w:val="clear" w:color="auto" w:fill="FFFFFF"/>
              </w:rPr>
            </w:pPr>
            <w:r>
              <w:rPr>
                <w:rFonts w:hint="eastAsia" w:ascii="宋体" w:hAnsi="宋体" w:eastAsia="宋体" w:cs="宋体"/>
                <w:i w:val="0"/>
                <w:iCs w:val="0"/>
                <w:caps w:val="0"/>
                <w:color w:val="000000"/>
                <w:spacing w:val="0"/>
                <w:sz w:val="21"/>
                <w:szCs w:val="21"/>
                <w:highlight w:val="none"/>
                <w:shd w:val="clear" w:color="auto" w:fill="FFFFFF"/>
              </w:rPr>
              <w:t>基础设施逐步完善。通用机场建设完成坟墓迁移工作。全年维修道路7公里、新建农村公路4公里、窄路加宽0.8公里，维修危桥3座。整治道路交通顽瘴痼疾30余处，安装减速带、警示牌31处。“空心房”整治30个地块，复垦面积50余亩。</w:t>
            </w:r>
          </w:p>
          <w:p>
            <w:pPr>
              <w:pStyle w:val="7"/>
              <w:keepNext w:val="0"/>
              <w:keepLines w:val="0"/>
              <w:pageBreakBefore w:val="0"/>
              <w:widowControl/>
              <w:numPr>
                <w:ilvl w:val="0"/>
                <w:numId w:val="6"/>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jc w:val="left"/>
              <w:rPr>
                <w:rFonts w:hint="eastAsia" w:ascii="宋体" w:hAnsi="宋体" w:eastAsia="宋体" w:cs="宋体"/>
                <w:i w:val="0"/>
                <w:iCs w:val="0"/>
                <w:caps w:val="0"/>
                <w:color w:val="000000"/>
                <w:spacing w:val="0"/>
                <w:sz w:val="21"/>
                <w:szCs w:val="21"/>
                <w:highlight w:val="none"/>
                <w:shd w:val="clear" w:color="auto" w:fill="FFFFFF"/>
              </w:rPr>
            </w:pPr>
            <w:r>
              <w:rPr>
                <w:rFonts w:hint="eastAsia" w:ascii="宋体" w:hAnsi="宋体" w:eastAsia="宋体" w:cs="宋体"/>
                <w:i w:val="0"/>
                <w:iCs w:val="0"/>
                <w:caps w:val="0"/>
                <w:color w:val="000000"/>
                <w:spacing w:val="0"/>
                <w:sz w:val="21"/>
                <w:szCs w:val="21"/>
                <w:highlight w:val="none"/>
                <w:shd w:val="clear" w:color="auto" w:fill="FFFFFF"/>
              </w:rPr>
              <w:t>生态环境持续美化。常态化开展污染防治攻坚、河长制、农村人居环境整治。清淤疏浚小微型沟渠86.43公里、小型塘坝5处，清理水葫芦等水面漂浮物150余吨，农村改厕638个，公厕改造4处。昌盛建筑环保问题、“千吨万人”饮用水源6个问题对标整改。</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jc w:val="left"/>
              <w:rPr>
                <w:rFonts w:hint="eastAsia" w:ascii="宋体" w:hAnsi="宋体" w:eastAsia="宋体" w:cs="宋体"/>
                <w:i w:val="0"/>
                <w:iCs w:val="0"/>
                <w:caps w:val="0"/>
                <w:color w:val="000000"/>
                <w:spacing w:val="0"/>
                <w:sz w:val="21"/>
                <w:szCs w:val="21"/>
                <w:highlight w:val="none"/>
                <w:shd w:val="clear" w:color="auto" w:fill="FFFFFF"/>
                <w:lang w:eastAsia="zh-CN"/>
              </w:rPr>
            </w:pPr>
            <w:r>
              <w:rPr>
                <w:rFonts w:hint="eastAsia" w:ascii="宋体" w:hAnsi="宋体" w:cs="宋体"/>
                <w:i w:val="0"/>
                <w:iCs w:val="0"/>
                <w:caps w:val="0"/>
                <w:color w:val="000000"/>
                <w:spacing w:val="0"/>
                <w:sz w:val="21"/>
                <w:szCs w:val="21"/>
                <w:highlight w:val="none"/>
                <w:shd w:val="clear" w:color="auto" w:fill="FFFFFF"/>
                <w:lang w:eastAsia="zh-CN"/>
              </w:rPr>
              <w:t>（</w:t>
            </w:r>
            <w:r>
              <w:rPr>
                <w:rFonts w:hint="eastAsia" w:ascii="宋体" w:hAnsi="宋体" w:cs="宋体"/>
                <w:i w:val="0"/>
                <w:iCs w:val="0"/>
                <w:caps w:val="0"/>
                <w:color w:val="000000"/>
                <w:spacing w:val="0"/>
                <w:sz w:val="21"/>
                <w:szCs w:val="21"/>
                <w:highlight w:val="none"/>
                <w:shd w:val="clear" w:color="auto" w:fill="FFFFFF"/>
                <w:lang w:val="en-US" w:eastAsia="zh-CN"/>
              </w:rPr>
              <w:t>5）民生福祉全力保障。疫情防控取得阶段性胜利。完成扶贫资金使用项目16个，18户26名贫困户如期脱贫。全年累计发放低保、五保等补助资金200余万元。</w:t>
            </w:r>
          </w:p>
          <w:p>
            <w:pPr>
              <w:spacing w:line="360" w:lineRule="auto"/>
              <w:jc w:val="center"/>
              <w:rPr>
                <w:rFonts w:hint="eastAsia"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3" w:hRule="atLeast"/>
        </w:trPr>
        <w:tc>
          <w:tcPr>
            <w:tcW w:w="2068"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部门职能职责</w:t>
            </w:r>
          </w:p>
        </w:tc>
        <w:tc>
          <w:tcPr>
            <w:tcW w:w="8391" w:type="dxa"/>
            <w:gridSpan w:val="8"/>
            <w:vAlign w:val="center"/>
          </w:tcPr>
          <w:p>
            <w:pPr>
              <w:spacing w:line="360" w:lineRule="auto"/>
              <w:jc w:val="center"/>
              <w:rPr>
                <w:rFonts w:hint="eastAsia" w:cs="宋体"/>
                <w:color w:val="000000"/>
                <w:sz w:val="21"/>
                <w:szCs w:val="21"/>
                <w:lang w:val="en-US" w:eastAsia="zh-CN"/>
              </w:rPr>
            </w:pPr>
            <w:r>
              <w:rPr>
                <w:rFonts w:hint="eastAsia" w:cs="宋体"/>
                <w:color w:val="000000"/>
                <w:sz w:val="21"/>
                <w:szCs w:val="21"/>
                <w:lang w:val="en-US" w:eastAsia="zh-CN"/>
              </w:rPr>
              <w:t>1、领导本镇政治、经济、文化、社会、生态文明建设各方面工作和基层社会治理，承担管党治党工作责任，支持和保证行政组织、经济组织和群众自治组织充分行使职权；</w:t>
            </w:r>
          </w:p>
          <w:p>
            <w:pPr>
              <w:spacing w:line="360" w:lineRule="auto"/>
              <w:jc w:val="center"/>
              <w:rPr>
                <w:rFonts w:hint="eastAsia" w:cs="宋体"/>
                <w:color w:val="000000"/>
                <w:sz w:val="21"/>
                <w:szCs w:val="21"/>
                <w:lang w:val="en-US" w:eastAsia="zh-CN"/>
              </w:rPr>
            </w:pPr>
            <w:r>
              <w:rPr>
                <w:rFonts w:hint="eastAsia" w:cs="宋体"/>
                <w:color w:val="000000"/>
                <w:sz w:val="21"/>
                <w:szCs w:val="21"/>
                <w:lang w:val="en-US" w:eastAsia="zh-CN"/>
              </w:rPr>
              <w:t>2、享有相应人事权、财权和经济社会管理方面的审批、服务、执法权限。</w:t>
            </w:r>
          </w:p>
          <w:p>
            <w:pPr>
              <w:spacing w:line="360" w:lineRule="auto"/>
              <w:jc w:val="center"/>
              <w:rPr>
                <w:rFonts w:hint="eastAsia" w:cs="宋体"/>
                <w:color w:val="000000"/>
                <w:sz w:val="21"/>
                <w:szCs w:val="21"/>
                <w:lang w:val="en-US" w:eastAsia="zh-CN"/>
              </w:rPr>
            </w:pPr>
            <w:r>
              <w:rPr>
                <w:rFonts w:hint="eastAsia" w:cs="宋体"/>
                <w:color w:val="000000"/>
                <w:sz w:val="21"/>
                <w:szCs w:val="21"/>
                <w:lang w:val="en-US" w:eastAsia="zh-CN"/>
              </w:rPr>
              <w:t>3、镇纪委履行规定的纪律检查和检查职责；</w:t>
            </w:r>
          </w:p>
          <w:p>
            <w:pPr>
              <w:spacing w:line="360" w:lineRule="auto"/>
              <w:jc w:val="center"/>
              <w:rPr>
                <w:rFonts w:hint="eastAsia" w:cs="宋体"/>
                <w:color w:val="000000"/>
                <w:sz w:val="21"/>
                <w:szCs w:val="21"/>
                <w:lang w:val="en-US" w:eastAsia="zh-CN"/>
              </w:rPr>
            </w:pPr>
            <w:r>
              <w:rPr>
                <w:rFonts w:hint="eastAsia" w:cs="宋体"/>
                <w:color w:val="000000"/>
                <w:sz w:val="21"/>
                <w:szCs w:val="21"/>
                <w:lang w:val="en-US" w:eastAsia="zh-CN"/>
              </w:rPr>
              <w:t>4、北洲子镇人大依据《宪法》和《组织法》行使职能；明确专人负责政协委员联络工作；</w:t>
            </w:r>
          </w:p>
          <w:p>
            <w:pPr>
              <w:spacing w:line="360" w:lineRule="auto"/>
              <w:jc w:val="center"/>
              <w:rPr>
                <w:rFonts w:hint="eastAsia" w:cs="宋体"/>
                <w:color w:val="000000"/>
                <w:sz w:val="21"/>
                <w:szCs w:val="21"/>
                <w:lang w:val="en-US" w:eastAsia="zh-CN"/>
              </w:rPr>
            </w:pPr>
            <w:r>
              <w:rPr>
                <w:rFonts w:hint="eastAsia" w:cs="宋体"/>
                <w:color w:val="000000"/>
                <w:sz w:val="21"/>
                <w:szCs w:val="21"/>
                <w:lang w:val="en-US" w:eastAsia="zh-CN"/>
              </w:rPr>
              <w:t>5、北洲子镇人民武装部依法履行国防动员、民兵训练、预备役管理等职能；</w:t>
            </w:r>
          </w:p>
          <w:p>
            <w:pPr>
              <w:spacing w:line="360" w:lineRule="auto"/>
              <w:jc w:val="center"/>
              <w:rPr>
                <w:rFonts w:hint="eastAsia" w:cs="宋体"/>
                <w:color w:val="000000"/>
                <w:sz w:val="21"/>
                <w:szCs w:val="21"/>
                <w:lang w:val="en-US" w:eastAsia="zh-CN"/>
              </w:rPr>
            </w:pPr>
            <w:r>
              <w:rPr>
                <w:rFonts w:hint="eastAsia" w:cs="宋体"/>
                <w:color w:val="000000"/>
                <w:sz w:val="21"/>
                <w:szCs w:val="21"/>
                <w:lang w:val="en-US" w:eastAsia="zh-CN"/>
              </w:rPr>
              <w:t>6、根据有关章程设立镇工会、共青团、妇联等群团组织，在镇党委领导下，依法依章开展工作，发挥联系群众的桥梁和纽带作用。</w:t>
            </w:r>
          </w:p>
          <w:p>
            <w:pPr>
              <w:spacing w:line="360" w:lineRule="auto"/>
              <w:jc w:val="center"/>
              <w:rPr>
                <w:rFonts w:hint="eastAsia" w:cs="宋体"/>
                <w:color w:val="000000"/>
                <w:sz w:val="21"/>
                <w:szCs w:val="21"/>
                <w:lang w:val="en-US" w:eastAsia="zh-CN"/>
              </w:rPr>
            </w:pPr>
            <w:r>
              <w:rPr>
                <w:rFonts w:hint="eastAsia" w:cs="宋体"/>
                <w:color w:val="000000"/>
                <w:sz w:val="21"/>
                <w:szCs w:val="21"/>
                <w:lang w:val="en-US" w:eastAsia="zh-CN"/>
              </w:rPr>
              <w:t>7、北洲子镇共12个机构：其中内设机构7个（党政办公室、党建办公室、经济发展办公室、社会事务办公室、自然资源和生态环境办公室、社会治安和应急管理办公室、财政财务管理办公室）。直属事业单位4个（社会事务综合服务中心、农业综合服务中心、党群和政务服务中心、退役军人服务站）。执法大队1个（综合执法大队）。</w:t>
            </w:r>
          </w:p>
          <w:p>
            <w:pPr>
              <w:spacing w:line="360" w:lineRule="auto"/>
              <w:jc w:val="left"/>
              <w:rPr>
                <w:rFonts w:hint="eastAsia" w:cs="宋体"/>
                <w:color w:val="000000"/>
                <w:sz w:val="21"/>
                <w:szCs w:val="21"/>
                <w:lang w:val="en-US" w:eastAsia="zh-CN"/>
              </w:rPr>
            </w:pPr>
            <w:r>
              <w:rPr>
                <w:rFonts w:hint="eastAsia" w:cs="宋体"/>
                <w:color w:val="000000"/>
                <w:sz w:val="21"/>
                <w:szCs w:val="21"/>
                <w:lang w:val="en-US" w:eastAsia="zh-CN"/>
              </w:rPr>
              <w:t>（1）党政办公室：协助镇领导处理党委、人大、政府日常事务和政协委员联络事务，负责机关文电，重要文稿、综合调研、信息、机要、保密、档案、政务公开、会议、接待、行政后勤等工作。</w:t>
            </w:r>
          </w:p>
          <w:p>
            <w:pPr>
              <w:spacing w:line="360" w:lineRule="auto"/>
              <w:jc w:val="left"/>
              <w:rPr>
                <w:rFonts w:hint="eastAsia" w:cs="宋体"/>
                <w:color w:val="000000"/>
                <w:sz w:val="21"/>
                <w:szCs w:val="21"/>
                <w:lang w:val="en-US" w:eastAsia="zh-CN"/>
              </w:rPr>
            </w:pPr>
            <w:r>
              <w:rPr>
                <w:rFonts w:hint="eastAsia" w:cs="宋体"/>
                <w:color w:val="000000"/>
                <w:sz w:val="21"/>
                <w:szCs w:val="21"/>
                <w:lang w:val="en-US" w:eastAsia="zh-CN"/>
              </w:rPr>
              <w:t>（2）党建办公室：负责北洲子镇党组织建设和党员队伍建设工作，负责干部人事、宣传、统战、机构编制工作。</w:t>
            </w:r>
          </w:p>
          <w:p>
            <w:pPr>
              <w:spacing w:line="360" w:lineRule="auto"/>
              <w:jc w:val="left"/>
              <w:rPr>
                <w:rFonts w:hint="eastAsia" w:cs="宋体"/>
                <w:color w:val="000000"/>
                <w:sz w:val="21"/>
                <w:szCs w:val="21"/>
                <w:lang w:val="en-US" w:eastAsia="zh-CN"/>
              </w:rPr>
            </w:pPr>
            <w:r>
              <w:rPr>
                <w:rFonts w:hint="eastAsia" w:cs="宋体"/>
                <w:color w:val="000000"/>
                <w:sz w:val="21"/>
                <w:szCs w:val="21"/>
                <w:lang w:val="en-US" w:eastAsia="zh-CN"/>
              </w:rPr>
              <w:t>（3）经济发展办公室：负责编制经济社会发展规划和年度计划，协调推进工业经济、科技、乡村振兴、农业产业发展、农村集体经济与农民专业合作社发展、乡村人居环境整治等工作。</w:t>
            </w:r>
          </w:p>
          <w:p>
            <w:pPr>
              <w:spacing w:line="360" w:lineRule="auto"/>
              <w:jc w:val="left"/>
              <w:rPr>
                <w:rFonts w:hint="eastAsia" w:cs="宋体"/>
                <w:color w:val="000000"/>
                <w:sz w:val="21"/>
                <w:szCs w:val="21"/>
                <w:lang w:val="en-US" w:eastAsia="zh-CN"/>
              </w:rPr>
            </w:pPr>
            <w:r>
              <w:rPr>
                <w:rFonts w:hint="eastAsia" w:cs="宋体"/>
                <w:color w:val="000000"/>
                <w:sz w:val="21"/>
                <w:szCs w:val="21"/>
                <w:lang w:val="en-US" w:eastAsia="zh-CN"/>
              </w:rPr>
              <w:t>（4）社会事务办公室：负责教育、人力资源与社会保障、民政。残联、社会救助、社区建设、医疗保障、卫生健康与计划生育、老龄、负责文化旅游广电体育、民族宗教、侨务等工作。</w:t>
            </w:r>
          </w:p>
          <w:p>
            <w:pPr>
              <w:spacing w:line="360" w:lineRule="auto"/>
              <w:jc w:val="left"/>
              <w:rPr>
                <w:rFonts w:hint="eastAsia" w:cs="宋体"/>
                <w:color w:val="000000"/>
                <w:sz w:val="21"/>
                <w:szCs w:val="21"/>
                <w:lang w:val="en-US" w:eastAsia="zh-CN"/>
              </w:rPr>
            </w:pPr>
            <w:r>
              <w:rPr>
                <w:rFonts w:hint="eastAsia" w:cs="宋体"/>
                <w:color w:val="000000"/>
                <w:sz w:val="21"/>
                <w:szCs w:val="21"/>
                <w:lang w:val="en-US" w:eastAsia="zh-CN"/>
              </w:rPr>
              <w:t>（5）自然资源和生态环境办公室：负责自然资源、生态环境保护、村镇规划、村镇建设、城市管理等方面的综合行政管理工作。</w:t>
            </w:r>
          </w:p>
          <w:p>
            <w:pPr>
              <w:spacing w:line="360" w:lineRule="auto"/>
              <w:jc w:val="left"/>
              <w:rPr>
                <w:rFonts w:hint="eastAsia" w:cs="宋体"/>
                <w:color w:val="000000"/>
                <w:sz w:val="21"/>
                <w:szCs w:val="21"/>
                <w:lang w:val="en-US" w:eastAsia="zh-CN"/>
              </w:rPr>
            </w:pPr>
            <w:r>
              <w:rPr>
                <w:rFonts w:hint="eastAsia" w:cs="宋体"/>
                <w:color w:val="000000"/>
                <w:sz w:val="21"/>
                <w:szCs w:val="21"/>
                <w:lang w:val="en-US" w:eastAsia="zh-CN"/>
              </w:rPr>
              <w:t>（6）社会治安和应急管理办公室：负责社会治安综合治理、维护稳定、信访、防范邪教、社会禁毒、平安建设等工作，负责综治中心平台建设管理，负责突发公共事件应急管理与处置、安全生产监督管理工作。</w:t>
            </w:r>
          </w:p>
          <w:p>
            <w:pPr>
              <w:spacing w:line="360" w:lineRule="auto"/>
              <w:jc w:val="left"/>
              <w:rPr>
                <w:rFonts w:hint="eastAsia" w:cs="宋体"/>
                <w:color w:val="000000"/>
                <w:sz w:val="21"/>
                <w:szCs w:val="21"/>
                <w:lang w:val="en-US" w:eastAsia="zh-CN"/>
              </w:rPr>
            </w:pPr>
            <w:r>
              <w:rPr>
                <w:rFonts w:hint="eastAsia" w:cs="宋体"/>
                <w:color w:val="000000"/>
                <w:sz w:val="21"/>
                <w:szCs w:val="21"/>
                <w:lang w:val="en-US" w:eastAsia="zh-CN"/>
              </w:rPr>
              <w:t>（7）财政财务管理办公室；负责财政预、决算编制并组织执行、惠民惠农补贴资金发放、财政性资金监督管理、国有资产管理、债权债务管理，组织协调收入征收，负责机关和直属单位财务管理、村级财务监督，负责财政票据的领取、使用及消缴工作，参与全镇经济决策与管理。</w:t>
            </w:r>
          </w:p>
          <w:p>
            <w:pPr>
              <w:spacing w:line="360" w:lineRule="auto"/>
              <w:jc w:val="left"/>
              <w:rPr>
                <w:rFonts w:hint="eastAsia" w:cs="宋体"/>
                <w:color w:val="000000"/>
                <w:sz w:val="21"/>
                <w:szCs w:val="21"/>
                <w:lang w:val="en-US" w:eastAsia="zh-CN"/>
              </w:rPr>
            </w:pPr>
            <w:r>
              <w:rPr>
                <w:rFonts w:hint="eastAsia" w:cs="宋体"/>
                <w:color w:val="000000"/>
                <w:sz w:val="21"/>
                <w:szCs w:val="21"/>
                <w:lang w:val="en-US" w:eastAsia="zh-CN"/>
              </w:rPr>
              <w:t>（8）综合执法大队：主要负责本辖区日常执法活动和重大案件线索巡察。</w:t>
            </w:r>
          </w:p>
          <w:p>
            <w:pPr>
              <w:spacing w:line="360" w:lineRule="auto"/>
              <w:jc w:val="left"/>
              <w:rPr>
                <w:rFonts w:hint="eastAsia" w:cs="宋体"/>
                <w:color w:val="000000"/>
                <w:sz w:val="21"/>
                <w:szCs w:val="21"/>
                <w:lang w:val="en-US" w:eastAsia="zh-CN"/>
              </w:rPr>
            </w:pPr>
            <w:r>
              <w:rPr>
                <w:rFonts w:hint="eastAsia" w:cs="宋体"/>
                <w:color w:val="000000"/>
                <w:sz w:val="21"/>
                <w:szCs w:val="21"/>
                <w:lang w:val="en-US" w:eastAsia="zh-CN"/>
              </w:rPr>
              <w:t>（9）社会事务综合服务中心：负责承办人力资源与社会保障、民政、社会救助、社区建设、医疗保障、卫生健康与计划生育、民族宗教、侨务等方面的公益服务性、技术性工作。</w:t>
            </w:r>
          </w:p>
          <w:p>
            <w:pPr>
              <w:spacing w:line="360" w:lineRule="auto"/>
              <w:jc w:val="left"/>
              <w:rPr>
                <w:rFonts w:hint="eastAsia" w:cs="宋体"/>
                <w:color w:val="000000"/>
                <w:sz w:val="21"/>
                <w:szCs w:val="21"/>
                <w:lang w:val="en-US" w:eastAsia="zh-CN"/>
              </w:rPr>
            </w:pPr>
            <w:r>
              <w:rPr>
                <w:rFonts w:hint="eastAsia" w:cs="宋体"/>
                <w:color w:val="000000"/>
                <w:sz w:val="21"/>
                <w:szCs w:val="21"/>
                <w:lang w:val="en-US" w:eastAsia="zh-CN"/>
              </w:rPr>
              <w:t>（10）农业综合服务中心：负责种植业、养殖业、水产业、农业机械新技术的引进、试验示范、培训推广、技术服务和农业病虫害预测预报及防治指导工作。</w:t>
            </w:r>
          </w:p>
          <w:p>
            <w:pPr>
              <w:spacing w:line="360" w:lineRule="auto"/>
              <w:jc w:val="left"/>
              <w:rPr>
                <w:rFonts w:hint="eastAsia" w:cs="宋体"/>
                <w:color w:val="000000"/>
                <w:sz w:val="21"/>
                <w:szCs w:val="21"/>
                <w:lang w:val="en-US" w:eastAsia="zh-CN"/>
              </w:rPr>
            </w:pPr>
            <w:r>
              <w:rPr>
                <w:rFonts w:hint="eastAsia" w:cs="宋体"/>
                <w:color w:val="000000"/>
                <w:sz w:val="21"/>
                <w:szCs w:val="21"/>
                <w:lang w:val="en-US" w:eastAsia="zh-CN"/>
              </w:rPr>
              <w:t>（11）党群和政务服务中心：负责党务、政务、社会服务场所管理与服务工作，负责党务、政务、社会服务平台管理与维护。</w:t>
            </w:r>
          </w:p>
          <w:p>
            <w:pPr>
              <w:spacing w:line="360" w:lineRule="auto"/>
              <w:jc w:val="left"/>
              <w:rPr>
                <w:rFonts w:hint="eastAsia" w:cs="宋体"/>
                <w:color w:val="000000"/>
                <w:sz w:val="22"/>
                <w:szCs w:val="22"/>
                <w:lang w:val="en-US" w:eastAsia="zh-CN"/>
              </w:rPr>
            </w:pPr>
            <w:r>
              <w:rPr>
                <w:rFonts w:hint="eastAsia" w:cs="宋体"/>
                <w:color w:val="000000"/>
                <w:sz w:val="21"/>
                <w:szCs w:val="21"/>
                <w:lang w:val="en-US" w:eastAsia="zh-CN"/>
              </w:rPr>
              <w:t>（12）退役军人服务站：负责退役军人就业创业、优抚帮扶、权益保障、数据信息采集、走访慰问等事务性工作。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358"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绩效指标</w:t>
            </w:r>
          </w:p>
        </w:tc>
        <w:tc>
          <w:tcPr>
            <w:tcW w:w="71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一级指标</w:t>
            </w:r>
          </w:p>
        </w:tc>
        <w:tc>
          <w:tcPr>
            <w:tcW w:w="1904"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二级指标</w:t>
            </w:r>
          </w:p>
        </w:tc>
        <w:tc>
          <w:tcPr>
            <w:tcW w:w="1966"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三级指标</w:t>
            </w:r>
          </w:p>
        </w:tc>
        <w:tc>
          <w:tcPr>
            <w:tcW w:w="1627"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年度指标值</w:t>
            </w:r>
          </w:p>
        </w:tc>
        <w:tc>
          <w:tcPr>
            <w:tcW w:w="15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实际完成值</w:t>
            </w:r>
          </w:p>
        </w:tc>
        <w:tc>
          <w:tcPr>
            <w:tcW w:w="1359"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偏差原因分析极改进措施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产生指标</w:t>
            </w:r>
          </w:p>
        </w:tc>
        <w:tc>
          <w:tcPr>
            <w:tcW w:w="1904"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数量指标</w:t>
            </w:r>
          </w:p>
        </w:tc>
        <w:tc>
          <w:tcPr>
            <w:tcW w:w="1966" w:type="dxa"/>
            <w:gridSpan w:val="2"/>
            <w:vAlign w:val="center"/>
          </w:tcPr>
          <w:p>
            <w:pPr>
              <w:spacing w:line="360" w:lineRule="auto"/>
              <w:jc w:val="center"/>
              <w:rPr>
                <w:rFonts w:hint="eastAsia" w:eastAsia="宋体" w:cs="宋体"/>
                <w:color w:val="000000"/>
                <w:sz w:val="24"/>
                <w:lang w:val="en-US" w:eastAsia="zh-CN"/>
              </w:rPr>
            </w:pPr>
            <w:r>
              <w:rPr>
                <w:rFonts w:hint="eastAsia" w:cs="宋体"/>
                <w:color w:val="000000"/>
                <w:sz w:val="24"/>
                <w:lang w:val="en-US" w:eastAsia="zh-CN"/>
              </w:rPr>
              <w:t>镇在编在岗人员</w:t>
            </w:r>
          </w:p>
        </w:tc>
        <w:tc>
          <w:tcPr>
            <w:tcW w:w="1627" w:type="dxa"/>
            <w:gridSpan w:val="2"/>
            <w:vAlign w:val="center"/>
          </w:tcPr>
          <w:p>
            <w:pPr>
              <w:spacing w:line="360" w:lineRule="auto"/>
              <w:jc w:val="center"/>
              <w:rPr>
                <w:rFonts w:hint="eastAsia" w:eastAsia="宋体" w:cs="宋体"/>
                <w:color w:val="000000"/>
                <w:sz w:val="24"/>
                <w:lang w:val="en-US" w:eastAsia="zh-CN"/>
              </w:rPr>
            </w:pPr>
            <w:r>
              <w:rPr>
                <w:rFonts w:hint="eastAsia" w:cs="宋体"/>
                <w:color w:val="000000" w:themeColor="text1"/>
                <w:sz w:val="24"/>
                <w:lang w:val="en-US" w:eastAsia="zh-CN"/>
                <w14:textFill>
                  <w14:solidFill>
                    <w14:schemeClr w14:val="tx1"/>
                  </w14:solidFill>
                </w14:textFill>
              </w:rPr>
              <w:t>54人</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themeColor="text1"/>
                <w:sz w:val="24"/>
                <w:lang w:val="en-US" w:eastAsia="zh-CN"/>
                <w14:textFill>
                  <w14:solidFill>
                    <w14:schemeClr w14:val="tx1"/>
                  </w14:solidFill>
                </w14:textFill>
              </w:rPr>
              <w:t>48</w:t>
            </w:r>
            <w:r>
              <w:rPr>
                <w:rFonts w:hint="eastAsia" w:cs="宋体"/>
                <w:color w:val="000000"/>
                <w:sz w:val="24"/>
                <w:lang w:val="en-US" w:eastAsia="zh-CN"/>
              </w:rPr>
              <w:t>人</w:t>
            </w:r>
          </w:p>
        </w:tc>
        <w:tc>
          <w:tcPr>
            <w:tcW w:w="1359"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离职退休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机构运行数</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12个镇机构、4个村、2个社区</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12个镇机构、4个村、2个社区</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全年税收完成量</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&gt;=2000万</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2052万元</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农村改厕完成量</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&gt;=600个</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638个</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cs="宋体"/>
                <w:color w:val="000000"/>
                <w:sz w:val="24"/>
                <w:lang w:val="en-US" w:eastAsia="zh-CN"/>
              </w:rPr>
            </w:pPr>
            <w:r>
              <w:rPr>
                <w:rFonts w:hint="eastAsia" w:ascii="宋体" w:hAnsi="宋体" w:eastAsia="宋体" w:cs="宋体"/>
                <w:color w:val="auto"/>
                <w:sz w:val="24"/>
                <w:szCs w:val="24"/>
                <w:highlight w:val="none"/>
                <w:lang w:eastAsia="zh-CN"/>
              </w:rPr>
              <w:t>国有农用地清理整治面积</w:t>
            </w:r>
            <w:r>
              <w:rPr>
                <w:rFonts w:hint="eastAsia" w:ascii="宋体" w:hAnsi="宋体" w:cs="宋体"/>
                <w:color w:val="auto"/>
                <w:sz w:val="24"/>
                <w:szCs w:val="24"/>
                <w:highlight w:val="none"/>
                <w:lang w:val="en-US" w:eastAsia="zh-CN"/>
              </w:rPr>
              <w:t>欠款收回</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&gt;=50万元</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51.4万元</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质量指标</w:t>
            </w: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大湖区电排使用率</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政府机构运行率</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疫情防控控制率</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固定资产使用率</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cs="宋体"/>
                <w:color w:val="000000"/>
                <w:sz w:val="24"/>
                <w:lang w:val="en-US" w:eastAsia="zh-CN"/>
              </w:rPr>
            </w:pPr>
            <w:r>
              <w:rPr>
                <w:rFonts w:hint="eastAsia" w:ascii="宋体" w:hAnsi="宋体" w:eastAsia="宋体" w:cs="宋体"/>
                <w:color w:val="auto"/>
                <w:sz w:val="24"/>
                <w:szCs w:val="24"/>
                <w:highlight w:val="none"/>
                <w:lang w:eastAsia="zh-CN"/>
              </w:rPr>
              <w:t>国有农用地清理整治面积</w:t>
            </w:r>
            <w:r>
              <w:rPr>
                <w:rFonts w:hint="eastAsia" w:ascii="宋体" w:hAnsi="宋体" w:cs="宋体"/>
                <w:color w:val="auto"/>
                <w:sz w:val="24"/>
                <w:szCs w:val="24"/>
                <w:highlight w:val="none"/>
                <w:lang w:val="en-US" w:eastAsia="zh-CN"/>
              </w:rPr>
              <w:t>欠款收回率</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时效指标</w:t>
            </w:r>
          </w:p>
        </w:tc>
        <w:tc>
          <w:tcPr>
            <w:tcW w:w="1966"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人员工资发放时效</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每月10日前</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每月10日前</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default" w:cs="宋体"/>
                <w:color w:val="000000"/>
                <w:sz w:val="24"/>
                <w:lang w:val="en-US" w:eastAsia="zh-CN"/>
              </w:rPr>
            </w:pP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资金使用时间</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2020年底</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2020年底</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资金拨付时效</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2020年底</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2020年底</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脱贫工作完成时效</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2020年底</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2020年底</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疫情防控项目完成时效</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2020年底</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2020年底</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成本指标</w:t>
            </w: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人均人员支出金额</w:t>
            </w:r>
          </w:p>
        </w:tc>
        <w:tc>
          <w:tcPr>
            <w:tcW w:w="1627"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518.79万元/年</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518.79万元/年</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全年预算内金额</w:t>
            </w:r>
          </w:p>
        </w:tc>
        <w:tc>
          <w:tcPr>
            <w:tcW w:w="1627" w:type="dxa"/>
            <w:gridSpan w:val="2"/>
            <w:vAlign w:val="center"/>
          </w:tcPr>
          <w:p>
            <w:pPr>
              <w:spacing w:line="360" w:lineRule="auto"/>
              <w:jc w:val="center"/>
              <w:rPr>
                <w:rFonts w:hint="eastAsia"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106.08万元</w:t>
            </w:r>
          </w:p>
        </w:tc>
        <w:tc>
          <w:tcPr>
            <w:tcW w:w="1535" w:type="dxa"/>
            <w:vAlign w:val="center"/>
          </w:tcPr>
          <w:p>
            <w:pPr>
              <w:spacing w:line="360" w:lineRule="auto"/>
              <w:jc w:val="center"/>
              <w:rPr>
                <w:rFonts w:hint="eastAsia"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106.08万元</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资产购置</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46.18万元</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46.18万元</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三公经费金额</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50万</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50万</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效益指标</w:t>
            </w:r>
          </w:p>
        </w:tc>
        <w:tc>
          <w:tcPr>
            <w:tcW w:w="1904"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经济效益指标</w:t>
            </w: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全镇政治、经济有效发展</w:t>
            </w:r>
          </w:p>
        </w:tc>
        <w:tc>
          <w:tcPr>
            <w:tcW w:w="1627" w:type="dxa"/>
            <w:gridSpan w:val="2"/>
            <w:vAlign w:val="center"/>
          </w:tcPr>
          <w:p>
            <w:pPr>
              <w:spacing w:line="360" w:lineRule="auto"/>
              <w:jc w:val="center"/>
              <w:rPr>
                <w:rFonts w:hint="eastAsia" w:eastAsia="宋体" w:cs="宋体"/>
                <w:color w:val="000000"/>
                <w:sz w:val="24"/>
                <w:lang w:val="en-US" w:eastAsia="zh-CN"/>
              </w:rPr>
            </w:pPr>
            <w:r>
              <w:rPr>
                <w:rFonts w:hint="eastAsia" w:cs="宋体"/>
                <w:color w:val="000000"/>
                <w:sz w:val="24"/>
                <w:lang w:val="en-US" w:eastAsia="zh-CN"/>
              </w:rPr>
              <w:t>长期有效</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全镇文化、社会、生态文明建设</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社会效益指标</w:t>
            </w: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保证全镇人员社会治安</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保证全镇人员生命财产安全</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生态效益指标</w:t>
            </w: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维护全镇人员的生产生活环境</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可持续影响指标</w:t>
            </w: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促进经济文化可持续发展</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促进文明环境可持续发展</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满意度指标</w:t>
            </w:r>
          </w:p>
        </w:tc>
        <w:tc>
          <w:tcPr>
            <w:tcW w:w="1904"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服务对象满意度指标</w:t>
            </w: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公众服务满意率</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&gt;=95%</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&gt;=95%</w:t>
            </w:r>
          </w:p>
        </w:tc>
        <w:tc>
          <w:tcPr>
            <w:tcW w:w="135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358" w:type="dxa"/>
            <w:vMerge w:val="continue"/>
            <w:vAlign w:val="center"/>
          </w:tcPr>
          <w:p>
            <w:pPr>
              <w:spacing w:line="360" w:lineRule="auto"/>
              <w:jc w:val="center"/>
              <w:rPr>
                <w:rFonts w:hint="eastAsia" w:cs="宋体"/>
                <w:color w:val="000000"/>
                <w:sz w:val="24"/>
                <w:lang w:val="en-US" w:eastAsia="zh-CN"/>
              </w:rPr>
            </w:pPr>
          </w:p>
        </w:tc>
        <w:tc>
          <w:tcPr>
            <w:tcW w:w="710" w:type="dxa"/>
            <w:vMerge w:val="continue"/>
            <w:vAlign w:val="center"/>
          </w:tcPr>
          <w:p>
            <w:pPr>
              <w:spacing w:line="360" w:lineRule="auto"/>
              <w:jc w:val="center"/>
              <w:rPr>
                <w:rFonts w:hint="eastAsia" w:cs="宋体"/>
                <w:color w:val="000000"/>
                <w:sz w:val="24"/>
                <w:lang w:val="en-US" w:eastAsia="zh-CN"/>
              </w:rPr>
            </w:pPr>
          </w:p>
        </w:tc>
        <w:tc>
          <w:tcPr>
            <w:tcW w:w="1904" w:type="dxa"/>
            <w:gridSpan w:val="2"/>
            <w:vMerge w:val="continue"/>
            <w:vAlign w:val="center"/>
          </w:tcPr>
          <w:p>
            <w:pPr>
              <w:spacing w:line="360" w:lineRule="auto"/>
              <w:jc w:val="center"/>
              <w:rPr>
                <w:rFonts w:hint="eastAsia" w:cs="宋体"/>
                <w:color w:val="000000"/>
                <w:sz w:val="24"/>
                <w:lang w:val="en-US" w:eastAsia="zh-CN"/>
              </w:rPr>
            </w:pPr>
          </w:p>
        </w:tc>
        <w:tc>
          <w:tcPr>
            <w:tcW w:w="1966"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政府机构人员满意率</w:t>
            </w:r>
          </w:p>
        </w:tc>
        <w:tc>
          <w:tcPr>
            <w:tcW w:w="1627"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&gt;=95%</w:t>
            </w:r>
          </w:p>
        </w:tc>
        <w:tc>
          <w:tcPr>
            <w:tcW w:w="15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&gt;=95%</w:t>
            </w:r>
          </w:p>
        </w:tc>
        <w:tc>
          <w:tcPr>
            <w:tcW w:w="1359" w:type="dxa"/>
            <w:vAlign w:val="center"/>
          </w:tcPr>
          <w:p>
            <w:pPr>
              <w:spacing w:line="360" w:lineRule="auto"/>
              <w:jc w:val="center"/>
              <w:rPr>
                <w:rFonts w:hint="eastAsia" w:cs="宋体"/>
                <w:color w:val="000000"/>
                <w:sz w:val="24"/>
                <w:lang w:val="en-US" w:eastAsia="zh-CN"/>
              </w:rPr>
            </w:pPr>
          </w:p>
        </w:tc>
      </w:tr>
    </w:tbl>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rPr>
          <w:rFonts w:eastAsia="黑体"/>
          <w:color w:val="000000"/>
          <w:kern w:val="0"/>
          <w:sz w:val="32"/>
          <w:szCs w:val="32"/>
        </w:rPr>
      </w:pPr>
      <w:r>
        <w:rPr>
          <w:rFonts w:hAnsi="黑体" w:eastAsia="黑体"/>
          <w:color w:val="000000"/>
          <w:kern w:val="0"/>
          <w:sz w:val="32"/>
          <w:szCs w:val="32"/>
        </w:rPr>
        <w:t>附件</w:t>
      </w:r>
      <w:r>
        <w:rPr>
          <w:rFonts w:hint="eastAsia" w:hAnsi="黑体" w:eastAsia="黑体"/>
          <w:color w:val="000000"/>
          <w:kern w:val="0"/>
          <w:sz w:val="32"/>
          <w:szCs w:val="32"/>
          <w:lang w:val="en-US" w:eastAsia="zh-CN"/>
        </w:rPr>
        <w:t>2</w:t>
      </w:r>
    </w:p>
    <w:p>
      <w:pPr>
        <w:autoSpaceDE w:val="0"/>
        <w:autoSpaceDN w:val="0"/>
        <w:spacing w:line="600" w:lineRule="exact"/>
        <w:jc w:val="center"/>
        <w:rPr>
          <w:rFonts w:hint="eastAsia" w:eastAsia="仿宋_GB2312" w:cs="仿宋_GB2312"/>
          <w:color w:val="000000"/>
          <w:sz w:val="24"/>
        </w:rPr>
      </w:pPr>
      <w:r>
        <w:rPr>
          <w:rFonts w:hint="eastAsia" w:ascii="方正大标宋简体" w:eastAsia="方正大标宋简体" w:cs="仿宋_GB2312"/>
          <w:bCs/>
          <w:color w:val="000000"/>
          <w:kern w:val="0"/>
          <w:sz w:val="44"/>
          <w:szCs w:val="44"/>
        </w:rPr>
        <w:t>20</w:t>
      </w:r>
      <w:r>
        <w:rPr>
          <w:rFonts w:hint="eastAsia" w:ascii="方正大标宋简体" w:eastAsia="方正大标宋简体" w:cs="仿宋_GB2312"/>
          <w:bCs/>
          <w:color w:val="000000"/>
          <w:kern w:val="0"/>
          <w:sz w:val="44"/>
          <w:szCs w:val="44"/>
          <w:lang w:val="en-US" w:eastAsia="zh-CN"/>
        </w:rPr>
        <w:t>20</w:t>
      </w:r>
      <w:r>
        <w:rPr>
          <w:rFonts w:hint="eastAsia" w:ascii="方正大标宋简体" w:eastAsia="方正大标宋简体" w:cs="仿宋_GB2312"/>
          <w:bCs/>
          <w:color w:val="000000"/>
          <w:kern w:val="0"/>
          <w:sz w:val="44"/>
          <w:szCs w:val="44"/>
        </w:rPr>
        <w:t>年部门整体支出绩效评价基础数据表</w:t>
      </w:r>
    </w:p>
    <w:tbl>
      <w:tblPr>
        <w:tblStyle w:val="10"/>
        <w:tblW w:w="10115"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96"/>
        <w:gridCol w:w="2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财政供养人员情况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2020年编制人数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w:t>
            </w:r>
            <w:r>
              <w:rPr>
                <w:rFonts w:hint="eastAsia" w:cs="宋体"/>
                <w:color w:val="000000"/>
                <w:sz w:val="24"/>
                <w:lang w:val="en-US" w:eastAsia="zh-CN"/>
              </w:rPr>
              <w:br w:type="textWrapping"/>
            </w:r>
            <w:r>
              <w:rPr>
                <w:rFonts w:hint="eastAsia" w:cs="宋体"/>
                <w:color w:val="000000"/>
                <w:sz w:val="24"/>
                <w:lang w:val="en-US" w:eastAsia="zh-CN"/>
              </w:rPr>
              <w:t>实际在职人数</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变动数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54</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48</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上年预算数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本年预算数</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495000</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500000</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项目支出安排情况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项目支出预算总额</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实际项目支出总额</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11209661</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11209661</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预算完成情况</w:t>
            </w: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2020年预算总额</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2020年决算总额</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66679678.64</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66679678.64</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预算调整情况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年初预算数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年中预算调整</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调整率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auto"/>
                <w:sz w:val="24"/>
                <w:shd w:val="clear" w:color="auto" w:fill="auto"/>
                <w:lang w:val="en-US" w:eastAsia="zh-CN"/>
              </w:rPr>
              <w:t>25439678.64</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41240000</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结转结余变动情况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上年结转结余总额</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本年结转结余总额</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w:t>
            </w:r>
          </w:p>
        </w:tc>
        <w:tc>
          <w:tcPr>
            <w:tcW w:w="2635" w:type="dxa"/>
            <w:vAlign w:val="center"/>
          </w:tcPr>
          <w:p>
            <w:pPr>
              <w:spacing w:line="360" w:lineRule="auto"/>
              <w:jc w:val="center"/>
              <w:rPr>
                <w:rFonts w:hint="default"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w:t>
            </w:r>
          </w:p>
        </w:tc>
        <w:tc>
          <w:tcPr>
            <w:tcW w:w="2250" w:type="dxa"/>
            <w:vAlign w:val="center"/>
          </w:tcPr>
          <w:p>
            <w:pPr>
              <w:spacing w:line="360" w:lineRule="auto"/>
              <w:jc w:val="center"/>
              <w:rPr>
                <w:rFonts w:hint="default"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“三公经费”预算数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“三公经费”实际支出</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500000</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500000</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政府采购执行情况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政府采购预算数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实际政府采购金额</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0　</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0　</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固定资产使用情况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固定资产总额</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实际在用固定资产总额</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2691593.75</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2691593.75</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内部控制制度完成情况（是/否）</w:t>
            </w: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预算业务管理</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收支业务管理</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政府采购业务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国有资产业务管理</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建设项目业务管理</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合同业务管理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r>
    </w:tbl>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rPr>
          <w:rFonts w:hint="eastAsia" w:eastAsia="黑体"/>
          <w:color w:val="000000"/>
          <w:kern w:val="0"/>
          <w:sz w:val="32"/>
          <w:szCs w:val="32"/>
          <w:lang w:val="en-US"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3</w:t>
      </w:r>
    </w:p>
    <w:p>
      <w:pPr>
        <w:autoSpaceDE w:val="0"/>
        <w:autoSpaceDN w:val="0"/>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20</w:t>
      </w:r>
      <w:r>
        <w:rPr>
          <w:rFonts w:hint="eastAsia" w:ascii="方正大标宋简体" w:eastAsia="方正大标宋简体" w:cs="仿宋_GB2312"/>
          <w:color w:val="000000"/>
          <w:sz w:val="44"/>
          <w:szCs w:val="44"/>
        </w:rPr>
        <w:t>年部门整体支出绩效自评指标计分表</w:t>
      </w:r>
    </w:p>
    <w:tbl>
      <w:tblPr>
        <w:tblStyle w:val="10"/>
        <w:tblW w:w="10506" w:type="dxa"/>
        <w:jc w:val="center"/>
        <w:tblInd w:w="0" w:type="dxa"/>
        <w:tblLayout w:type="fixed"/>
        <w:tblCellMar>
          <w:top w:w="0" w:type="dxa"/>
          <w:left w:w="28" w:type="dxa"/>
          <w:bottom w:w="0" w:type="dxa"/>
          <w:right w:w="28" w:type="dxa"/>
        </w:tblCellMar>
      </w:tblPr>
      <w:tblGrid>
        <w:gridCol w:w="724"/>
        <w:gridCol w:w="547"/>
        <w:gridCol w:w="689"/>
        <w:gridCol w:w="547"/>
        <w:gridCol w:w="5"/>
        <w:gridCol w:w="948"/>
        <w:gridCol w:w="466"/>
        <w:gridCol w:w="2757"/>
        <w:gridCol w:w="594"/>
        <w:gridCol w:w="2742"/>
        <w:gridCol w:w="487"/>
      </w:tblGrid>
      <w:tr>
        <w:tblPrEx>
          <w:tblLayout w:type="fixed"/>
          <w:tblCellMar>
            <w:top w:w="0" w:type="dxa"/>
            <w:left w:w="28" w:type="dxa"/>
            <w:bottom w:w="0" w:type="dxa"/>
            <w:right w:w="28" w:type="dxa"/>
          </w:tblCellMar>
        </w:tblPrEx>
        <w:trPr>
          <w:trHeight w:val="719" w:hRule="atLeast"/>
          <w:tblHeader/>
          <w:jc w:val="center"/>
        </w:trPr>
        <w:tc>
          <w:tcPr>
            <w:tcW w:w="72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一级指标</w:t>
            </w:r>
          </w:p>
        </w:tc>
        <w:tc>
          <w:tcPr>
            <w:tcW w:w="54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689"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二级指标</w:t>
            </w:r>
          </w:p>
        </w:tc>
        <w:tc>
          <w:tcPr>
            <w:tcW w:w="54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953"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三级</w:t>
            </w:r>
          </w:p>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w:t>
            </w:r>
          </w:p>
        </w:tc>
        <w:tc>
          <w:tcPr>
            <w:tcW w:w="466"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275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评价标准</w:t>
            </w:r>
          </w:p>
        </w:tc>
        <w:tc>
          <w:tcPr>
            <w:tcW w:w="3336"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指标说明</w:t>
            </w:r>
          </w:p>
        </w:tc>
        <w:tc>
          <w:tcPr>
            <w:tcW w:w="48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得分</w:t>
            </w:r>
          </w:p>
        </w:tc>
      </w:tr>
      <w:tr>
        <w:tblPrEx>
          <w:tblLayout w:type="fixed"/>
          <w:tblCellMar>
            <w:top w:w="0" w:type="dxa"/>
            <w:left w:w="28" w:type="dxa"/>
            <w:bottom w:w="0" w:type="dxa"/>
            <w:right w:w="28" w:type="dxa"/>
          </w:tblCellMar>
        </w:tblPrEx>
        <w:trPr>
          <w:trHeight w:val="1983" w:hRule="atLeast"/>
          <w:jc w:val="center"/>
        </w:trPr>
        <w:tc>
          <w:tcPr>
            <w:tcW w:w="724" w:type="dxa"/>
            <w:vMerge w:val="restart"/>
            <w:tcBorders>
              <w:top w:val="nil"/>
              <w:left w:val="single" w:color="auto" w:sz="4" w:space="0"/>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投</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入</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w:t>
            </w:r>
            <w:r>
              <w:rPr>
                <w:rFonts w:hint="eastAsia" w:cs="宋体"/>
                <w:color w:val="000000"/>
                <w:kern w:val="0"/>
                <w:sz w:val="24"/>
              </w:rPr>
              <w:t>1</w:t>
            </w:r>
            <w:r>
              <w:rPr>
                <w:rFonts w:hint="eastAsia" w:cs="宋体"/>
                <w:color w:val="000000"/>
                <w:kern w:val="0"/>
                <w:sz w:val="24"/>
                <w:lang w:val="en-US" w:eastAsia="zh-CN"/>
              </w:rPr>
              <w:t>5分)</w:t>
            </w:r>
          </w:p>
        </w:tc>
        <w:tc>
          <w:tcPr>
            <w:tcW w:w="689" w:type="dxa"/>
            <w:vMerge w:val="restart"/>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预算配置</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以100%为标准。在职人员控制率≦100%，计7分；每超过一个百分点扣0.2分，扣完为止。</w:t>
            </w:r>
          </w:p>
        </w:tc>
        <w:tc>
          <w:tcPr>
            <w:tcW w:w="3336" w:type="dxa"/>
            <w:gridSpan w:val="2"/>
            <w:tcBorders>
              <w:top w:val="nil"/>
              <w:left w:val="single" w:color="auto" w:sz="4" w:space="0"/>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在职人员控制率=（在职人员数/编制数）×100%，在职人员数：部门（单位）实际在职人数，以财政分局确定的部门决算编制口径为准。</w:t>
            </w:r>
            <w:r>
              <w:rPr>
                <w:rFonts w:hint="eastAsia" w:cs="宋体"/>
                <w:color w:val="000000"/>
                <w:kern w:val="0"/>
                <w:sz w:val="24"/>
              </w:rPr>
              <w:br w:type="textWrapping"/>
            </w:r>
            <w:r>
              <w:rPr>
                <w:rFonts w:hint="eastAsia" w:cs="宋体"/>
                <w:color w:val="000000"/>
                <w:kern w:val="0"/>
                <w:sz w:val="24"/>
              </w:rPr>
              <w:t>编制数：机构编制部门核定批复的部门（单位）的人员编制数。</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jc w:val="right"/>
              <w:rPr>
                <w:rFonts w:hint="eastAsia" w:eastAsia="宋体" w:cs="宋体"/>
                <w:color w:val="000000"/>
                <w:kern w:val="0"/>
                <w:sz w:val="24"/>
                <w:lang w:val="en-US" w:eastAsia="zh-CN"/>
              </w:rPr>
            </w:pPr>
            <w:r>
              <w:rPr>
                <w:rFonts w:hint="eastAsia" w:cs="宋体"/>
                <w:color w:val="000000"/>
                <w:kern w:val="0"/>
                <w:sz w:val="24"/>
                <w:lang w:val="en-US" w:eastAsia="zh-CN"/>
              </w:rPr>
              <w:t>7</w:t>
            </w:r>
          </w:p>
        </w:tc>
      </w:tr>
      <w:tr>
        <w:tblPrEx>
          <w:tblLayout w:type="fixed"/>
          <w:tblCellMar>
            <w:top w:w="0" w:type="dxa"/>
            <w:left w:w="28" w:type="dxa"/>
            <w:bottom w:w="0" w:type="dxa"/>
            <w:right w:w="28" w:type="dxa"/>
          </w:tblCellMar>
        </w:tblPrEx>
        <w:trPr>
          <w:trHeight w:val="1183"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“三公经费”变动率≦0,计8分；“三公经费”＞0，每超过一个百分点扣0.8分，扣完为止。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“三公经费”变动率=[（本年度“三公经费”预算数-上年度“三公经费”预算数）/上年度“三公经费”预算数]×100%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jc w:val="right"/>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Layout w:type="fixed"/>
          <w:tblCellMar>
            <w:top w:w="0" w:type="dxa"/>
            <w:left w:w="28" w:type="dxa"/>
            <w:bottom w:w="0" w:type="dxa"/>
            <w:right w:w="28" w:type="dxa"/>
          </w:tblCellMar>
        </w:tblPrEx>
        <w:trPr>
          <w:trHeight w:val="1111" w:hRule="atLeast"/>
          <w:jc w:val="center"/>
        </w:trPr>
        <w:tc>
          <w:tcPr>
            <w:tcW w:w="724"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nil"/>
              <w:left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预算执行</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100%计满分，每低于5%扣2分，扣完为止。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预算完成率=（上年结转+年初预算+本年追加预算-年末结余/上年结转+年初预算+本年追加预算）×100%。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3</w:t>
            </w:r>
          </w:p>
        </w:tc>
      </w:tr>
      <w:tr>
        <w:tblPrEx>
          <w:tblLayout w:type="fixed"/>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预算控制率=0，计5分；0-10%（含），计4分；10-20%（含），计3分；20-30%（含），计2分；大于30%不得分</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预算控制率=（本年追加预算/年初预算）×100%。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3</w:t>
            </w:r>
          </w:p>
        </w:tc>
      </w:tr>
      <w:tr>
        <w:tblPrEx>
          <w:tblLayout w:type="fixed"/>
          <w:tblCellMar>
            <w:top w:w="0" w:type="dxa"/>
            <w:left w:w="28" w:type="dxa"/>
            <w:bottom w:w="0" w:type="dxa"/>
            <w:right w:w="28" w:type="dxa"/>
          </w:tblCellMar>
        </w:tblPrEx>
        <w:trPr>
          <w:trHeight w:val="1423"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新建楼堂馆所面积控制率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100%以下（含）计满分，每超出5%扣2分，扣完为止。没有楼梯馆所项目的部门按满分计算</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楼堂馆所面积控制率=实际建设面积/批准建设面积×100%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Layout w:type="fixed"/>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新建楼堂馆所投资概算控制率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楼堂馆所投资预算控制率=实际投资金额/批准投资金额×100%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Layout w:type="fixed"/>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预算管理</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公用经费控制率=（实际支出公用经费总额/预算安排公用经费总额）×100%。</w:t>
            </w:r>
            <w:r>
              <w:rPr>
                <w:rFonts w:hint="eastAsia" w:cs="宋体"/>
                <w:color w:val="000000"/>
                <w:kern w:val="0"/>
                <w:sz w:val="24"/>
              </w:rPr>
              <w:br w:type="textWrapping"/>
            </w:r>
            <w:r>
              <w:rPr>
                <w:rFonts w:hint="eastAsia" w:cs="宋体"/>
                <w:color w:val="000000"/>
                <w:kern w:val="0"/>
                <w:sz w:val="24"/>
              </w:rPr>
              <w:t>公用经费支出是指部门基本支出中的一般商品和服务支出。</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7</w:t>
            </w:r>
          </w:p>
        </w:tc>
      </w:tr>
      <w:tr>
        <w:tblPrEx>
          <w:tblLayout w:type="fixed"/>
          <w:tblCellMar>
            <w:top w:w="0" w:type="dxa"/>
            <w:left w:w="28" w:type="dxa"/>
            <w:bottom w:w="0" w:type="dxa"/>
            <w:right w:w="28" w:type="dxa"/>
          </w:tblCellMar>
        </w:tblPrEx>
        <w:trPr>
          <w:trHeight w:val="933"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“三公经费”控制率=（“三公经费”实际支出数/“三公经费”预算安排数）×100%。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Layout w:type="fixed"/>
          <w:tblCellMar>
            <w:top w:w="0" w:type="dxa"/>
            <w:left w:w="28" w:type="dxa"/>
            <w:bottom w:w="0" w:type="dxa"/>
            <w:right w:w="28" w:type="dxa"/>
          </w:tblCellMar>
        </w:tblPrEx>
        <w:trPr>
          <w:trHeight w:val="709" w:hRule="atLeast"/>
          <w:jc w:val="center"/>
        </w:trPr>
        <w:tc>
          <w:tcPr>
            <w:tcW w:w="724" w:type="dxa"/>
            <w:vMerge w:val="restart"/>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70" w:lineRule="exact"/>
              <w:jc w:val="center"/>
              <w:rPr>
                <w:rFonts w:hint="eastAsia" w:cs="宋体"/>
                <w:color w:val="000000"/>
                <w:kern w:val="0"/>
                <w:sz w:val="24"/>
              </w:rPr>
            </w:pP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预算管理</w:t>
            </w: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管理制度健全性</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每出现一例不符合要求的扣2分，扣完为止。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①有内部财务管理制度、会计核算制度等管理制度；</w:t>
            </w:r>
            <w:r>
              <w:rPr>
                <w:rFonts w:hint="eastAsia" w:cs="宋体"/>
                <w:color w:val="000000"/>
                <w:kern w:val="0"/>
                <w:sz w:val="24"/>
              </w:rPr>
              <w:br w:type="textWrapping"/>
            </w:r>
            <w:r>
              <w:rPr>
                <w:rFonts w:hint="eastAsia" w:cs="宋体"/>
                <w:color w:val="000000"/>
                <w:kern w:val="0"/>
                <w:sz w:val="24"/>
              </w:rPr>
              <w:t>②有本部门厉行节约制度；</w:t>
            </w:r>
            <w:r>
              <w:rPr>
                <w:rFonts w:hint="eastAsia" w:cs="宋体"/>
                <w:color w:val="000000"/>
                <w:kern w:val="0"/>
                <w:sz w:val="24"/>
              </w:rPr>
              <w:br w:type="textWrapping"/>
            </w:r>
            <w:r>
              <w:rPr>
                <w:rFonts w:hint="eastAsia" w:cs="宋体"/>
                <w:color w:val="000000"/>
                <w:kern w:val="0"/>
                <w:sz w:val="24"/>
              </w:rPr>
              <w:t>③相关管理制度合法、合规、完整；④相关管理制度得到有效执行。</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Layout w:type="fixed"/>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资金使用合规性</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br w:type="textWrapping"/>
            </w: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4</w:t>
            </w:r>
          </w:p>
        </w:tc>
      </w:tr>
      <w:tr>
        <w:tblPrEx>
          <w:tblLayout w:type="fixed"/>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预决算信息公开性</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①按规定内容公开预决算信息；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②按规定时限公开预决算信息；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预决算信息是指与部门预算、执行、决算、监督、绩效等管理相关的信息。</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2</w:t>
            </w:r>
          </w:p>
        </w:tc>
      </w:tr>
      <w:tr>
        <w:tblPrEx>
          <w:tblLayout w:type="fixed"/>
          <w:tblCellMar>
            <w:top w:w="0" w:type="dxa"/>
            <w:left w:w="28" w:type="dxa"/>
            <w:bottom w:w="0" w:type="dxa"/>
            <w:right w:w="28" w:type="dxa"/>
          </w:tblCellMar>
        </w:tblPrEx>
        <w:trPr>
          <w:trHeight w:val="901" w:hRule="atLeast"/>
          <w:jc w:val="center"/>
        </w:trPr>
        <w:tc>
          <w:tcPr>
            <w:tcW w:w="724"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产</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出</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及</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效</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率</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35</w:t>
            </w:r>
            <w:r>
              <w:rPr>
                <w:rFonts w:hint="eastAsia" w:cs="宋体"/>
                <w:color w:val="000000"/>
                <w:kern w:val="0"/>
                <w:sz w:val="24"/>
                <w:lang w:val="en-US" w:eastAsia="zh-CN"/>
              </w:rPr>
              <w:t>分）</w:t>
            </w:r>
          </w:p>
        </w:tc>
        <w:tc>
          <w:tcPr>
            <w:tcW w:w="689"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职责履行</w:t>
            </w:r>
          </w:p>
        </w:tc>
        <w:tc>
          <w:tcPr>
            <w:tcW w:w="547"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953" w:type="dxa"/>
            <w:gridSpan w:val="2"/>
            <w:tcBorders>
              <w:top w:val="nil"/>
              <w:left w:val="nil"/>
              <w:bottom w:val="nil"/>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目标任务实际完成率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该项得分=（年度综合目标管理考核得分/总分）*8</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根据区年度综合目标管理考核得分折算。</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Layout w:type="fixed"/>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履职 效益</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经济效益</w:t>
            </w:r>
          </w:p>
        </w:tc>
        <w:tc>
          <w:tcPr>
            <w:tcW w:w="466" w:type="dxa"/>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人）</w:t>
            </w:r>
          </w:p>
        </w:tc>
        <w:tc>
          <w:tcPr>
            <w:tcW w:w="6093" w:type="dxa"/>
            <w:gridSpan w:val="3"/>
            <w:vMerge w:val="restart"/>
            <w:tcBorders>
              <w:top w:val="single" w:color="auto" w:sz="4" w:space="0"/>
              <w:left w:val="single" w:color="auto" w:sz="4" w:space="0"/>
              <w:bottom w:val="nil"/>
              <w:right w:val="single" w:color="000000"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此三项指标为设置部门整体支出绩效评价指标时必须考虑的要素，可根据部门实际情况有选择的进行设置，并将其细化为相应的个性化指标。</w:t>
            </w:r>
          </w:p>
        </w:tc>
        <w:tc>
          <w:tcPr>
            <w:tcW w:w="487" w:type="dxa"/>
            <w:vMerge w:val="restart"/>
            <w:tcBorders>
              <w:top w:val="nil"/>
              <w:left w:val="nil"/>
              <w:right w:val="single" w:color="auto" w:sz="4" w:space="0"/>
            </w:tcBorders>
            <w:vAlign w:val="center"/>
          </w:tcPr>
          <w:p>
            <w:pPr>
              <w:overflowPunct w:val="0"/>
              <w:autoSpaceDE w:val="0"/>
              <w:autoSpaceDN w:val="0"/>
              <w:spacing w:line="240" w:lineRule="exact"/>
              <w:ind w:firstLine="240" w:firstLineChars="100"/>
              <w:jc w:val="right"/>
              <w:rPr>
                <w:rFonts w:hint="eastAsia" w:cs="宋体"/>
                <w:color w:val="000000"/>
                <w:kern w:val="0"/>
                <w:sz w:val="24"/>
              </w:rPr>
            </w:pPr>
          </w:p>
          <w:p>
            <w:pPr>
              <w:overflowPunct w:val="0"/>
              <w:autoSpaceDE w:val="0"/>
              <w:autoSpaceDN w:val="0"/>
              <w:spacing w:line="240" w:lineRule="exact"/>
              <w:jc w:val="right"/>
              <w:rPr>
                <w:rFonts w:hint="eastAsia" w:eastAsia="宋体" w:cs="宋体"/>
                <w:color w:val="000000"/>
                <w:kern w:val="0"/>
                <w:sz w:val="24"/>
                <w:lang w:val="en-US" w:eastAsia="zh-CN"/>
              </w:rPr>
            </w:pPr>
            <w:r>
              <w:rPr>
                <w:rFonts w:hint="eastAsia" w:cs="宋体"/>
                <w:color w:val="000000"/>
                <w:kern w:val="0"/>
                <w:sz w:val="24"/>
                <w:lang w:val="en-US" w:eastAsia="zh-CN"/>
              </w:rPr>
              <w:t>15</w:t>
            </w:r>
          </w:p>
        </w:tc>
      </w:tr>
      <w:tr>
        <w:tblPrEx>
          <w:tblLayout w:type="fixed"/>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社会效益</w:t>
            </w:r>
          </w:p>
        </w:tc>
        <w:tc>
          <w:tcPr>
            <w:tcW w:w="46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vAlign w:val="center"/>
          </w:tcPr>
          <w:p>
            <w:pPr>
              <w:overflowPunct w:val="0"/>
              <w:autoSpaceDE w:val="0"/>
              <w:autoSpaceDN w:val="0"/>
              <w:spacing w:line="270" w:lineRule="exact"/>
              <w:ind w:firstLine="240" w:firstLineChars="100"/>
              <w:jc w:val="center"/>
              <w:rPr>
                <w:rFonts w:hint="eastAsia" w:cs="宋体"/>
                <w:color w:val="000000"/>
                <w:sz w:val="24"/>
              </w:rPr>
            </w:pPr>
          </w:p>
        </w:tc>
        <w:tc>
          <w:tcPr>
            <w:tcW w:w="487" w:type="dxa"/>
            <w:vMerge w:val="continue"/>
            <w:tcBorders>
              <w:left w:val="nil"/>
              <w:right w:val="single" w:color="auto" w:sz="4" w:space="0"/>
            </w:tcBorders>
            <w:vAlign w:val="center"/>
          </w:tcPr>
          <w:p>
            <w:pPr>
              <w:overflowPunct w:val="0"/>
              <w:autoSpaceDE w:val="0"/>
              <w:autoSpaceDN w:val="0"/>
              <w:spacing w:line="240" w:lineRule="exact"/>
              <w:ind w:firstLine="240" w:firstLineChars="100"/>
              <w:jc w:val="right"/>
              <w:rPr>
                <w:rFonts w:hint="eastAsia" w:cs="宋体"/>
                <w:color w:val="000000"/>
                <w:kern w:val="0"/>
                <w:sz w:val="24"/>
              </w:rPr>
            </w:pPr>
          </w:p>
        </w:tc>
      </w:tr>
      <w:tr>
        <w:tblPrEx>
          <w:tblLayout w:type="fixed"/>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生态效益</w:t>
            </w:r>
          </w:p>
        </w:tc>
        <w:tc>
          <w:tcPr>
            <w:tcW w:w="466" w:type="dxa"/>
            <w:tcBorders>
              <w:top w:val="single" w:color="auto" w:sz="4" w:space="0"/>
              <w:left w:val="single" w:color="auto" w:sz="4" w:space="0"/>
              <w:bottom w:val="nil"/>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vAlign w:val="center"/>
          </w:tcPr>
          <w:p>
            <w:pPr>
              <w:overflowPunct w:val="0"/>
              <w:autoSpaceDE w:val="0"/>
              <w:autoSpaceDN w:val="0"/>
              <w:spacing w:line="270" w:lineRule="exact"/>
              <w:ind w:firstLine="240" w:firstLineChars="100"/>
              <w:jc w:val="center"/>
              <w:rPr>
                <w:rFonts w:hint="eastAsia" w:cs="宋体"/>
                <w:color w:val="000000"/>
                <w:sz w:val="24"/>
              </w:rPr>
            </w:pPr>
          </w:p>
        </w:tc>
        <w:tc>
          <w:tcPr>
            <w:tcW w:w="487" w:type="dxa"/>
            <w:vMerge w:val="continue"/>
            <w:tcBorders>
              <w:left w:val="nil"/>
              <w:bottom w:val="nil"/>
              <w:right w:val="single" w:color="auto" w:sz="4" w:space="0"/>
            </w:tcBorders>
            <w:vAlign w:val="center"/>
          </w:tcPr>
          <w:p>
            <w:pPr>
              <w:overflowPunct w:val="0"/>
              <w:autoSpaceDE w:val="0"/>
              <w:autoSpaceDN w:val="0"/>
              <w:spacing w:line="240" w:lineRule="exact"/>
              <w:ind w:firstLine="240" w:firstLineChars="100"/>
              <w:jc w:val="right"/>
              <w:rPr>
                <w:rFonts w:hint="eastAsia" w:cs="宋体"/>
                <w:color w:val="000000"/>
                <w:sz w:val="24"/>
              </w:rPr>
            </w:pPr>
          </w:p>
        </w:tc>
      </w:tr>
      <w:tr>
        <w:tblPrEx>
          <w:tblLayout w:type="fixed"/>
          <w:tblCellMar>
            <w:top w:w="0" w:type="dxa"/>
            <w:left w:w="28" w:type="dxa"/>
            <w:bottom w:w="0" w:type="dxa"/>
            <w:right w:w="28" w:type="dxa"/>
          </w:tblCellMar>
        </w:tblPrEx>
        <w:trPr>
          <w:trHeight w:val="1573"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12</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行政效能</w:t>
            </w:r>
          </w:p>
        </w:tc>
        <w:tc>
          <w:tcPr>
            <w:tcW w:w="466" w:type="dxa"/>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促进部门改进文风会风，加强经费及资产管理，推动网上办事，提高行政效率，降低行政成本效果较好的计6分；一般3分；无效果或者效果不明显0分。</w:t>
            </w:r>
          </w:p>
        </w:tc>
        <w:tc>
          <w:tcPr>
            <w:tcW w:w="2742" w:type="dxa"/>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根据部门自评材料评定。</w:t>
            </w:r>
          </w:p>
        </w:tc>
        <w:tc>
          <w:tcPr>
            <w:tcW w:w="487" w:type="dxa"/>
            <w:tcBorders>
              <w:top w:val="single" w:color="auto" w:sz="4" w:space="0"/>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Layout w:type="fixed"/>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社会公众或服务对象满意度</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90%（含）以上计6分；</w:t>
            </w:r>
            <w:r>
              <w:rPr>
                <w:rFonts w:hint="eastAsia" w:cs="宋体"/>
                <w:color w:val="000000"/>
                <w:kern w:val="0"/>
                <w:sz w:val="24"/>
              </w:rPr>
              <w:br w:type="textWrapping"/>
            </w:r>
            <w:r>
              <w:rPr>
                <w:rFonts w:hint="eastAsia" w:cs="宋体"/>
                <w:color w:val="000000"/>
                <w:kern w:val="0"/>
                <w:sz w:val="24"/>
              </w:rPr>
              <w:t>80%（含）-90%，计4分；</w:t>
            </w:r>
            <w:r>
              <w:rPr>
                <w:rFonts w:hint="eastAsia" w:cs="宋体"/>
                <w:color w:val="000000"/>
                <w:kern w:val="0"/>
                <w:sz w:val="24"/>
              </w:rPr>
              <w:br w:type="textWrapping"/>
            </w:r>
            <w:r>
              <w:rPr>
                <w:rFonts w:hint="eastAsia" w:cs="宋体"/>
                <w:color w:val="000000"/>
                <w:kern w:val="0"/>
                <w:sz w:val="24"/>
              </w:rPr>
              <w:t>70%（含）-80%，计2分；</w:t>
            </w:r>
            <w:r>
              <w:rPr>
                <w:rFonts w:hint="eastAsia" w:cs="宋体"/>
                <w:color w:val="000000"/>
                <w:kern w:val="0"/>
                <w:sz w:val="24"/>
              </w:rPr>
              <w:br w:type="textWrapping"/>
            </w:r>
            <w:r>
              <w:rPr>
                <w:rFonts w:hint="eastAsia" w:cs="宋体"/>
                <w:color w:val="000000"/>
                <w:kern w:val="0"/>
                <w:sz w:val="24"/>
              </w:rPr>
              <w:t>低于70%计0分。</w:t>
            </w:r>
          </w:p>
        </w:tc>
        <w:tc>
          <w:tcPr>
            <w:tcW w:w="2742"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社会公众或服务对象是指部门（单位）履行职责而影响到的部门、群体或个人，一般采取社会调查的方式。</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right"/>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Layout w:type="fixed"/>
          <w:tblCellMar>
            <w:top w:w="0" w:type="dxa"/>
            <w:left w:w="28" w:type="dxa"/>
            <w:bottom w:w="0" w:type="dxa"/>
            <w:right w:w="28" w:type="dxa"/>
          </w:tblCellMar>
        </w:tblPrEx>
        <w:trPr>
          <w:trHeight w:val="567" w:hRule="atLeast"/>
          <w:jc w:val="center"/>
        </w:trPr>
        <w:tc>
          <w:tcPr>
            <w:tcW w:w="2512" w:type="dxa"/>
            <w:gridSpan w:val="5"/>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40" w:lineRule="exact"/>
              <w:jc w:val="center"/>
              <w:rPr>
                <w:rFonts w:hint="eastAsia" w:cs="宋体"/>
                <w:color w:val="000000"/>
                <w:kern w:val="0"/>
                <w:sz w:val="24"/>
              </w:rPr>
            </w:pPr>
            <w:r>
              <w:rPr>
                <w:rFonts w:hint="eastAsia" w:cs="宋体"/>
                <w:color w:val="000000"/>
                <w:sz w:val="24"/>
              </w:rPr>
              <w:t>合计</w:t>
            </w:r>
          </w:p>
        </w:tc>
        <w:tc>
          <w:tcPr>
            <w:tcW w:w="7994" w:type="dxa"/>
            <w:gridSpan w:val="6"/>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40" w:lineRule="exact"/>
              <w:jc w:val="right"/>
              <w:rPr>
                <w:rFonts w:hint="eastAsia" w:eastAsia="宋体" w:cs="宋体"/>
                <w:color w:val="000000"/>
                <w:kern w:val="0"/>
                <w:sz w:val="24"/>
                <w:lang w:val="en-US" w:eastAsia="zh-CN"/>
              </w:rPr>
            </w:pPr>
            <w:r>
              <w:rPr>
                <w:rFonts w:hint="eastAsia" w:cs="宋体"/>
                <w:color w:val="000000"/>
                <w:kern w:val="0"/>
                <w:sz w:val="24"/>
                <w:lang w:val="en-US" w:eastAsia="zh-CN"/>
              </w:rPr>
              <w:t>91</w:t>
            </w:r>
          </w:p>
        </w:tc>
      </w:tr>
    </w:tbl>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
    <w:altName w:val="宋体"/>
    <w:panose1 w:val="00000000000000000000"/>
    <w:charset w:val="00"/>
    <w:family w:val="auto"/>
    <w:pitch w:val="default"/>
    <w:sig w:usb0="00000000" w:usb1="00000000" w:usb2="00000000" w:usb3="00000000" w:csb0="00000000" w:csb1="00000000"/>
  </w:font>
  <w:font w:name="华康简标题宋">
    <w:altName w:val="宋体"/>
    <w:panose1 w:val="02010609000101010101"/>
    <w:charset w:val="86"/>
    <w:family w:val="modern"/>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345A3"/>
    <w:multiLevelType w:val="singleLevel"/>
    <w:tmpl w:val="97E345A3"/>
    <w:lvl w:ilvl="0" w:tentative="0">
      <w:start w:val="2"/>
      <w:numFmt w:val="chineseCounting"/>
      <w:suff w:val="nothing"/>
      <w:lvlText w:val="（%1）"/>
      <w:lvlJc w:val="left"/>
      <w:rPr>
        <w:rFonts w:hint="eastAsia"/>
      </w:rPr>
    </w:lvl>
  </w:abstractNum>
  <w:abstractNum w:abstractNumId="1">
    <w:nsid w:val="A4AD1A54"/>
    <w:multiLevelType w:val="singleLevel"/>
    <w:tmpl w:val="A4AD1A54"/>
    <w:lvl w:ilvl="0" w:tentative="0">
      <w:start w:val="3"/>
      <w:numFmt w:val="chineseCounting"/>
      <w:suff w:val="nothing"/>
      <w:lvlText w:val="%1、"/>
      <w:lvlJc w:val="left"/>
      <w:rPr>
        <w:rFonts w:hint="eastAsia"/>
      </w:rPr>
    </w:lvl>
  </w:abstractNum>
  <w:abstractNum w:abstractNumId="2">
    <w:nsid w:val="AFBA74E3"/>
    <w:multiLevelType w:val="singleLevel"/>
    <w:tmpl w:val="AFBA74E3"/>
    <w:lvl w:ilvl="0" w:tentative="0">
      <w:start w:val="3"/>
      <w:numFmt w:val="decimal"/>
      <w:suff w:val="nothing"/>
      <w:lvlText w:val="（%1）"/>
      <w:lvlJc w:val="left"/>
    </w:lvl>
  </w:abstractNum>
  <w:abstractNum w:abstractNumId="3">
    <w:nsid w:val="E6565002"/>
    <w:multiLevelType w:val="singleLevel"/>
    <w:tmpl w:val="E6565002"/>
    <w:lvl w:ilvl="0" w:tentative="0">
      <w:start w:val="4"/>
      <w:numFmt w:val="chineseCounting"/>
      <w:suff w:val="nothing"/>
      <w:lvlText w:val="%1、"/>
      <w:lvlJc w:val="left"/>
      <w:rPr>
        <w:rFonts w:hint="eastAsia"/>
      </w:rPr>
    </w:lvl>
  </w:abstractNum>
  <w:abstractNum w:abstractNumId="4">
    <w:nsid w:val="06837E95"/>
    <w:multiLevelType w:val="singleLevel"/>
    <w:tmpl w:val="06837E95"/>
    <w:lvl w:ilvl="0" w:tentative="0">
      <w:start w:val="3"/>
      <w:numFmt w:val="chineseCounting"/>
      <w:suff w:val="nothing"/>
      <w:lvlText w:val="（%1）"/>
      <w:lvlJc w:val="left"/>
      <w:rPr>
        <w:rFonts w:hint="eastAsia"/>
      </w:rPr>
    </w:lvl>
  </w:abstractNum>
  <w:abstractNum w:abstractNumId="5">
    <w:nsid w:val="7E8D2FE9"/>
    <w:multiLevelType w:val="singleLevel"/>
    <w:tmpl w:val="7E8D2FE9"/>
    <w:lvl w:ilvl="0" w:tentative="0">
      <w:start w:val="3"/>
      <w:numFmt w:val="decimal"/>
      <w:suff w:val="nothing"/>
      <w:lvlText w:val="（%1）"/>
      <w:lvlJc w:val="left"/>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D47EF"/>
    <w:rsid w:val="00355FDC"/>
    <w:rsid w:val="00454728"/>
    <w:rsid w:val="0071604F"/>
    <w:rsid w:val="00C8687D"/>
    <w:rsid w:val="00D5205F"/>
    <w:rsid w:val="00D927EF"/>
    <w:rsid w:val="0111742B"/>
    <w:rsid w:val="0116325A"/>
    <w:rsid w:val="012A4235"/>
    <w:rsid w:val="01503768"/>
    <w:rsid w:val="019B630D"/>
    <w:rsid w:val="01AA3D83"/>
    <w:rsid w:val="01CA3507"/>
    <w:rsid w:val="01D70EC2"/>
    <w:rsid w:val="01D77608"/>
    <w:rsid w:val="01E001FA"/>
    <w:rsid w:val="022F2F62"/>
    <w:rsid w:val="025605EE"/>
    <w:rsid w:val="0258575B"/>
    <w:rsid w:val="02D67468"/>
    <w:rsid w:val="032A30D7"/>
    <w:rsid w:val="03316AC2"/>
    <w:rsid w:val="0362253F"/>
    <w:rsid w:val="037E7C7D"/>
    <w:rsid w:val="037F68F1"/>
    <w:rsid w:val="038129AD"/>
    <w:rsid w:val="03A62145"/>
    <w:rsid w:val="03C61A05"/>
    <w:rsid w:val="043814A8"/>
    <w:rsid w:val="043936EA"/>
    <w:rsid w:val="044861FA"/>
    <w:rsid w:val="051340D5"/>
    <w:rsid w:val="053F1D56"/>
    <w:rsid w:val="05656DCA"/>
    <w:rsid w:val="057D3B8D"/>
    <w:rsid w:val="0595470E"/>
    <w:rsid w:val="05D55D25"/>
    <w:rsid w:val="05DB38B9"/>
    <w:rsid w:val="05F005AF"/>
    <w:rsid w:val="06083593"/>
    <w:rsid w:val="06330DD3"/>
    <w:rsid w:val="063655C4"/>
    <w:rsid w:val="06E26DA2"/>
    <w:rsid w:val="06E75260"/>
    <w:rsid w:val="07077686"/>
    <w:rsid w:val="072B6994"/>
    <w:rsid w:val="07554EB5"/>
    <w:rsid w:val="078C5D1F"/>
    <w:rsid w:val="079631EE"/>
    <w:rsid w:val="07F724DD"/>
    <w:rsid w:val="0822488E"/>
    <w:rsid w:val="08A31C4B"/>
    <w:rsid w:val="08AA47DE"/>
    <w:rsid w:val="08AD1F47"/>
    <w:rsid w:val="08BB5912"/>
    <w:rsid w:val="08C7228D"/>
    <w:rsid w:val="08CB74D3"/>
    <w:rsid w:val="09010684"/>
    <w:rsid w:val="091C377F"/>
    <w:rsid w:val="09486EAE"/>
    <w:rsid w:val="0963426D"/>
    <w:rsid w:val="09AE2D65"/>
    <w:rsid w:val="09D548F9"/>
    <w:rsid w:val="09FE673C"/>
    <w:rsid w:val="0A106DD1"/>
    <w:rsid w:val="0A671CBC"/>
    <w:rsid w:val="0AC62142"/>
    <w:rsid w:val="0B0E0707"/>
    <w:rsid w:val="0B354373"/>
    <w:rsid w:val="0B3C46F5"/>
    <w:rsid w:val="0B6C68F7"/>
    <w:rsid w:val="0B721206"/>
    <w:rsid w:val="0BA12EF1"/>
    <w:rsid w:val="0BAD26D6"/>
    <w:rsid w:val="0BCE45C3"/>
    <w:rsid w:val="0C150053"/>
    <w:rsid w:val="0C3B3F94"/>
    <w:rsid w:val="0D0C7A09"/>
    <w:rsid w:val="0D2A4B53"/>
    <w:rsid w:val="0D3D34D6"/>
    <w:rsid w:val="0D5C5DAF"/>
    <w:rsid w:val="0E2D7334"/>
    <w:rsid w:val="0E5F75F0"/>
    <w:rsid w:val="0E784D1B"/>
    <w:rsid w:val="0EFD1C75"/>
    <w:rsid w:val="0EFF1ED5"/>
    <w:rsid w:val="0F1B6024"/>
    <w:rsid w:val="0F300624"/>
    <w:rsid w:val="0F8F3A05"/>
    <w:rsid w:val="0FA745BE"/>
    <w:rsid w:val="0FBB53F1"/>
    <w:rsid w:val="103C1182"/>
    <w:rsid w:val="104052AA"/>
    <w:rsid w:val="10437118"/>
    <w:rsid w:val="10720271"/>
    <w:rsid w:val="10832263"/>
    <w:rsid w:val="1094179B"/>
    <w:rsid w:val="10E40A87"/>
    <w:rsid w:val="11223375"/>
    <w:rsid w:val="113C0DD2"/>
    <w:rsid w:val="11515C77"/>
    <w:rsid w:val="11B55CA9"/>
    <w:rsid w:val="11BC7FEB"/>
    <w:rsid w:val="11FE5ED4"/>
    <w:rsid w:val="12116AFE"/>
    <w:rsid w:val="12256586"/>
    <w:rsid w:val="1275233C"/>
    <w:rsid w:val="12AD0DA4"/>
    <w:rsid w:val="12D77F9A"/>
    <w:rsid w:val="130677D6"/>
    <w:rsid w:val="132923E2"/>
    <w:rsid w:val="13365A52"/>
    <w:rsid w:val="1337550A"/>
    <w:rsid w:val="136D642F"/>
    <w:rsid w:val="13B94CC0"/>
    <w:rsid w:val="13F61240"/>
    <w:rsid w:val="14200651"/>
    <w:rsid w:val="14300364"/>
    <w:rsid w:val="14314E71"/>
    <w:rsid w:val="14776739"/>
    <w:rsid w:val="14827E5A"/>
    <w:rsid w:val="149670F3"/>
    <w:rsid w:val="14A174A3"/>
    <w:rsid w:val="14FA443D"/>
    <w:rsid w:val="15136A74"/>
    <w:rsid w:val="153C136A"/>
    <w:rsid w:val="153C5815"/>
    <w:rsid w:val="156C145A"/>
    <w:rsid w:val="1586520E"/>
    <w:rsid w:val="160129AB"/>
    <w:rsid w:val="160307DC"/>
    <w:rsid w:val="1606644D"/>
    <w:rsid w:val="1617792B"/>
    <w:rsid w:val="161F5BF2"/>
    <w:rsid w:val="164461A0"/>
    <w:rsid w:val="1660720E"/>
    <w:rsid w:val="166E3715"/>
    <w:rsid w:val="16A158E8"/>
    <w:rsid w:val="1715685D"/>
    <w:rsid w:val="172F2999"/>
    <w:rsid w:val="17486CDA"/>
    <w:rsid w:val="17875975"/>
    <w:rsid w:val="178A0589"/>
    <w:rsid w:val="179E13D1"/>
    <w:rsid w:val="17AD7897"/>
    <w:rsid w:val="181022E1"/>
    <w:rsid w:val="181D7E1B"/>
    <w:rsid w:val="18325AB8"/>
    <w:rsid w:val="185E6ACE"/>
    <w:rsid w:val="1876130F"/>
    <w:rsid w:val="189F618E"/>
    <w:rsid w:val="18A36ABE"/>
    <w:rsid w:val="18A86D65"/>
    <w:rsid w:val="18B34237"/>
    <w:rsid w:val="18DB1D38"/>
    <w:rsid w:val="18EF71CE"/>
    <w:rsid w:val="192450DF"/>
    <w:rsid w:val="19757B9F"/>
    <w:rsid w:val="199B3A8A"/>
    <w:rsid w:val="19FA68E7"/>
    <w:rsid w:val="1A241C98"/>
    <w:rsid w:val="1A325A9E"/>
    <w:rsid w:val="1A386D8C"/>
    <w:rsid w:val="1A77425D"/>
    <w:rsid w:val="1B731C11"/>
    <w:rsid w:val="1BB05C24"/>
    <w:rsid w:val="1BD83337"/>
    <w:rsid w:val="1C2A3AD0"/>
    <w:rsid w:val="1C6258C1"/>
    <w:rsid w:val="1C665A2A"/>
    <w:rsid w:val="1C8E3EA4"/>
    <w:rsid w:val="1C9843A7"/>
    <w:rsid w:val="1D094B08"/>
    <w:rsid w:val="1D342414"/>
    <w:rsid w:val="1D562715"/>
    <w:rsid w:val="1D5A0C99"/>
    <w:rsid w:val="1D8C3C67"/>
    <w:rsid w:val="1D922BEA"/>
    <w:rsid w:val="1DF95FD9"/>
    <w:rsid w:val="1E0047D6"/>
    <w:rsid w:val="1E337755"/>
    <w:rsid w:val="1EE14C6A"/>
    <w:rsid w:val="1F32269F"/>
    <w:rsid w:val="1F544413"/>
    <w:rsid w:val="1F917F3B"/>
    <w:rsid w:val="1FCA29BC"/>
    <w:rsid w:val="1FD412BF"/>
    <w:rsid w:val="1FE17FC0"/>
    <w:rsid w:val="1FE6380A"/>
    <w:rsid w:val="1FE63E7E"/>
    <w:rsid w:val="1FED1F35"/>
    <w:rsid w:val="200502E3"/>
    <w:rsid w:val="20BA0933"/>
    <w:rsid w:val="20BE74BE"/>
    <w:rsid w:val="20D73316"/>
    <w:rsid w:val="20E16113"/>
    <w:rsid w:val="20EE3AF2"/>
    <w:rsid w:val="20F8380E"/>
    <w:rsid w:val="211E3FC0"/>
    <w:rsid w:val="21401CBB"/>
    <w:rsid w:val="2145074A"/>
    <w:rsid w:val="21831C48"/>
    <w:rsid w:val="218F53C9"/>
    <w:rsid w:val="2193124F"/>
    <w:rsid w:val="219E5294"/>
    <w:rsid w:val="21B7434F"/>
    <w:rsid w:val="21B8170A"/>
    <w:rsid w:val="21CE7BB3"/>
    <w:rsid w:val="21E37894"/>
    <w:rsid w:val="21E41F81"/>
    <w:rsid w:val="223B38E7"/>
    <w:rsid w:val="22BA0851"/>
    <w:rsid w:val="230E636C"/>
    <w:rsid w:val="231954C2"/>
    <w:rsid w:val="235027E7"/>
    <w:rsid w:val="23BE7E68"/>
    <w:rsid w:val="23C92E0A"/>
    <w:rsid w:val="24264A08"/>
    <w:rsid w:val="245267A1"/>
    <w:rsid w:val="24683EAE"/>
    <w:rsid w:val="24712893"/>
    <w:rsid w:val="24784ED0"/>
    <w:rsid w:val="249F3F67"/>
    <w:rsid w:val="24C167AC"/>
    <w:rsid w:val="24CE0E25"/>
    <w:rsid w:val="24D44C86"/>
    <w:rsid w:val="24DB755A"/>
    <w:rsid w:val="24F720A6"/>
    <w:rsid w:val="2511569E"/>
    <w:rsid w:val="25474E89"/>
    <w:rsid w:val="254B10CC"/>
    <w:rsid w:val="25F358E9"/>
    <w:rsid w:val="25F518F4"/>
    <w:rsid w:val="266B4C16"/>
    <w:rsid w:val="267E3C16"/>
    <w:rsid w:val="269735AC"/>
    <w:rsid w:val="26E2060F"/>
    <w:rsid w:val="26E727D9"/>
    <w:rsid w:val="26F51CC7"/>
    <w:rsid w:val="26FF7914"/>
    <w:rsid w:val="27064C3C"/>
    <w:rsid w:val="27966D2B"/>
    <w:rsid w:val="27C47AD1"/>
    <w:rsid w:val="27CB0EAF"/>
    <w:rsid w:val="27CF7461"/>
    <w:rsid w:val="27D959C6"/>
    <w:rsid w:val="27E6694A"/>
    <w:rsid w:val="27F15148"/>
    <w:rsid w:val="28205648"/>
    <w:rsid w:val="284315AC"/>
    <w:rsid w:val="286A3376"/>
    <w:rsid w:val="28730289"/>
    <w:rsid w:val="288840A6"/>
    <w:rsid w:val="28CB76B8"/>
    <w:rsid w:val="28F046CE"/>
    <w:rsid w:val="290530EF"/>
    <w:rsid w:val="29067CC6"/>
    <w:rsid w:val="290F0920"/>
    <w:rsid w:val="292B4E39"/>
    <w:rsid w:val="299519A7"/>
    <w:rsid w:val="29A068F4"/>
    <w:rsid w:val="29BE569A"/>
    <w:rsid w:val="29E9445F"/>
    <w:rsid w:val="2A292443"/>
    <w:rsid w:val="2A2D020E"/>
    <w:rsid w:val="2A343B1B"/>
    <w:rsid w:val="2A414459"/>
    <w:rsid w:val="2AB05774"/>
    <w:rsid w:val="2AB36414"/>
    <w:rsid w:val="2B481ADC"/>
    <w:rsid w:val="2B4B6C18"/>
    <w:rsid w:val="2B5165CF"/>
    <w:rsid w:val="2B5D4B50"/>
    <w:rsid w:val="2B79606A"/>
    <w:rsid w:val="2B9F521C"/>
    <w:rsid w:val="2BAB662A"/>
    <w:rsid w:val="2BCE66C4"/>
    <w:rsid w:val="2BD311EB"/>
    <w:rsid w:val="2BD77DB9"/>
    <w:rsid w:val="2C0A6BA0"/>
    <w:rsid w:val="2C6471A6"/>
    <w:rsid w:val="2C656E52"/>
    <w:rsid w:val="2C7E010C"/>
    <w:rsid w:val="2C9B452A"/>
    <w:rsid w:val="2D1D48ED"/>
    <w:rsid w:val="2D1F313D"/>
    <w:rsid w:val="2D242D4A"/>
    <w:rsid w:val="2D6C348E"/>
    <w:rsid w:val="2D8777DD"/>
    <w:rsid w:val="2E384A8C"/>
    <w:rsid w:val="2E4944A0"/>
    <w:rsid w:val="2E511664"/>
    <w:rsid w:val="2E8802E8"/>
    <w:rsid w:val="2EC91938"/>
    <w:rsid w:val="2EC97DDF"/>
    <w:rsid w:val="2ED20F83"/>
    <w:rsid w:val="2EDC4EF9"/>
    <w:rsid w:val="2F424E95"/>
    <w:rsid w:val="2F4F3602"/>
    <w:rsid w:val="2F5D0D8A"/>
    <w:rsid w:val="2F867F33"/>
    <w:rsid w:val="2FB114AA"/>
    <w:rsid w:val="2FBB536C"/>
    <w:rsid w:val="2FF12205"/>
    <w:rsid w:val="2FFD7AED"/>
    <w:rsid w:val="30072A43"/>
    <w:rsid w:val="30090E39"/>
    <w:rsid w:val="30313817"/>
    <w:rsid w:val="305023C7"/>
    <w:rsid w:val="30547707"/>
    <w:rsid w:val="30741749"/>
    <w:rsid w:val="30F009F5"/>
    <w:rsid w:val="3139732E"/>
    <w:rsid w:val="315F2E26"/>
    <w:rsid w:val="317F19C5"/>
    <w:rsid w:val="319E1E9E"/>
    <w:rsid w:val="31B17113"/>
    <w:rsid w:val="31CF3FB7"/>
    <w:rsid w:val="31D64779"/>
    <w:rsid w:val="31E079FC"/>
    <w:rsid w:val="31E5408A"/>
    <w:rsid w:val="3244219F"/>
    <w:rsid w:val="324B7353"/>
    <w:rsid w:val="32697470"/>
    <w:rsid w:val="32B32E72"/>
    <w:rsid w:val="32DB5B2D"/>
    <w:rsid w:val="32E605DD"/>
    <w:rsid w:val="32FE63D3"/>
    <w:rsid w:val="33574716"/>
    <w:rsid w:val="3366327E"/>
    <w:rsid w:val="338C398A"/>
    <w:rsid w:val="33A9257D"/>
    <w:rsid w:val="33EF251F"/>
    <w:rsid w:val="345D6A4A"/>
    <w:rsid w:val="3494786B"/>
    <w:rsid w:val="34B62C59"/>
    <w:rsid w:val="34CA6844"/>
    <w:rsid w:val="34D808EA"/>
    <w:rsid w:val="351C0FAC"/>
    <w:rsid w:val="35314177"/>
    <w:rsid w:val="353B5116"/>
    <w:rsid w:val="353D5B1D"/>
    <w:rsid w:val="354F3FC7"/>
    <w:rsid w:val="356B41B3"/>
    <w:rsid w:val="359C0DE5"/>
    <w:rsid w:val="35CC4C32"/>
    <w:rsid w:val="35F2779A"/>
    <w:rsid w:val="36A060A6"/>
    <w:rsid w:val="36DA087F"/>
    <w:rsid w:val="36EE2476"/>
    <w:rsid w:val="372C2743"/>
    <w:rsid w:val="373B5F70"/>
    <w:rsid w:val="374C1973"/>
    <w:rsid w:val="375A3EFC"/>
    <w:rsid w:val="37676DC9"/>
    <w:rsid w:val="37BC62FA"/>
    <w:rsid w:val="37F35946"/>
    <w:rsid w:val="384638FA"/>
    <w:rsid w:val="384C5852"/>
    <w:rsid w:val="388873D5"/>
    <w:rsid w:val="39066C5A"/>
    <w:rsid w:val="39195816"/>
    <w:rsid w:val="3939025A"/>
    <w:rsid w:val="394119BF"/>
    <w:rsid w:val="395C3DF8"/>
    <w:rsid w:val="395F4C94"/>
    <w:rsid w:val="398F58BF"/>
    <w:rsid w:val="3A1111BB"/>
    <w:rsid w:val="3A3D22C9"/>
    <w:rsid w:val="3A417ECF"/>
    <w:rsid w:val="3A776992"/>
    <w:rsid w:val="3A82578A"/>
    <w:rsid w:val="3ABB0C50"/>
    <w:rsid w:val="3AEA6456"/>
    <w:rsid w:val="3B402C1D"/>
    <w:rsid w:val="3B526236"/>
    <w:rsid w:val="3B8173CB"/>
    <w:rsid w:val="3BAF492B"/>
    <w:rsid w:val="3BB709F6"/>
    <w:rsid w:val="3BE0240A"/>
    <w:rsid w:val="3C326D53"/>
    <w:rsid w:val="3C5D46F0"/>
    <w:rsid w:val="3C7078A3"/>
    <w:rsid w:val="3C822A3D"/>
    <w:rsid w:val="3CA31C28"/>
    <w:rsid w:val="3CB036D4"/>
    <w:rsid w:val="3CCD21BF"/>
    <w:rsid w:val="3D04479A"/>
    <w:rsid w:val="3D373215"/>
    <w:rsid w:val="3D471571"/>
    <w:rsid w:val="3D5204B3"/>
    <w:rsid w:val="3D72502B"/>
    <w:rsid w:val="3DB54A9B"/>
    <w:rsid w:val="3DD17B0A"/>
    <w:rsid w:val="3DEC5E79"/>
    <w:rsid w:val="3E0E13D1"/>
    <w:rsid w:val="3E214557"/>
    <w:rsid w:val="3E3D6040"/>
    <w:rsid w:val="3E541860"/>
    <w:rsid w:val="3E7830D6"/>
    <w:rsid w:val="3EA84B77"/>
    <w:rsid w:val="3EBA4C0F"/>
    <w:rsid w:val="3ECB5324"/>
    <w:rsid w:val="3ECD6C0C"/>
    <w:rsid w:val="3F0C5637"/>
    <w:rsid w:val="3F167056"/>
    <w:rsid w:val="3F48334F"/>
    <w:rsid w:val="3FA66FA3"/>
    <w:rsid w:val="3FAB6236"/>
    <w:rsid w:val="3FAF2546"/>
    <w:rsid w:val="3FD0477A"/>
    <w:rsid w:val="400505D5"/>
    <w:rsid w:val="40533EB4"/>
    <w:rsid w:val="406741E6"/>
    <w:rsid w:val="40724F11"/>
    <w:rsid w:val="408C7398"/>
    <w:rsid w:val="40983137"/>
    <w:rsid w:val="409D1C91"/>
    <w:rsid w:val="41050127"/>
    <w:rsid w:val="411141F9"/>
    <w:rsid w:val="411953A4"/>
    <w:rsid w:val="412C2A02"/>
    <w:rsid w:val="4140715C"/>
    <w:rsid w:val="416871D9"/>
    <w:rsid w:val="41A064CA"/>
    <w:rsid w:val="41CC7774"/>
    <w:rsid w:val="420D33E7"/>
    <w:rsid w:val="421566D1"/>
    <w:rsid w:val="422B2075"/>
    <w:rsid w:val="427210B2"/>
    <w:rsid w:val="42943F69"/>
    <w:rsid w:val="42990471"/>
    <w:rsid w:val="42C83911"/>
    <w:rsid w:val="42CC0387"/>
    <w:rsid w:val="431D363B"/>
    <w:rsid w:val="43665C5F"/>
    <w:rsid w:val="437E4C7F"/>
    <w:rsid w:val="44357088"/>
    <w:rsid w:val="44517C2D"/>
    <w:rsid w:val="44724F12"/>
    <w:rsid w:val="44DC0F8C"/>
    <w:rsid w:val="44EE6FE6"/>
    <w:rsid w:val="45255F0F"/>
    <w:rsid w:val="455A7A02"/>
    <w:rsid w:val="459B7EB0"/>
    <w:rsid w:val="45B471CB"/>
    <w:rsid w:val="45BF5E02"/>
    <w:rsid w:val="45D5635C"/>
    <w:rsid w:val="45F70F6D"/>
    <w:rsid w:val="461F7EDA"/>
    <w:rsid w:val="462A4A45"/>
    <w:rsid w:val="46417652"/>
    <w:rsid w:val="466D17C2"/>
    <w:rsid w:val="46A57E65"/>
    <w:rsid w:val="47302B8E"/>
    <w:rsid w:val="473B54EA"/>
    <w:rsid w:val="47800AB9"/>
    <w:rsid w:val="47EB50D0"/>
    <w:rsid w:val="47FB24D3"/>
    <w:rsid w:val="48393866"/>
    <w:rsid w:val="4884594C"/>
    <w:rsid w:val="488D0B7F"/>
    <w:rsid w:val="48EB2098"/>
    <w:rsid w:val="490031C7"/>
    <w:rsid w:val="490110D1"/>
    <w:rsid w:val="49083FEE"/>
    <w:rsid w:val="491253FB"/>
    <w:rsid w:val="49657E4B"/>
    <w:rsid w:val="49D47EC2"/>
    <w:rsid w:val="4A0967C1"/>
    <w:rsid w:val="4A30336A"/>
    <w:rsid w:val="4A336CDD"/>
    <w:rsid w:val="4A3A22EE"/>
    <w:rsid w:val="4A4929C8"/>
    <w:rsid w:val="4A6B1767"/>
    <w:rsid w:val="4A794751"/>
    <w:rsid w:val="4A7D12C7"/>
    <w:rsid w:val="4AB23587"/>
    <w:rsid w:val="4AFF6B8F"/>
    <w:rsid w:val="4B326149"/>
    <w:rsid w:val="4B5F7FF9"/>
    <w:rsid w:val="4B8F5B7C"/>
    <w:rsid w:val="4BA314CC"/>
    <w:rsid w:val="4BA93A2C"/>
    <w:rsid w:val="4BCF7768"/>
    <w:rsid w:val="4C1224AF"/>
    <w:rsid w:val="4C1B05E7"/>
    <w:rsid w:val="4C240169"/>
    <w:rsid w:val="4C317FCC"/>
    <w:rsid w:val="4C3B0DB1"/>
    <w:rsid w:val="4C4221B0"/>
    <w:rsid w:val="4C4D506F"/>
    <w:rsid w:val="4C7E1378"/>
    <w:rsid w:val="4C8D2419"/>
    <w:rsid w:val="4C97171A"/>
    <w:rsid w:val="4CD47C78"/>
    <w:rsid w:val="4CDC360F"/>
    <w:rsid w:val="4CE51524"/>
    <w:rsid w:val="4D0D61CA"/>
    <w:rsid w:val="4D514545"/>
    <w:rsid w:val="4D790AD3"/>
    <w:rsid w:val="4DAD1DF9"/>
    <w:rsid w:val="4DBC5E2C"/>
    <w:rsid w:val="4DC22CEC"/>
    <w:rsid w:val="4E5E520E"/>
    <w:rsid w:val="4E6448D1"/>
    <w:rsid w:val="4EB01C8A"/>
    <w:rsid w:val="4EBD1A38"/>
    <w:rsid w:val="4F035F4B"/>
    <w:rsid w:val="4F3510FF"/>
    <w:rsid w:val="4F387FE8"/>
    <w:rsid w:val="4F3D47EF"/>
    <w:rsid w:val="4F4313DA"/>
    <w:rsid w:val="4F8726CD"/>
    <w:rsid w:val="4F9024C1"/>
    <w:rsid w:val="4FE91B35"/>
    <w:rsid w:val="504E7DDC"/>
    <w:rsid w:val="512C5624"/>
    <w:rsid w:val="512D4D35"/>
    <w:rsid w:val="513553C6"/>
    <w:rsid w:val="514D2C25"/>
    <w:rsid w:val="517B7A78"/>
    <w:rsid w:val="5180472A"/>
    <w:rsid w:val="5184390B"/>
    <w:rsid w:val="51A26218"/>
    <w:rsid w:val="51DE7502"/>
    <w:rsid w:val="51E027AE"/>
    <w:rsid w:val="51FB4B03"/>
    <w:rsid w:val="52BE5793"/>
    <w:rsid w:val="52F04282"/>
    <w:rsid w:val="5344104A"/>
    <w:rsid w:val="534539E9"/>
    <w:rsid w:val="53791F8D"/>
    <w:rsid w:val="53973699"/>
    <w:rsid w:val="539D5264"/>
    <w:rsid w:val="53C64417"/>
    <w:rsid w:val="53CD6A20"/>
    <w:rsid w:val="53D11062"/>
    <w:rsid w:val="54072241"/>
    <w:rsid w:val="541E17B4"/>
    <w:rsid w:val="54267F9B"/>
    <w:rsid w:val="543E21D7"/>
    <w:rsid w:val="546952B5"/>
    <w:rsid w:val="547C6ED3"/>
    <w:rsid w:val="54C64C3A"/>
    <w:rsid w:val="54D329FA"/>
    <w:rsid w:val="54D3533A"/>
    <w:rsid w:val="54E6337F"/>
    <w:rsid w:val="54E81ABE"/>
    <w:rsid w:val="54EA2BED"/>
    <w:rsid w:val="54F36237"/>
    <w:rsid w:val="55066C5E"/>
    <w:rsid w:val="55CE07FA"/>
    <w:rsid w:val="5609288B"/>
    <w:rsid w:val="561536CA"/>
    <w:rsid w:val="56200044"/>
    <w:rsid w:val="5640165E"/>
    <w:rsid w:val="5647345B"/>
    <w:rsid w:val="564C1549"/>
    <w:rsid w:val="565F66FE"/>
    <w:rsid w:val="566011C9"/>
    <w:rsid w:val="5663576B"/>
    <w:rsid w:val="566832E1"/>
    <w:rsid w:val="56A12708"/>
    <w:rsid w:val="56E221D3"/>
    <w:rsid w:val="56E63D4C"/>
    <w:rsid w:val="56F01A24"/>
    <w:rsid w:val="57164AE3"/>
    <w:rsid w:val="575B6E02"/>
    <w:rsid w:val="57877245"/>
    <w:rsid w:val="578F6426"/>
    <w:rsid w:val="57D61FDA"/>
    <w:rsid w:val="580B05BF"/>
    <w:rsid w:val="58467656"/>
    <w:rsid w:val="58502967"/>
    <w:rsid w:val="58893D92"/>
    <w:rsid w:val="588B31A6"/>
    <w:rsid w:val="58914D89"/>
    <w:rsid w:val="58B3537D"/>
    <w:rsid w:val="58F043E7"/>
    <w:rsid w:val="5965768A"/>
    <w:rsid w:val="596D62A5"/>
    <w:rsid w:val="59B94345"/>
    <w:rsid w:val="59CF6137"/>
    <w:rsid w:val="59E940C4"/>
    <w:rsid w:val="5A1F2A20"/>
    <w:rsid w:val="5A2913E9"/>
    <w:rsid w:val="5A5C61AD"/>
    <w:rsid w:val="5A7B0ACD"/>
    <w:rsid w:val="5B177FD4"/>
    <w:rsid w:val="5B621AD9"/>
    <w:rsid w:val="5B63230A"/>
    <w:rsid w:val="5B7074D0"/>
    <w:rsid w:val="5B961CA4"/>
    <w:rsid w:val="5B9C193F"/>
    <w:rsid w:val="5BD506D9"/>
    <w:rsid w:val="5BE9493F"/>
    <w:rsid w:val="5BF560F6"/>
    <w:rsid w:val="5C022769"/>
    <w:rsid w:val="5C2924E2"/>
    <w:rsid w:val="5C297727"/>
    <w:rsid w:val="5C390691"/>
    <w:rsid w:val="5C544A82"/>
    <w:rsid w:val="5C7B4D72"/>
    <w:rsid w:val="5C822E81"/>
    <w:rsid w:val="5CD539C2"/>
    <w:rsid w:val="5D431285"/>
    <w:rsid w:val="5D670D3A"/>
    <w:rsid w:val="5D6B1540"/>
    <w:rsid w:val="5D74412A"/>
    <w:rsid w:val="5D9E1806"/>
    <w:rsid w:val="5DC30169"/>
    <w:rsid w:val="5DFC1321"/>
    <w:rsid w:val="5E12631A"/>
    <w:rsid w:val="5E2F5995"/>
    <w:rsid w:val="5E495124"/>
    <w:rsid w:val="5E5B5A04"/>
    <w:rsid w:val="5EC403EF"/>
    <w:rsid w:val="5EDC7C5D"/>
    <w:rsid w:val="5F122F1C"/>
    <w:rsid w:val="5F4A7EE4"/>
    <w:rsid w:val="5F623945"/>
    <w:rsid w:val="5F7C60AE"/>
    <w:rsid w:val="5FBB3488"/>
    <w:rsid w:val="5FCB460E"/>
    <w:rsid w:val="5FDC7C73"/>
    <w:rsid w:val="601141CE"/>
    <w:rsid w:val="60223AB1"/>
    <w:rsid w:val="60276285"/>
    <w:rsid w:val="604A1AD3"/>
    <w:rsid w:val="609C00A3"/>
    <w:rsid w:val="60C84A70"/>
    <w:rsid w:val="60D21DA2"/>
    <w:rsid w:val="6108126C"/>
    <w:rsid w:val="612F4D23"/>
    <w:rsid w:val="615344E5"/>
    <w:rsid w:val="61C13F35"/>
    <w:rsid w:val="61EA6CF5"/>
    <w:rsid w:val="621A5F57"/>
    <w:rsid w:val="621D749B"/>
    <w:rsid w:val="6269657D"/>
    <w:rsid w:val="628311CD"/>
    <w:rsid w:val="6291730B"/>
    <w:rsid w:val="62A456B0"/>
    <w:rsid w:val="62AB714B"/>
    <w:rsid w:val="62B86EA5"/>
    <w:rsid w:val="62C72A73"/>
    <w:rsid w:val="6328746D"/>
    <w:rsid w:val="634B2867"/>
    <w:rsid w:val="6354006F"/>
    <w:rsid w:val="63700801"/>
    <w:rsid w:val="637A3E69"/>
    <w:rsid w:val="63EA27AC"/>
    <w:rsid w:val="646C52B5"/>
    <w:rsid w:val="64A97557"/>
    <w:rsid w:val="65202872"/>
    <w:rsid w:val="652C251B"/>
    <w:rsid w:val="65533E3D"/>
    <w:rsid w:val="65765124"/>
    <w:rsid w:val="658C54AF"/>
    <w:rsid w:val="65C339C2"/>
    <w:rsid w:val="65E230EC"/>
    <w:rsid w:val="65E35F7F"/>
    <w:rsid w:val="65E415DC"/>
    <w:rsid w:val="65F8338A"/>
    <w:rsid w:val="661C3686"/>
    <w:rsid w:val="66360DA1"/>
    <w:rsid w:val="663D1BAD"/>
    <w:rsid w:val="66714B14"/>
    <w:rsid w:val="66D6611F"/>
    <w:rsid w:val="66DB2FD4"/>
    <w:rsid w:val="66FF791B"/>
    <w:rsid w:val="67704A64"/>
    <w:rsid w:val="67933F53"/>
    <w:rsid w:val="679A28BA"/>
    <w:rsid w:val="679A5EB9"/>
    <w:rsid w:val="67A03852"/>
    <w:rsid w:val="67C9195F"/>
    <w:rsid w:val="67F05BDE"/>
    <w:rsid w:val="68126C06"/>
    <w:rsid w:val="683464C5"/>
    <w:rsid w:val="68461C88"/>
    <w:rsid w:val="68495653"/>
    <w:rsid w:val="684D5A92"/>
    <w:rsid w:val="68BA757A"/>
    <w:rsid w:val="68C55538"/>
    <w:rsid w:val="68CA4991"/>
    <w:rsid w:val="68D72035"/>
    <w:rsid w:val="68E0045D"/>
    <w:rsid w:val="68EB555D"/>
    <w:rsid w:val="68F31A61"/>
    <w:rsid w:val="6945661E"/>
    <w:rsid w:val="695F3889"/>
    <w:rsid w:val="69A26652"/>
    <w:rsid w:val="69AE7355"/>
    <w:rsid w:val="69E0498C"/>
    <w:rsid w:val="6A046B9C"/>
    <w:rsid w:val="6A100C9B"/>
    <w:rsid w:val="6A1A7508"/>
    <w:rsid w:val="6A3B6001"/>
    <w:rsid w:val="6A5323A5"/>
    <w:rsid w:val="6ABA51CE"/>
    <w:rsid w:val="6AD71825"/>
    <w:rsid w:val="6AE2219D"/>
    <w:rsid w:val="6AF94E82"/>
    <w:rsid w:val="6B1731A0"/>
    <w:rsid w:val="6B2D1C4B"/>
    <w:rsid w:val="6B511466"/>
    <w:rsid w:val="6B744E74"/>
    <w:rsid w:val="6BB90BB9"/>
    <w:rsid w:val="6BE25695"/>
    <w:rsid w:val="6BF83512"/>
    <w:rsid w:val="6C075E6C"/>
    <w:rsid w:val="6C3422E7"/>
    <w:rsid w:val="6C3904E3"/>
    <w:rsid w:val="6C735BCB"/>
    <w:rsid w:val="6C8868EB"/>
    <w:rsid w:val="6C982254"/>
    <w:rsid w:val="6C9C67F1"/>
    <w:rsid w:val="6CA130C1"/>
    <w:rsid w:val="6D4D564E"/>
    <w:rsid w:val="6D8D3047"/>
    <w:rsid w:val="6DD90B8E"/>
    <w:rsid w:val="6DE61229"/>
    <w:rsid w:val="6DF437E6"/>
    <w:rsid w:val="6E1B3C2C"/>
    <w:rsid w:val="6EA55AEC"/>
    <w:rsid w:val="6F3E785E"/>
    <w:rsid w:val="6F46693A"/>
    <w:rsid w:val="6FAA7DA9"/>
    <w:rsid w:val="6FB603BC"/>
    <w:rsid w:val="6FD542D4"/>
    <w:rsid w:val="6FFA4E1F"/>
    <w:rsid w:val="700568D8"/>
    <w:rsid w:val="708B63A7"/>
    <w:rsid w:val="70A84B4C"/>
    <w:rsid w:val="70C02DD0"/>
    <w:rsid w:val="70DA2D3C"/>
    <w:rsid w:val="70DF031A"/>
    <w:rsid w:val="70EE1D78"/>
    <w:rsid w:val="71257C6E"/>
    <w:rsid w:val="712A58F8"/>
    <w:rsid w:val="714C635F"/>
    <w:rsid w:val="71543D01"/>
    <w:rsid w:val="717964CD"/>
    <w:rsid w:val="71965185"/>
    <w:rsid w:val="72625895"/>
    <w:rsid w:val="72702AC5"/>
    <w:rsid w:val="72A244B4"/>
    <w:rsid w:val="72A256B2"/>
    <w:rsid w:val="72C3194A"/>
    <w:rsid w:val="72E5287E"/>
    <w:rsid w:val="736B5509"/>
    <w:rsid w:val="737130B1"/>
    <w:rsid w:val="737E5CE4"/>
    <w:rsid w:val="7398395A"/>
    <w:rsid w:val="739F5A42"/>
    <w:rsid w:val="73D70C3E"/>
    <w:rsid w:val="740A2796"/>
    <w:rsid w:val="74415D11"/>
    <w:rsid w:val="744F3E22"/>
    <w:rsid w:val="74534684"/>
    <w:rsid w:val="745A5BDD"/>
    <w:rsid w:val="7475321E"/>
    <w:rsid w:val="74820432"/>
    <w:rsid w:val="7508169B"/>
    <w:rsid w:val="756477B4"/>
    <w:rsid w:val="756739FC"/>
    <w:rsid w:val="756B6571"/>
    <w:rsid w:val="756F4A7C"/>
    <w:rsid w:val="757E030A"/>
    <w:rsid w:val="75AB76A6"/>
    <w:rsid w:val="75B407B8"/>
    <w:rsid w:val="75CB6233"/>
    <w:rsid w:val="75EA79A1"/>
    <w:rsid w:val="7620065A"/>
    <w:rsid w:val="764D5C37"/>
    <w:rsid w:val="76926512"/>
    <w:rsid w:val="76AA39C8"/>
    <w:rsid w:val="76C60E4B"/>
    <w:rsid w:val="76CD0498"/>
    <w:rsid w:val="76D174A9"/>
    <w:rsid w:val="76D64BBF"/>
    <w:rsid w:val="76EC1664"/>
    <w:rsid w:val="77067C0A"/>
    <w:rsid w:val="77375070"/>
    <w:rsid w:val="773A6B55"/>
    <w:rsid w:val="776B6D9A"/>
    <w:rsid w:val="77801E40"/>
    <w:rsid w:val="77927B67"/>
    <w:rsid w:val="77BF6672"/>
    <w:rsid w:val="77C21D6A"/>
    <w:rsid w:val="77F70CC1"/>
    <w:rsid w:val="78076892"/>
    <w:rsid w:val="780828BC"/>
    <w:rsid w:val="788A18C0"/>
    <w:rsid w:val="78B2657E"/>
    <w:rsid w:val="78B73A8F"/>
    <w:rsid w:val="78DC776D"/>
    <w:rsid w:val="78FD3CA5"/>
    <w:rsid w:val="795C7E7A"/>
    <w:rsid w:val="796D1535"/>
    <w:rsid w:val="79E929D2"/>
    <w:rsid w:val="79F7712F"/>
    <w:rsid w:val="7A046280"/>
    <w:rsid w:val="7A4E4CE8"/>
    <w:rsid w:val="7A8A7CF2"/>
    <w:rsid w:val="7A8F4DD2"/>
    <w:rsid w:val="7AA1540E"/>
    <w:rsid w:val="7AB3597B"/>
    <w:rsid w:val="7AB40560"/>
    <w:rsid w:val="7B176269"/>
    <w:rsid w:val="7B202860"/>
    <w:rsid w:val="7C076385"/>
    <w:rsid w:val="7C2A6535"/>
    <w:rsid w:val="7C3802B2"/>
    <w:rsid w:val="7C523C43"/>
    <w:rsid w:val="7C7C665A"/>
    <w:rsid w:val="7C8F7A98"/>
    <w:rsid w:val="7CD5695D"/>
    <w:rsid w:val="7D5D64FE"/>
    <w:rsid w:val="7D5F5FFD"/>
    <w:rsid w:val="7DAA122C"/>
    <w:rsid w:val="7DB77EE7"/>
    <w:rsid w:val="7DCA5313"/>
    <w:rsid w:val="7E011CA3"/>
    <w:rsid w:val="7E561D6E"/>
    <w:rsid w:val="7E820E4C"/>
    <w:rsid w:val="7E9D45BA"/>
    <w:rsid w:val="7EE03852"/>
    <w:rsid w:val="7F0C2DF5"/>
    <w:rsid w:val="7F2D54DA"/>
    <w:rsid w:val="7F777872"/>
    <w:rsid w:val="7FC12DF9"/>
    <w:rsid w:val="7FF26B77"/>
    <w:rsid w:val="7FF71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Indent"/>
    <w:basedOn w:val="1"/>
    <w:qFormat/>
    <w:uiPriority w:val="0"/>
    <w:pPr>
      <w:autoSpaceDE w:val="0"/>
      <w:autoSpaceDN w:val="0"/>
      <w:adjustRightInd w:val="0"/>
      <w:spacing w:line="480" w:lineRule="auto"/>
      <w:ind w:right="165" w:firstLine="570"/>
      <w:jc w:val="left"/>
    </w:pPr>
    <w:rPr>
      <w:rFonts w:ascii="仿宋_GB2312" w:eastAsia="仿宋_GB2312"/>
      <w:kern w:val="0"/>
      <w:sz w:val="32"/>
      <w:szCs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rPr>
      <w:rFonts w:ascii="Times New Roman" w:hAnsi="Times New Roman" w:cs="Times New Roma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新正文"/>
    <w:basedOn w:val="1"/>
    <w:qFormat/>
    <w:uiPriority w:val="99"/>
    <w:pPr>
      <w:spacing w:line="600" w:lineRule="exact"/>
      <w:ind w:firstLine="567"/>
      <w:contextualSpacing/>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2021-09-17T00:33:00Z</dcterms:created>
  <dc:creator>Administrator</dc:creator>
  <cp:lastModifiedBy>Administrator</cp:lastModifiedBy>
  <cp:lastPrinted>2021-09-30T03:01:40Z</cp:lastPrinted>
  <dcterms:modified xsi:type="dcterms:W3CDTF">2021-09-30T03:11:07Z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15E9658FC9374C17822A3DF7AF6EB55A</vt:lpwstr>
  </property>
</Properties>
</file>