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3</w:t>
      </w:r>
    </w:p>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年部门整体支出绩效自评表</w:t>
      </w:r>
    </w:p>
    <w:tbl>
      <w:tblPr>
        <w:tblStyle w:val="4"/>
        <w:tblW w:w="1045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10"/>
        <w:gridCol w:w="1382"/>
        <w:gridCol w:w="237"/>
        <w:gridCol w:w="366"/>
        <w:gridCol w:w="1885"/>
        <w:gridCol w:w="1622"/>
        <w:gridCol w:w="5"/>
        <w:gridCol w:w="173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3"/>
            <w:noWrap w:val="0"/>
            <w:vAlign w:val="center"/>
          </w:tcPr>
          <w:p>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7009" w:type="dxa"/>
            <w:gridSpan w:val="7"/>
            <w:noWrap w:val="0"/>
            <w:vAlign w:val="center"/>
          </w:tcPr>
          <w:p>
            <w:pPr>
              <w:spacing w:line="360" w:lineRule="auto"/>
              <w:jc w:val="center"/>
              <w:rPr>
                <w:rFonts w:hAnsi="黑体" w:eastAsia="黑体"/>
                <w:color w:val="000000"/>
                <w:kern w:val="0"/>
                <w:sz w:val="32"/>
                <w:szCs w:val="32"/>
                <w:vertAlign w:val="baseline"/>
              </w:rPr>
            </w:pPr>
            <w:r>
              <w:rPr>
                <w:rFonts w:hint="eastAsia" w:ascii="宋体" w:hAnsi="宋体" w:eastAsia="宋体" w:cs="宋体"/>
                <w:color w:val="000000"/>
                <w:kern w:val="0"/>
                <w:sz w:val="24"/>
                <w:szCs w:val="24"/>
                <w:vertAlign w:val="baseline"/>
              </w:rPr>
              <w:t>卫生财务核算中心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95" w:type="dxa"/>
            <w:gridSpan w:val="4"/>
            <w:noWrap w:val="0"/>
            <w:vAlign w:val="center"/>
          </w:tcPr>
          <w:p>
            <w:pPr>
              <w:spacing w:line="360" w:lineRule="auto"/>
              <w:jc w:val="center"/>
              <w:rPr>
                <w:rFonts w:hAnsi="黑体" w:eastAsia="黑体"/>
                <w:color w:val="000000"/>
                <w:kern w:val="0"/>
                <w:sz w:val="32"/>
                <w:szCs w:val="32"/>
                <w:vertAlign w:val="baseline"/>
              </w:rPr>
            </w:pPr>
          </w:p>
        </w:tc>
        <w:tc>
          <w:tcPr>
            <w:tcW w:w="188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62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737" w:type="dxa"/>
            <w:gridSpan w:val="2"/>
            <w:noWrap w:val="0"/>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16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88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11406.84</w:t>
            </w:r>
          </w:p>
        </w:tc>
        <w:tc>
          <w:tcPr>
            <w:tcW w:w="162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11327.77</w:t>
            </w:r>
          </w:p>
        </w:tc>
        <w:tc>
          <w:tcPr>
            <w:tcW w:w="1737" w:type="dxa"/>
            <w:gridSpan w:val="2"/>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11327.77</w:t>
            </w:r>
          </w:p>
        </w:tc>
        <w:tc>
          <w:tcPr>
            <w:tcW w:w="116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2433.80</w:t>
            </w:r>
          </w:p>
        </w:tc>
        <w:tc>
          <w:tcPr>
            <w:tcW w:w="162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2607.88</w:t>
            </w:r>
          </w:p>
        </w:tc>
        <w:tc>
          <w:tcPr>
            <w:tcW w:w="1737" w:type="dxa"/>
            <w:gridSpan w:val="2"/>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2607.88</w:t>
            </w:r>
          </w:p>
        </w:tc>
        <w:tc>
          <w:tcPr>
            <w:tcW w:w="116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88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p>
        </w:tc>
        <w:tc>
          <w:tcPr>
            <w:tcW w:w="162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p>
        </w:tc>
        <w:tc>
          <w:tcPr>
            <w:tcW w:w="1737" w:type="dxa"/>
            <w:gridSpan w:val="2"/>
            <w:noWrap w:val="0"/>
            <w:vAlign w:val="center"/>
          </w:tcPr>
          <w:p>
            <w:pPr>
              <w:spacing w:line="360" w:lineRule="auto"/>
              <w:jc w:val="center"/>
              <w:rPr>
                <w:rFonts w:hint="eastAsia" w:ascii="宋体" w:hAnsi="宋体" w:eastAsia="宋体" w:cs="宋体"/>
                <w:color w:val="000000"/>
                <w:kern w:val="2"/>
                <w:sz w:val="24"/>
                <w:szCs w:val="24"/>
                <w:lang w:val="en-US" w:eastAsia="zh-CN" w:bidi="ar-SA"/>
              </w:rPr>
            </w:pPr>
          </w:p>
        </w:tc>
        <w:tc>
          <w:tcPr>
            <w:tcW w:w="116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88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8973.04</w:t>
            </w:r>
          </w:p>
        </w:tc>
        <w:tc>
          <w:tcPr>
            <w:tcW w:w="162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8719.89</w:t>
            </w:r>
          </w:p>
        </w:tc>
        <w:tc>
          <w:tcPr>
            <w:tcW w:w="1737" w:type="dxa"/>
            <w:gridSpan w:val="2"/>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8719.89</w:t>
            </w:r>
          </w:p>
        </w:tc>
        <w:tc>
          <w:tcPr>
            <w:tcW w:w="1162"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8"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3870" w:type="dxa"/>
            <w:gridSpan w:val="4"/>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521"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68" w:type="dxa"/>
            <w:gridSpan w:val="2"/>
            <w:vMerge w:val="continue"/>
            <w:noWrap w:val="0"/>
            <w:vAlign w:val="center"/>
          </w:tcPr>
          <w:p>
            <w:pPr>
              <w:spacing w:line="360" w:lineRule="auto"/>
              <w:jc w:val="center"/>
              <w:rPr>
                <w:rFonts w:hint="eastAsia" w:cs="宋体"/>
                <w:color w:val="000000"/>
                <w:sz w:val="24"/>
                <w:lang w:val="en-US" w:eastAsia="zh-CN"/>
              </w:rPr>
            </w:pPr>
          </w:p>
        </w:tc>
        <w:tc>
          <w:tcPr>
            <w:tcW w:w="3870" w:type="dxa"/>
            <w:gridSpan w:val="4"/>
            <w:noWrap w:val="0"/>
            <w:vAlign w:val="center"/>
          </w:tcPr>
          <w:p>
            <w:pPr>
              <w:spacing w:line="360" w:lineRule="auto"/>
              <w:jc w:val="left"/>
              <w:rPr>
                <w:rFonts w:hint="eastAsia" w:cs="宋体"/>
                <w:color w:val="000000"/>
                <w:sz w:val="24"/>
                <w:lang w:val="en-US" w:eastAsia="zh-CN"/>
              </w:rPr>
            </w:pPr>
            <w:r>
              <w:rPr>
                <w:rFonts w:hint="eastAsia" w:cs="宋体"/>
                <w:color w:val="000000"/>
                <w:sz w:val="24"/>
                <w:lang w:val="en-US" w:eastAsia="zh-CN"/>
              </w:rPr>
              <w:t>目标1：统筹医疗卫生经费，合理编制部门预算，做好资金分配方案，推进医疗卫生事业发展。</w:t>
            </w:r>
          </w:p>
          <w:p>
            <w:pPr>
              <w:spacing w:line="360" w:lineRule="auto"/>
              <w:jc w:val="left"/>
              <w:rPr>
                <w:rFonts w:hint="eastAsia" w:cs="宋体"/>
                <w:color w:val="000000"/>
                <w:sz w:val="24"/>
                <w:lang w:val="en-US" w:eastAsia="zh-CN"/>
              </w:rPr>
            </w:pPr>
            <w:r>
              <w:rPr>
                <w:rFonts w:hint="eastAsia" w:cs="宋体"/>
                <w:color w:val="000000"/>
                <w:sz w:val="24"/>
                <w:lang w:val="en-US" w:eastAsia="zh-CN"/>
              </w:rPr>
              <w:t>目标2：抓实常态化疫情防控工作。</w:t>
            </w:r>
          </w:p>
          <w:p>
            <w:pPr>
              <w:spacing w:line="360" w:lineRule="auto"/>
              <w:jc w:val="left"/>
              <w:rPr>
                <w:rFonts w:hint="eastAsia" w:cs="宋体"/>
                <w:color w:val="000000"/>
                <w:sz w:val="24"/>
                <w:lang w:val="en-US" w:eastAsia="zh-CN"/>
              </w:rPr>
            </w:pPr>
            <w:r>
              <w:rPr>
                <w:rFonts w:hint="eastAsia" w:cs="宋体"/>
                <w:color w:val="000000"/>
                <w:sz w:val="24"/>
                <w:lang w:val="en-US" w:eastAsia="zh-CN"/>
              </w:rPr>
              <w:t>目标3：抓好基本公共卫生服务能力工作。</w:t>
            </w:r>
          </w:p>
          <w:p>
            <w:pPr>
              <w:spacing w:line="360" w:lineRule="auto"/>
              <w:jc w:val="left"/>
              <w:rPr>
                <w:rFonts w:hint="eastAsia" w:cs="宋体"/>
                <w:color w:val="000000"/>
                <w:sz w:val="24"/>
                <w:lang w:val="en-US" w:eastAsia="zh-CN"/>
              </w:rPr>
            </w:pPr>
            <w:r>
              <w:rPr>
                <w:rFonts w:hint="eastAsia" w:cs="宋体"/>
                <w:color w:val="000000"/>
                <w:sz w:val="24"/>
                <w:lang w:val="en-US" w:eastAsia="zh-CN"/>
              </w:rPr>
              <w:t>目标4:推进公立医院高质量发展。</w:t>
            </w:r>
          </w:p>
          <w:p>
            <w:pPr>
              <w:spacing w:line="360" w:lineRule="auto"/>
              <w:jc w:val="left"/>
              <w:rPr>
                <w:rFonts w:hint="default" w:cs="宋体"/>
                <w:color w:val="000000"/>
                <w:sz w:val="24"/>
                <w:lang w:val="en-US" w:eastAsia="zh-CN"/>
              </w:rPr>
            </w:pPr>
            <w:r>
              <w:rPr>
                <w:rFonts w:hint="eastAsia" w:cs="宋体"/>
                <w:color w:val="000000"/>
                <w:sz w:val="24"/>
                <w:lang w:val="en-US" w:eastAsia="zh-CN"/>
              </w:rPr>
              <w:t>目标5：推进血防综合治理。</w:t>
            </w:r>
          </w:p>
          <w:p>
            <w:pPr>
              <w:spacing w:line="360" w:lineRule="auto"/>
              <w:jc w:val="left"/>
              <w:rPr>
                <w:rFonts w:hint="eastAsia" w:cs="宋体"/>
                <w:color w:val="000000"/>
                <w:sz w:val="24"/>
                <w:lang w:val="en-US" w:eastAsia="zh-CN"/>
              </w:rPr>
            </w:pPr>
            <w:r>
              <w:rPr>
                <w:rFonts w:hint="eastAsia" w:cs="宋体"/>
                <w:color w:val="000000"/>
                <w:sz w:val="24"/>
                <w:lang w:val="en-US" w:eastAsia="zh-CN"/>
              </w:rPr>
              <w:t>目标6：项目资金专款专用，专用设备购置和工程项目，执行招投标及政府采购程序。</w:t>
            </w:r>
          </w:p>
          <w:p>
            <w:pPr>
              <w:spacing w:line="360" w:lineRule="auto"/>
              <w:jc w:val="left"/>
              <w:rPr>
                <w:rFonts w:hint="eastAsia" w:cs="宋体"/>
                <w:color w:val="000000"/>
                <w:sz w:val="24"/>
                <w:lang w:val="en-US" w:eastAsia="zh-CN"/>
              </w:rPr>
            </w:pPr>
            <w:r>
              <w:rPr>
                <w:rFonts w:hint="eastAsia" w:cs="宋体"/>
                <w:color w:val="000000"/>
                <w:sz w:val="24"/>
                <w:lang w:val="en-US" w:eastAsia="zh-CN"/>
              </w:rPr>
              <w:t>目标7：建立健全财务制度，加强经济核算，加强资产管理，合理配置和有效利用资产，防止资产流失，防范财务风险。</w:t>
            </w:r>
          </w:p>
        </w:tc>
        <w:tc>
          <w:tcPr>
            <w:tcW w:w="4521" w:type="dxa"/>
            <w:gridSpan w:val="4"/>
            <w:noWrap w:val="0"/>
            <w:vAlign w:val="center"/>
          </w:tcPr>
          <w:p>
            <w:pPr>
              <w:spacing w:line="360" w:lineRule="auto"/>
              <w:jc w:val="left"/>
              <w:rPr>
                <w:rFonts w:hint="eastAsia" w:cs="宋体"/>
                <w:color w:val="000000"/>
                <w:sz w:val="24"/>
                <w:lang w:val="en-US" w:eastAsia="zh-CN"/>
              </w:rPr>
            </w:pPr>
            <w:r>
              <w:rPr>
                <w:rFonts w:hint="eastAsia" w:cs="宋体"/>
                <w:color w:val="000000"/>
                <w:sz w:val="24"/>
                <w:lang w:val="en-US" w:eastAsia="zh-CN"/>
              </w:rPr>
              <w:t>目标1：制定全区医疗卫生工作的方针并组织实施、健全预算管理制度，按文件要求合理分配财政资金。</w:t>
            </w:r>
          </w:p>
          <w:p>
            <w:pPr>
              <w:spacing w:line="360" w:lineRule="auto"/>
              <w:jc w:val="left"/>
              <w:rPr>
                <w:rFonts w:hint="eastAsia" w:cs="宋体"/>
                <w:color w:val="000000"/>
                <w:sz w:val="24"/>
                <w:lang w:val="en-US" w:eastAsia="zh-CN"/>
              </w:rPr>
            </w:pPr>
            <w:r>
              <w:rPr>
                <w:rFonts w:hint="eastAsia" w:cs="宋体"/>
                <w:color w:val="000000"/>
                <w:sz w:val="24"/>
                <w:lang w:val="en-US" w:eastAsia="zh-CN"/>
              </w:rPr>
              <w:t>目标2：大湖区确诊病例始终保持为0的记录。</w:t>
            </w:r>
          </w:p>
          <w:p>
            <w:pPr>
              <w:spacing w:line="360" w:lineRule="auto"/>
              <w:jc w:val="left"/>
              <w:rPr>
                <w:rFonts w:hint="eastAsia" w:cs="宋体"/>
                <w:color w:val="000000"/>
                <w:sz w:val="24"/>
                <w:lang w:val="en-US" w:eastAsia="zh-CN"/>
              </w:rPr>
            </w:pPr>
            <w:r>
              <w:rPr>
                <w:rFonts w:hint="eastAsia" w:cs="宋体"/>
                <w:color w:val="000000"/>
                <w:sz w:val="24"/>
                <w:lang w:val="en-US" w:eastAsia="zh-CN"/>
              </w:rPr>
              <w:t>目标3：基本公共卫生服务能力增强。</w:t>
            </w:r>
          </w:p>
          <w:p>
            <w:pPr>
              <w:spacing w:line="360" w:lineRule="auto"/>
              <w:jc w:val="left"/>
              <w:rPr>
                <w:rFonts w:hint="eastAsia" w:cs="宋体"/>
                <w:color w:val="000000"/>
                <w:sz w:val="24"/>
                <w:lang w:val="en-US" w:eastAsia="zh-CN"/>
              </w:rPr>
            </w:pPr>
            <w:r>
              <w:rPr>
                <w:rFonts w:hint="eastAsia" w:cs="宋体"/>
                <w:color w:val="000000"/>
                <w:sz w:val="24"/>
                <w:lang w:val="en-US" w:eastAsia="zh-CN"/>
              </w:rPr>
              <w:t>目标4：公立医院（区人民医院）改革已取得较好发展。</w:t>
            </w:r>
          </w:p>
          <w:p>
            <w:pPr>
              <w:spacing w:line="360" w:lineRule="auto"/>
              <w:jc w:val="left"/>
              <w:rPr>
                <w:rFonts w:hint="eastAsia" w:cs="宋体"/>
                <w:color w:val="000000"/>
                <w:sz w:val="24"/>
                <w:lang w:val="en-US" w:eastAsia="zh-CN"/>
              </w:rPr>
            </w:pPr>
            <w:r>
              <w:rPr>
                <w:rFonts w:hint="eastAsia" w:cs="宋体"/>
                <w:color w:val="000000"/>
                <w:sz w:val="24"/>
                <w:lang w:val="en-US" w:eastAsia="zh-CN"/>
              </w:rPr>
              <w:t>目标5：血防综合治理工作稳步推进。                                  目标6：项目资金实现专款专用，统一管理，专用设备购置和工程项目，严格执行招投标及政府采购程序，严格按项目和进度执行，提高部门预算收支管理水平。                                                                     目标7：建立健全财务制度及厉行节约制度，加强经费审批和控制，规范支出并严格执行，加强资产管理，合理配置和有效利用资产，防止资产流失，防范财务风险。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068"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91" w:type="dxa"/>
            <w:gridSpan w:val="8"/>
            <w:noWrap w:val="0"/>
            <w:vAlign w:val="center"/>
          </w:tcPr>
          <w:p>
            <w:pPr>
              <w:spacing w:line="360" w:lineRule="auto"/>
              <w:jc w:val="left"/>
              <w:rPr>
                <w:rFonts w:hint="eastAsia" w:cs="宋体"/>
                <w:color w:val="000000"/>
                <w:sz w:val="24"/>
                <w:lang w:val="en-US" w:eastAsia="zh-CN"/>
              </w:rPr>
            </w:pPr>
            <w:r>
              <w:rPr>
                <w:rFonts w:hint="eastAsia" w:cs="宋体"/>
                <w:color w:val="000000"/>
                <w:sz w:val="24"/>
                <w:lang w:val="en-US" w:eastAsia="zh-CN"/>
              </w:rPr>
              <w:t>1．负责全区基层医疗卫生机构经费的预算、核算、决算，确保基层医疗卫生机构财政拨款及时足额拨入，按时拨付。</w:t>
            </w:r>
          </w:p>
          <w:p>
            <w:pPr>
              <w:spacing w:line="360" w:lineRule="auto"/>
              <w:jc w:val="left"/>
              <w:rPr>
                <w:rFonts w:hint="eastAsia" w:cs="宋体"/>
                <w:color w:val="000000"/>
                <w:sz w:val="24"/>
                <w:lang w:val="en-US" w:eastAsia="zh-CN"/>
              </w:rPr>
            </w:pPr>
            <w:r>
              <w:rPr>
                <w:rFonts w:hint="eastAsia" w:cs="宋体"/>
                <w:color w:val="000000"/>
                <w:sz w:val="24"/>
                <w:lang w:val="en-US" w:eastAsia="zh-CN"/>
              </w:rPr>
              <w:t>2．负责全区基层医疗卫生机构各类专项资金的申请、拨入工作，监督资金的专款专用并跟踪问责。</w:t>
            </w:r>
          </w:p>
          <w:p>
            <w:pPr>
              <w:spacing w:line="360" w:lineRule="auto"/>
              <w:jc w:val="left"/>
              <w:rPr>
                <w:rFonts w:hint="eastAsia" w:cs="宋体"/>
                <w:color w:val="000000"/>
                <w:sz w:val="24"/>
                <w:lang w:val="en-US" w:eastAsia="zh-CN"/>
              </w:rPr>
            </w:pPr>
            <w:r>
              <w:rPr>
                <w:rFonts w:hint="eastAsia" w:cs="宋体"/>
                <w:color w:val="000000"/>
                <w:sz w:val="24"/>
                <w:lang w:val="en-US" w:eastAsia="zh-CN"/>
              </w:rPr>
              <w:t>3．负责全区基层医疗卫生机构所有收入的缴存、费用支付、基金增减等经济业务的核算，负责成果的计算和处理。</w:t>
            </w:r>
          </w:p>
          <w:p>
            <w:pPr>
              <w:spacing w:line="360" w:lineRule="auto"/>
              <w:jc w:val="left"/>
              <w:rPr>
                <w:rFonts w:hint="eastAsia" w:cs="宋体"/>
                <w:color w:val="000000"/>
                <w:sz w:val="24"/>
                <w:lang w:val="en-US" w:eastAsia="zh-CN"/>
              </w:rPr>
            </w:pPr>
            <w:r>
              <w:rPr>
                <w:rFonts w:hint="eastAsia" w:cs="宋体"/>
                <w:color w:val="000000"/>
                <w:sz w:val="24"/>
                <w:lang w:val="en-US" w:eastAsia="zh-CN"/>
              </w:rPr>
              <w:t>4．分析全区基层医疗卫生机构经济运行状况，及时掌握基层医疗卫生机构的资金流向，确保基层医疗卫生机构的经济良性循环和事业健康发展。</w:t>
            </w:r>
          </w:p>
          <w:p>
            <w:pPr>
              <w:spacing w:line="360" w:lineRule="auto"/>
              <w:jc w:val="left"/>
              <w:rPr>
                <w:rFonts w:hint="eastAsia" w:cs="宋体"/>
                <w:color w:val="000000"/>
                <w:sz w:val="24"/>
                <w:lang w:val="en-US" w:eastAsia="zh-CN"/>
              </w:rPr>
            </w:pPr>
            <w:r>
              <w:rPr>
                <w:rFonts w:hint="eastAsia" w:cs="宋体"/>
                <w:color w:val="000000"/>
                <w:sz w:val="24"/>
                <w:lang w:val="en-US" w:eastAsia="zh-CN"/>
              </w:rPr>
              <w:t>5．加强对基层医疗卫生机构的经济管理，不断探索基层医疗卫生机构增收节支新途径，挖掘基层医疗卫生机构资金使用潜力，提出基层医疗卫生机构健康发展合理化意见和建议。</w:t>
            </w:r>
          </w:p>
          <w:p>
            <w:pPr>
              <w:spacing w:line="360" w:lineRule="auto"/>
              <w:jc w:val="left"/>
              <w:rPr>
                <w:rFonts w:hint="eastAsia" w:cs="宋体"/>
                <w:color w:val="000000"/>
                <w:sz w:val="24"/>
                <w:lang w:val="en-US" w:eastAsia="zh-CN"/>
              </w:rPr>
            </w:pPr>
            <w:r>
              <w:rPr>
                <w:rFonts w:hint="eastAsia" w:cs="宋体"/>
                <w:color w:val="000000"/>
                <w:sz w:val="24"/>
                <w:lang w:val="en-US" w:eastAsia="zh-CN"/>
              </w:rPr>
              <w:t>6．建立并完善基层医疗卫生机构财务管理和会计核算制度，规范基层医疗卫生机构财务行为，确保基层医疗卫生机构会计核算资料的真实、完整。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8"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71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619"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2251"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627"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73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162"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乡镇卫生院数量</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药物灭螺面积</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160.54万平米</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160.54万平方米</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全年公卫服务督查次数</w:t>
            </w:r>
          </w:p>
        </w:tc>
        <w:tc>
          <w:tcPr>
            <w:tcW w:w="1627" w:type="dxa"/>
            <w:gridSpan w:val="2"/>
            <w:noWrap w:val="0"/>
            <w:vAlign w:val="center"/>
          </w:tcPr>
          <w:p>
            <w:pPr>
              <w:spacing w:line="360" w:lineRule="auto"/>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4次</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4次</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tabs>
                <w:tab w:val="left" w:pos="476"/>
              </w:tabs>
              <w:spacing w:line="360" w:lineRule="auto"/>
              <w:jc w:val="center"/>
              <w:rPr>
                <w:rFonts w:hint="eastAsia" w:cs="宋体"/>
                <w:color w:val="000000"/>
                <w:sz w:val="24"/>
                <w:lang w:val="en-US" w:eastAsia="zh-CN"/>
              </w:rPr>
            </w:pPr>
            <w:r>
              <w:rPr>
                <w:rFonts w:hint="eastAsia" w:cs="宋体"/>
                <w:color w:val="000000"/>
                <w:sz w:val="24"/>
                <w:lang w:val="en-US" w:eastAsia="zh-CN"/>
              </w:rPr>
              <w:t>质量指标</w:t>
            </w: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新冠肺炎病毒感染防控率</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100%</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档案规范、责任到位</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100%</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资金使用期间</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2020年1-12月</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2020年1-12月</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资金投入实施及时率</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标本采集、保存、运送与检测</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6小时内送达市疾病预防控制中心</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6小时内送达市疾病预防控制中心</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防疫工作补贴</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一线300元/天</w:t>
            </w:r>
          </w:p>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二线200元/天</w:t>
            </w:r>
          </w:p>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2"/>
                <w:sz w:val="20"/>
                <w:szCs w:val="20"/>
                <w:lang w:val="en-US" w:eastAsia="zh-CN" w:bidi="ar-SA"/>
              </w:rPr>
              <w:t>三线200元/天</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一线300元/天</w:t>
            </w:r>
          </w:p>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二线200元/天</w:t>
            </w:r>
          </w:p>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2"/>
                <w:sz w:val="20"/>
                <w:szCs w:val="20"/>
                <w:lang w:val="en-US" w:eastAsia="zh-CN" w:bidi="ar-SA"/>
              </w:rPr>
              <w:t>三线200元/天</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防疫物质和设备金额</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不高于市场平均水平</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不高于市场平均水平</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资金投入成本节约率</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促进全区医疗事业发展</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促进全区经济和谐健康发展</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效果显著</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效果显著</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维持社会公共安全</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保障生命财产安全</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居民健康保健知识知晓率</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逐步提高</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逐步提高</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医疗废物处理</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生活环境质量</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有效提高</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有效提高</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促进环境可持续发展</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促进经济可持续发展</w:t>
            </w:r>
          </w:p>
        </w:tc>
        <w:tc>
          <w:tcPr>
            <w:tcW w:w="162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73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长期有效</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项目后续运行及成效发挥的可持续积极作用</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100%</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619"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医疗服务对象</w:t>
            </w:r>
          </w:p>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满意度</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≧95%</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≧95%</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619" w:type="dxa"/>
            <w:gridSpan w:val="2"/>
            <w:vMerge w:val="continue"/>
            <w:noWrap w:val="0"/>
            <w:vAlign w:val="center"/>
          </w:tcPr>
          <w:p>
            <w:pPr>
              <w:spacing w:line="360" w:lineRule="auto"/>
              <w:jc w:val="center"/>
              <w:rPr>
                <w:rFonts w:hint="eastAsia" w:cs="宋体"/>
                <w:color w:val="000000"/>
                <w:sz w:val="24"/>
                <w:lang w:val="en-US" w:eastAsia="zh-CN"/>
              </w:rPr>
            </w:pPr>
          </w:p>
        </w:tc>
        <w:tc>
          <w:tcPr>
            <w:tcW w:w="2251"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sz w:val="20"/>
                <w:szCs w:val="20"/>
                <w:lang w:val="en-US" w:eastAsia="zh-CN"/>
              </w:rPr>
              <w:t>患者家属满意度</w:t>
            </w:r>
          </w:p>
        </w:tc>
        <w:tc>
          <w:tcPr>
            <w:tcW w:w="1627" w:type="dxa"/>
            <w:gridSpan w:val="2"/>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≧95%</w:t>
            </w:r>
          </w:p>
        </w:tc>
        <w:tc>
          <w:tcPr>
            <w:tcW w:w="173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≧95%</w:t>
            </w:r>
          </w:p>
        </w:tc>
        <w:tc>
          <w:tcPr>
            <w:tcW w:w="1162" w:type="dxa"/>
            <w:noWrap w:val="0"/>
            <w:vAlign w:val="center"/>
          </w:tcPr>
          <w:p>
            <w:pPr>
              <w:spacing w:line="360" w:lineRule="auto"/>
              <w:jc w:val="center"/>
              <w:rPr>
                <w:rFonts w:hint="eastAsia" w:asciiTheme="minorEastAsia" w:hAnsiTheme="minorEastAsia" w:eastAsiaTheme="minorEastAsia" w:cstheme="minorEastAsia"/>
                <w:color w:val="000000"/>
                <w:sz w:val="20"/>
                <w:szCs w:val="20"/>
                <w:lang w:val="en-US" w:eastAsia="zh-CN"/>
              </w:rPr>
            </w:pPr>
          </w:p>
        </w:tc>
      </w:tr>
    </w:tbl>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eastAsia="黑体"/>
          <w:color w:val="000000"/>
          <w:kern w:val="0"/>
          <w:sz w:val="32"/>
          <w:szCs w:val="32"/>
        </w:rPr>
      </w:pPr>
      <w:r>
        <w:rPr>
          <w:rFonts w:hAnsi="黑体" w:eastAsia="黑体"/>
          <w:color w:val="000000"/>
          <w:kern w:val="0"/>
          <w:sz w:val="32"/>
          <w:szCs w:val="32"/>
        </w:rPr>
        <w:t>附件</w:t>
      </w:r>
      <w:r>
        <w:rPr>
          <w:rFonts w:hint="eastAsia" w:hAnsi="黑体" w:eastAsia="黑体"/>
          <w:color w:val="000000"/>
          <w:kern w:val="0"/>
          <w:sz w:val="32"/>
          <w:szCs w:val="32"/>
          <w:lang w:val="en-US" w:eastAsia="zh-CN"/>
        </w:rPr>
        <w:t>4</w:t>
      </w:r>
    </w:p>
    <w:p>
      <w:pPr>
        <w:autoSpaceDE w:val="0"/>
        <w:autoSpaceDN w:val="0"/>
        <w:spacing w:line="600" w:lineRule="exact"/>
        <w:jc w:val="center"/>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20</w:t>
      </w:r>
      <w:r>
        <w:rPr>
          <w:rFonts w:hint="eastAsia" w:ascii="方正大标宋简体" w:eastAsia="方正大标宋简体" w:cs="仿宋_GB2312"/>
          <w:bCs/>
          <w:color w:val="000000"/>
          <w:kern w:val="0"/>
          <w:sz w:val="44"/>
          <w:szCs w:val="44"/>
        </w:rPr>
        <w:t>年部门整体支出绩效评价基础数据表</w:t>
      </w:r>
    </w:p>
    <w:tbl>
      <w:tblPr>
        <w:tblStyle w:val="3"/>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2020年编制人数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w:t>
            </w:r>
            <w:r>
              <w:rPr>
                <w:rFonts w:hint="eastAsia" w:cs="宋体"/>
                <w:color w:val="000000"/>
                <w:sz w:val="24"/>
                <w:lang w:val="en-US" w:eastAsia="zh-CN"/>
              </w:rPr>
              <w:br w:type="textWrapping"/>
            </w:r>
            <w:r>
              <w:rPr>
                <w:rFonts w:hint="eastAsia" w:cs="宋体"/>
                <w:color w:val="000000"/>
                <w:sz w:val="24"/>
                <w:lang w:val="en-US" w:eastAsia="zh-CN"/>
              </w:rPr>
              <w:t>实际在职人数</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292</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201</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p>
        </w:tc>
        <w:tc>
          <w:tcPr>
            <w:tcW w:w="2635" w:type="dxa"/>
            <w:noWrap w:val="0"/>
            <w:vAlign w:val="center"/>
          </w:tcPr>
          <w:p>
            <w:pPr>
              <w:spacing w:line="360" w:lineRule="auto"/>
              <w:jc w:val="center"/>
              <w:rPr>
                <w:rFonts w:hint="default" w:cs="宋体"/>
                <w:color w:val="000000"/>
                <w:sz w:val="24"/>
                <w:lang w:val="en-US" w:eastAsia="zh-CN"/>
              </w:rPr>
            </w:pPr>
          </w:p>
        </w:tc>
        <w:tc>
          <w:tcPr>
            <w:tcW w:w="2250" w:type="dxa"/>
            <w:noWrap w:val="0"/>
            <w:vAlign w:val="center"/>
          </w:tcPr>
          <w:p>
            <w:pPr>
              <w:spacing w:line="360" w:lineRule="auto"/>
              <w:jc w:val="center"/>
              <w:rPr>
                <w:rFonts w:hint="default"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13943540.00</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13943540.00</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2020年预算总额</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2020年决算总额</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113277809.49</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113277809.49</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114068500.46</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-790690.97</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p>
        </w:tc>
        <w:tc>
          <w:tcPr>
            <w:tcW w:w="2635" w:type="dxa"/>
            <w:noWrap w:val="0"/>
            <w:vAlign w:val="center"/>
          </w:tcPr>
          <w:p>
            <w:pPr>
              <w:spacing w:line="360" w:lineRule="auto"/>
              <w:jc w:val="center"/>
              <w:rPr>
                <w:rFonts w:hint="default" w:cs="宋体"/>
                <w:color w:val="000000"/>
                <w:sz w:val="24"/>
                <w:lang w:val="en-US" w:eastAsia="zh-CN"/>
              </w:rPr>
            </w:pPr>
          </w:p>
        </w:tc>
        <w:tc>
          <w:tcPr>
            <w:tcW w:w="2250" w:type="dxa"/>
            <w:noWrap w:val="0"/>
            <w:vAlign w:val="center"/>
          </w:tcPr>
          <w:p>
            <w:pPr>
              <w:spacing w:line="360" w:lineRule="auto"/>
              <w:jc w:val="center"/>
              <w:rPr>
                <w:rFonts w:hint="default"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p>
        </w:tc>
        <w:tc>
          <w:tcPr>
            <w:tcW w:w="2635" w:type="dxa"/>
            <w:noWrap w:val="0"/>
            <w:vAlign w:val="center"/>
          </w:tcPr>
          <w:p>
            <w:pPr>
              <w:spacing w:line="360" w:lineRule="auto"/>
              <w:jc w:val="center"/>
              <w:rPr>
                <w:rFonts w:hint="default" w:cs="宋体"/>
                <w:color w:val="000000"/>
                <w:sz w:val="24"/>
                <w:lang w:val="en-US" w:eastAsia="zh-CN"/>
              </w:rPr>
            </w:pPr>
          </w:p>
        </w:tc>
        <w:tc>
          <w:tcPr>
            <w:tcW w:w="2250" w:type="dxa"/>
            <w:noWrap w:val="0"/>
            <w:vAlign w:val="center"/>
          </w:tcPr>
          <w:p>
            <w:pPr>
              <w:spacing w:line="360" w:lineRule="auto"/>
              <w:jc w:val="center"/>
              <w:rPr>
                <w:rFonts w:hint="default"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top"/>
          </w:tcPr>
          <w:p>
            <w:pPr>
              <w:spacing w:line="360" w:lineRule="auto"/>
              <w:jc w:val="center"/>
              <w:rPr>
                <w:rFonts w:hint="eastAsia" w:cs="宋体"/>
                <w:color w:val="000000"/>
                <w:sz w:val="24"/>
                <w:lang w:val="en-US" w:eastAsia="zh-CN"/>
              </w:rPr>
            </w:pPr>
            <w:r>
              <w:rPr>
                <w:rFonts w:hint="eastAsia" w:cs="宋体"/>
                <w:color w:val="000000"/>
                <w:sz w:val="24"/>
                <w:lang w:val="en-US" w:eastAsia="zh-CN"/>
              </w:rPr>
              <w:t>20535654.00</w:t>
            </w:r>
          </w:p>
        </w:tc>
        <w:tc>
          <w:tcPr>
            <w:tcW w:w="2635" w:type="dxa"/>
            <w:noWrap w:val="0"/>
            <w:vAlign w:val="top"/>
          </w:tcPr>
          <w:p>
            <w:pPr>
              <w:spacing w:line="360" w:lineRule="auto"/>
              <w:jc w:val="center"/>
              <w:rPr>
                <w:rFonts w:hint="eastAsia" w:cs="宋体"/>
                <w:color w:val="000000"/>
                <w:sz w:val="24"/>
                <w:lang w:val="en-US" w:eastAsia="zh-CN"/>
              </w:rPr>
            </w:pPr>
            <w:r>
              <w:rPr>
                <w:rFonts w:hint="eastAsia" w:cs="宋体"/>
                <w:color w:val="000000"/>
                <w:sz w:val="24"/>
                <w:lang w:val="en-US" w:eastAsia="zh-CN"/>
              </w:rPr>
              <w:t>20535654.00</w:t>
            </w:r>
          </w:p>
        </w:tc>
        <w:tc>
          <w:tcPr>
            <w:tcW w:w="2250" w:type="dxa"/>
            <w:noWrap w:val="0"/>
            <w:vAlign w:val="top"/>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cs="宋体"/>
                <w:color w:val="000000"/>
                <w:sz w:val="24"/>
                <w:lang w:val="en-US" w:eastAsia="zh-CN"/>
              </w:rPr>
            </w:pPr>
          </w:p>
        </w:tc>
        <w:tc>
          <w:tcPr>
            <w:tcW w:w="2635" w:type="dxa"/>
            <w:noWrap w:val="0"/>
            <w:vAlign w:val="center"/>
          </w:tcPr>
          <w:p>
            <w:pPr>
              <w:spacing w:line="360" w:lineRule="auto"/>
              <w:jc w:val="center"/>
              <w:rPr>
                <w:rFonts w:hint="eastAsia" w:cs="宋体"/>
                <w:color w:val="000000"/>
                <w:sz w:val="24"/>
                <w:lang w:val="en-US" w:eastAsia="zh-CN"/>
              </w:rPr>
            </w:pPr>
          </w:p>
        </w:tc>
        <w:tc>
          <w:tcPr>
            <w:tcW w:w="2250"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bl>
    <w:p>
      <w:pPr>
        <w:spacing w:line="360" w:lineRule="auto"/>
        <w:rPr>
          <w:rFonts w:hAnsi="黑体" w:eastAsia="黑体"/>
          <w:color w:val="000000"/>
          <w:kern w:val="0"/>
          <w:sz w:val="32"/>
          <w:szCs w:val="32"/>
        </w:rPr>
      </w:pPr>
    </w:p>
    <w:p>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5</w:t>
      </w:r>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年部门整体支出绩效自评指标计分表</w:t>
      </w:r>
    </w:p>
    <w:tbl>
      <w:tblPr>
        <w:tblStyle w:val="3"/>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noWrap w:val="0"/>
            <w:vAlign w:val="center"/>
          </w:tcPr>
          <w:p>
            <w:pPr>
              <w:overflowPunct w:val="0"/>
              <w:autoSpaceDE w:val="0"/>
              <w:autoSpaceDN w:val="0"/>
              <w:spacing w:line="240" w:lineRule="exact"/>
              <w:ind w:firstLine="240" w:firstLineChars="100"/>
              <w:jc w:val="right"/>
              <w:rPr>
                <w:rFonts w:hint="default" w:cs="宋体"/>
                <w:color w:val="000000"/>
                <w:kern w:val="0"/>
                <w:sz w:val="24"/>
                <w:lang w:val="en-US"/>
              </w:rPr>
            </w:pPr>
            <w:r>
              <w:rPr>
                <w:rFonts w:hint="eastAsia" w:cs="宋体"/>
                <w:color w:val="000000"/>
                <w:kern w:val="0"/>
                <w:sz w:val="24"/>
                <w:lang w:val="en-US" w:eastAsia="zh-CN"/>
              </w:rPr>
              <w:t>12</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bottom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sz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97</w:t>
            </w:r>
          </w:p>
        </w:tc>
      </w:tr>
    </w:tbl>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int="eastAsia" w:eastAsia="黑体"/>
          <w:color w:val="00000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6</w:t>
      </w:r>
    </w:p>
    <w:p>
      <w:pPr>
        <w:overflowPunct w:val="0"/>
        <w:autoSpaceDE w:val="0"/>
        <w:autoSpaceDN w:val="0"/>
        <w:spacing w:line="592" w:lineRule="exact"/>
        <w:rPr>
          <w:rFonts w:hint="eastAsia" w:eastAsia="黑体"/>
          <w:color w:val="000000"/>
          <w:sz w:val="32"/>
          <w:szCs w:val="32"/>
        </w:rPr>
      </w:pPr>
    </w:p>
    <w:p>
      <w:pPr>
        <w:overflowPunct w:val="0"/>
        <w:autoSpaceDE w:val="0"/>
        <w:autoSpaceDN w:val="0"/>
        <w:spacing w:line="592" w:lineRule="exact"/>
        <w:jc w:val="center"/>
        <w:rPr>
          <w:rFonts w:hint="eastAsia" w:ascii="方正大标宋简体" w:eastAsia="方正大标宋简体" w:cs="仿宋_GB2312"/>
          <w:color w:val="000000"/>
          <w:sz w:val="44"/>
          <w:szCs w:val="44"/>
        </w:rPr>
      </w:pPr>
      <w:r>
        <w:rPr>
          <w:rFonts w:hint="eastAsia" w:ascii="方正大标宋简体" w:eastAsia="方正大标宋简体" w:cs="仿宋_GB2312"/>
          <w:bCs/>
          <w:color w:val="000000"/>
          <w:sz w:val="44"/>
          <w:szCs w:val="44"/>
          <w:lang w:eastAsia="zh-CN"/>
        </w:rPr>
        <w:t>大通湖区卫生核算中心</w:t>
      </w:r>
      <w:r>
        <w:rPr>
          <w:rFonts w:hint="eastAsia" w:ascii="方正大标宋简体" w:eastAsia="方正大标宋简体" w:cs="仿宋_GB2312"/>
          <w:bCs/>
          <w:color w:val="000000"/>
          <w:sz w:val="44"/>
          <w:szCs w:val="44"/>
        </w:rPr>
        <w:t>部门整体支出绩效评价报告</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根据《国务院关于进一步深化预算管理制度改革和意见》（国发〔2021〕5号)《湖南省关于全面实施预算绩效管理的实施意见》（湘办发〔2019〕10号）《益阳市大通湖区发展改革和财政局关于认真做好2021年预算绩效自评工作的通知》，遵循“科学性、规范性、客观性和公正性”的原则，我</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对20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年度部门整体支出绩效进行了合理评价，现将有关情况报告如下。</w:t>
      </w:r>
    </w:p>
    <w:p>
      <w:pPr>
        <w:overflowPunct w:val="0"/>
        <w:autoSpaceDE w:val="0"/>
        <w:autoSpaceDN w:val="0"/>
        <w:spacing w:line="592" w:lineRule="exact"/>
        <w:ind w:firstLine="640" w:firstLineChars="200"/>
        <w:rPr>
          <w:rFonts w:hint="eastAsia" w:ascii="黑体" w:hAnsi="黑体" w:eastAsia="黑体" w:cs="仿宋_GB2312"/>
          <w:color w:val="000000"/>
          <w:sz w:val="32"/>
          <w:szCs w:val="32"/>
        </w:rPr>
      </w:pPr>
      <w:r>
        <w:rPr>
          <w:rFonts w:hint="eastAsia" w:ascii="黑体" w:hAnsi="黑体" w:eastAsia="黑体" w:cs="仿宋_GB2312"/>
          <w:bCs/>
          <w:color w:val="000000"/>
          <w:sz w:val="32"/>
          <w:szCs w:val="32"/>
        </w:rPr>
        <w:t>一、基本情况</w:t>
      </w:r>
    </w:p>
    <w:p>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（一）部门整体</w:t>
      </w:r>
      <w:r>
        <w:rPr>
          <w:rFonts w:hint="eastAsia" w:ascii="仿宋" w:hAnsi="仿宋" w:eastAsia="仿宋" w:cs="仿宋"/>
          <w:color w:val="000000"/>
          <w:sz w:val="32"/>
          <w:szCs w:val="32"/>
          <w:lang w:eastAsia="zh-CN"/>
        </w:rPr>
        <w:t>收入、</w:t>
      </w:r>
      <w:r>
        <w:rPr>
          <w:rFonts w:hint="eastAsia" w:ascii="仿宋" w:hAnsi="仿宋" w:eastAsia="仿宋" w:cs="仿宋"/>
          <w:color w:val="000000"/>
          <w:sz w:val="32"/>
          <w:szCs w:val="32"/>
        </w:rPr>
        <w:t>支出概况</w:t>
      </w:r>
    </w:p>
    <w:p>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2020年度</w:t>
      </w:r>
      <w:r>
        <w:rPr>
          <w:rFonts w:hint="eastAsia" w:ascii="仿宋" w:hAnsi="仿宋" w:eastAsia="仿宋" w:cs="仿宋"/>
          <w:color w:val="000000"/>
          <w:sz w:val="32"/>
          <w:szCs w:val="32"/>
          <w:lang w:eastAsia="zh-CN"/>
        </w:rPr>
        <w:t>卫生核算中心</w:t>
      </w:r>
      <w:r>
        <w:rPr>
          <w:rFonts w:hint="eastAsia" w:ascii="仿宋" w:hAnsi="仿宋" w:eastAsia="仿宋" w:cs="仿宋"/>
          <w:color w:val="000000"/>
          <w:sz w:val="32"/>
          <w:szCs w:val="32"/>
        </w:rPr>
        <w:t>部门决算收入总计</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1652.88</w:t>
      </w:r>
      <w:r>
        <w:rPr>
          <w:rFonts w:hint="eastAsia" w:ascii="仿宋" w:hAnsi="仿宋" w:eastAsia="仿宋" w:cs="仿宋"/>
          <w:color w:val="000000"/>
          <w:sz w:val="32"/>
          <w:szCs w:val="32"/>
        </w:rPr>
        <w:t>万元，政府性基金预算财政拨款收入</w:t>
      </w:r>
      <w:r>
        <w:rPr>
          <w:rFonts w:hint="eastAsia" w:ascii="仿宋" w:hAnsi="仿宋" w:eastAsia="仿宋" w:cs="仿宋"/>
          <w:color w:val="000000"/>
          <w:sz w:val="32"/>
          <w:szCs w:val="32"/>
          <w:lang w:val="en-US" w:eastAsia="zh-CN"/>
        </w:rPr>
        <w:t>955.00</w:t>
      </w:r>
      <w:r>
        <w:rPr>
          <w:rFonts w:hint="eastAsia" w:ascii="仿宋" w:hAnsi="仿宋" w:eastAsia="仿宋" w:cs="仿宋"/>
          <w:color w:val="000000"/>
          <w:sz w:val="32"/>
          <w:szCs w:val="32"/>
        </w:rPr>
        <w:t>万，</w:t>
      </w:r>
      <w:r>
        <w:rPr>
          <w:rFonts w:hint="eastAsia" w:ascii="仿宋" w:hAnsi="仿宋" w:eastAsia="仿宋" w:cs="仿宋"/>
          <w:color w:val="000000"/>
          <w:sz w:val="32"/>
          <w:szCs w:val="32"/>
          <w:lang w:eastAsia="zh-CN"/>
        </w:rPr>
        <w:t>事业收入</w:t>
      </w:r>
      <w:r>
        <w:rPr>
          <w:rFonts w:hint="eastAsia" w:ascii="仿宋" w:hAnsi="仿宋" w:eastAsia="仿宋" w:cs="仿宋"/>
          <w:color w:val="000000"/>
          <w:sz w:val="32"/>
          <w:szCs w:val="32"/>
          <w:lang w:val="en-US" w:eastAsia="zh-CN"/>
        </w:rPr>
        <w:t>8706.96万元，</w:t>
      </w:r>
      <w:r>
        <w:rPr>
          <w:rFonts w:hint="eastAsia" w:ascii="仿宋" w:hAnsi="仿宋" w:eastAsia="仿宋" w:cs="仿宋"/>
          <w:color w:val="000000"/>
          <w:sz w:val="32"/>
          <w:szCs w:val="32"/>
        </w:rPr>
        <w:t>其他收入</w:t>
      </w:r>
      <w:r>
        <w:rPr>
          <w:rFonts w:hint="eastAsia" w:ascii="仿宋" w:hAnsi="仿宋" w:eastAsia="仿宋" w:cs="仿宋"/>
          <w:color w:val="000000"/>
          <w:sz w:val="32"/>
          <w:szCs w:val="32"/>
          <w:lang w:val="en-US" w:eastAsia="zh-CN"/>
        </w:rPr>
        <w:t>12.93</w:t>
      </w:r>
      <w:r>
        <w:rPr>
          <w:rFonts w:hint="eastAsia" w:ascii="仿宋" w:hAnsi="仿宋" w:eastAsia="仿宋" w:cs="仿宋"/>
          <w:color w:val="000000"/>
          <w:sz w:val="32"/>
          <w:szCs w:val="32"/>
        </w:rPr>
        <w:t>万元。</w:t>
      </w:r>
    </w:p>
    <w:p>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2020年度支出合计</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其中工资福利支出</w:t>
      </w:r>
      <w:r>
        <w:rPr>
          <w:rFonts w:hint="eastAsia" w:ascii="仿宋" w:hAnsi="仿宋" w:eastAsia="仿宋" w:cs="仿宋"/>
          <w:color w:val="000000"/>
          <w:sz w:val="32"/>
          <w:szCs w:val="32"/>
          <w:lang w:val="en-US" w:eastAsia="zh-CN"/>
        </w:rPr>
        <w:t>4545.67</w:t>
      </w:r>
      <w:r>
        <w:rPr>
          <w:rFonts w:hint="eastAsia" w:ascii="仿宋" w:hAnsi="仿宋" w:eastAsia="仿宋" w:cs="仿宋"/>
          <w:color w:val="000000"/>
          <w:sz w:val="32"/>
          <w:szCs w:val="32"/>
        </w:rPr>
        <w:t>万元；商品与服务支出</w:t>
      </w:r>
      <w:r>
        <w:rPr>
          <w:rFonts w:hint="eastAsia" w:ascii="仿宋" w:hAnsi="仿宋" w:eastAsia="仿宋" w:cs="仿宋"/>
          <w:color w:val="000000"/>
          <w:sz w:val="32"/>
          <w:szCs w:val="32"/>
          <w:lang w:val="en-US" w:eastAsia="zh-CN"/>
        </w:rPr>
        <w:t>6029.31</w:t>
      </w:r>
      <w:r>
        <w:rPr>
          <w:rFonts w:hint="eastAsia" w:ascii="仿宋" w:hAnsi="仿宋" w:eastAsia="仿宋" w:cs="仿宋"/>
          <w:color w:val="000000"/>
          <w:sz w:val="32"/>
          <w:szCs w:val="32"/>
        </w:rPr>
        <w:t>万元；资本性支出</w:t>
      </w:r>
      <w:r>
        <w:rPr>
          <w:rFonts w:hint="eastAsia" w:ascii="仿宋" w:hAnsi="仿宋" w:eastAsia="仿宋" w:cs="仿宋"/>
          <w:color w:val="000000"/>
          <w:sz w:val="32"/>
          <w:szCs w:val="32"/>
          <w:lang w:val="en-US" w:eastAsia="zh-CN"/>
        </w:rPr>
        <w:t>729.68</w:t>
      </w:r>
      <w:r>
        <w:rPr>
          <w:rFonts w:hint="eastAsia" w:ascii="仿宋" w:hAnsi="仿宋" w:eastAsia="仿宋" w:cs="仿宋"/>
          <w:color w:val="000000"/>
          <w:sz w:val="32"/>
          <w:szCs w:val="32"/>
        </w:rPr>
        <w:t>万元；对个人和家庭补助支出</w:t>
      </w:r>
      <w:r>
        <w:rPr>
          <w:rFonts w:hint="eastAsia" w:ascii="仿宋" w:hAnsi="仿宋" w:eastAsia="仿宋" w:cs="仿宋"/>
          <w:color w:val="000000"/>
          <w:sz w:val="32"/>
          <w:szCs w:val="32"/>
          <w:lang w:val="en-US" w:eastAsia="zh-CN"/>
        </w:rPr>
        <w:t>23.11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支出预算率100%。</w:t>
      </w:r>
    </w:p>
    <w:p>
      <w:pPr>
        <w:numPr>
          <w:ilvl w:val="0"/>
          <w:numId w:val="1"/>
        </w:num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部门整体支出绩效目标</w:t>
      </w:r>
      <w:r>
        <w:rPr>
          <w:rFonts w:hint="eastAsia" w:ascii="仿宋" w:hAnsi="仿宋" w:eastAsia="仿宋" w:cs="仿宋"/>
          <w:color w:val="000000"/>
          <w:sz w:val="32"/>
          <w:szCs w:val="32"/>
          <w:lang w:eastAsia="zh-CN"/>
        </w:rPr>
        <w:t>。</w:t>
      </w:r>
    </w:p>
    <w:p>
      <w:pPr>
        <w:numPr>
          <w:ilvl w:val="0"/>
          <w:numId w:val="0"/>
        </w:numPr>
        <w:overflowPunct w:val="0"/>
        <w:autoSpaceDE w:val="0"/>
        <w:autoSpaceDN w:val="0"/>
        <w:spacing w:line="592" w:lineRule="exact"/>
        <w:rPr>
          <w:rFonts w:hint="eastAsia" w:ascii="仿宋" w:hAnsi="仿宋" w:eastAsia="仿宋" w:cs="仿宋"/>
          <w:color w:val="000000"/>
          <w:sz w:val="32"/>
          <w:szCs w:val="32"/>
        </w:rPr>
      </w:pPr>
      <w:r>
        <w:rPr>
          <w:rFonts w:hint="eastAsia" w:ascii="仿宋" w:hAnsi="仿宋" w:eastAsia="仿宋" w:cs="仿宋"/>
          <w:color w:val="000000"/>
          <w:sz w:val="32"/>
          <w:szCs w:val="32"/>
        </w:rPr>
        <w:t>　为强化部门整体支出，加强国有资产管理，提高资金使用效益，提升财务管理，建立节约型机关，</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年我</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预决算公开、</w:t>
      </w:r>
      <w:r>
        <w:rPr>
          <w:rFonts w:hint="eastAsia" w:ascii="仿宋" w:hAnsi="仿宋" w:eastAsia="仿宋" w:cs="仿宋"/>
          <w:color w:val="000000"/>
          <w:sz w:val="32"/>
          <w:szCs w:val="32"/>
        </w:rPr>
        <w:t>厉行节约</w:t>
      </w:r>
      <w:r>
        <w:rPr>
          <w:rFonts w:hint="eastAsia" w:ascii="仿宋" w:hAnsi="仿宋" w:eastAsia="仿宋" w:cs="仿宋"/>
          <w:color w:val="000000"/>
          <w:sz w:val="32"/>
          <w:szCs w:val="32"/>
          <w:lang w:eastAsia="zh-CN"/>
        </w:rPr>
        <w:t>、资产管理、内控等</w:t>
      </w:r>
      <w:r>
        <w:rPr>
          <w:rFonts w:hint="eastAsia" w:ascii="仿宋" w:hAnsi="仿宋" w:eastAsia="仿宋" w:cs="仿宋"/>
          <w:color w:val="000000"/>
          <w:sz w:val="32"/>
          <w:szCs w:val="32"/>
        </w:rPr>
        <w:t>方面开展了大量工作，行政效能显著。</w:t>
      </w:r>
    </w:p>
    <w:p>
      <w:pPr>
        <w:numPr>
          <w:ilvl w:val="0"/>
          <w:numId w:val="0"/>
        </w:num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1、预决算公开情况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年部门预算和20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年部门决算的编报通过了发财局的审核后，按照政府信息公开有关规定及预决算公开的要求在大通湖网站上及时进行公开，增强了预决算的执行透明度。</w:t>
      </w:r>
    </w:p>
    <w:p>
      <w:pPr>
        <w:numPr>
          <w:ilvl w:val="0"/>
          <w:numId w:val="0"/>
        </w:num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2、“三公”经费使用情况</w:t>
      </w:r>
    </w:p>
    <w:p>
      <w:pPr>
        <w:numPr>
          <w:ilvl w:val="0"/>
          <w:numId w:val="0"/>
        </w:numPr>
        <w:overflowPunct w:val="0"/>
        <w:autoSpaceDE w:val="0"/>
        <w:autoSpaceDN w:val="0"/>
        <w:spacing w:line="592"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因机构改革，我中心隶属于大通湖区教育和卫生核算中心，无该项资金安排和实际支出。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3、资产管理情况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rPr>
        <w:t>为加强管理，我</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严格执行固定资产管理制度，完善了资产管理信息系统，资产的实物管理，确保</w:t>
      </w:r>
      <w:r>
        <w:rPr>
          <w:rFonts w:hint="eastAsia" w:ascii="仿宋" w:hAnsi="仿宋" w:eastAsia="仿宋" w:cs="仿宋"/>
          <w:color w:val="000000"/>
          <w:sz w:val="32"/>
          <w:szCs w:val="32"/>
        </w:rPr>
        <w:t>账账相符、账实相符</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4、内部管理制度建设情况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成立了内控工作领导小组，有内部控制管理制度，在内控管理方面，严格执行执行上级和财政部门的有关法律法规、财经制度，完善了业务操作流程，坚持“先预算、后支出”,各项收支均纳入预算管理，统筹安排使用，确保各项工作的顺利开展，同时通过排查廉政风险点，加强了廉政风险防控机制建设。</w:t>
      </w:r>
    </w:p>
    <w:p>
      <w:pPr>
        <w:numPr>
          <w:ilvl w:val="0"/>
          <w:numId w:val="1"/>
        </w:numPr>
        <w:overflowPunct w:val="0"/>
        <w:autoSpaceDE w:val="0"/>
        <w:autoSpaceDN w:val="0"/>
        <w:spacing w:line="592" w:lineRule="exact"/>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部门整体实施情况分析</w:t>
      </w:r>
      <w:r>
        <w:rPr>
          <w:rFonts w:hint="eastAsia" w:ascii="仿宋" w:hAnsi="仿宋" w:eastAsia="仿宋" w:cs="仿宋"/>
          <w:color w:val="000000"/>
          <w:sz w:val="32"/>
          <w:szCs w:val="32"/>
          <w:lang w:eastAsia="zh-CN"/>
        </w:rPr>
        <w:t>。</w:t>
      </w:r>
    </w:p>
    <w:p>
      <w:pPr>
        <w:overflowPunct w:val="0"/>
        <w:autoSpaceDE w:val="0"/>
        <w:autoSpaceDN w:val="0"/>
        <w:spacing w:line="592"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2020年收入合计本年收入</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1652.88</w:t>
      </w:r>
      <w:r>
        <w:rPr>
          <w:rFonts w:hint="eastAsia" w:ascii="仿宋" w:hAnsi="仿宋" w:eastAsia="仿宋" w:cs="仿宋"/>
          <w:color w:val="000000"/>
          <w:sz w:val="32"/>
          <w:szCs w:val="32"/>
        </w:rPr>
        <w:t>万元，政府性基金预算财政拨款收入</w:t>
      </w:r>
      <w:r>
        <w:rPr>
          <w:rFonts w:hint="eastAsia" w:ascii="仿宋" w:hAnsi="仿宋" w:eastAsia="仿宋" w:cs="仿宋"/>
          <w:color w:val="000000"/>
          <w:sz w:val="32"/>
          <w:szCs w:val="32"/>
          <w:lang w:val="en-US" w:eastAsia="zh-CN"/>
        </w:rPr>
        <w:t>955.00</w:t>
      </w:r>
      <w:r>
        <w:rPr>
          <w:rFonts w:hint="eastAsia" w:ascii="仿宋" w:hAnsi="仿宋" w:eastAsia="仿宋" w:cs="仿宋"/>
          <w:color w:val="000000"/>
          <w:sz w:val="32"/>
          <w:szCs w:val="32"/>
        </w:rPr>
        <w:t>万，</w:t>
      </w:r>
      <w:r>
        <w:rPr>
          <w:rFonts w:hint="eastAsia" w:ascii="仿宋" w:hAnsi="仿宋" w:eastAsia="仿宋" w:cs="仿宋"/>
          <w:color w:val="000000"/>
          <w:sz w:val="32"/>
          <w:szCs w:val="32"/>
          <w:lang w:eastAsia="zh-CN"/>
        </w:rPr>
        <w:t>事业收入</w:t>
      </w:r>
      <w:r>
        <w:rPr>
          <w:rFonts w:hint="eastAsia" w:ascii="仿宋" w:hAnsi="仿宋" w:eastAsia="仿宋" w:cs="仿宋"/>
          <w:color w:val="000000"/>
          <w:sz w:val="32"/>
          <w:szCs w:val="32"/>
          <w:lang w:val="en-US" w:eastAsia="zh-CN"/>
        </w:rPr>
        <w:t>8706.96万元，</w:t>
      </w:r>
      <w:r>
        <w:rPr>
          <w:rFonts w:hint="eastAsia" w:ascii="仿宋" w:hAnsi="仿宋" w:eastAsia="仿宋" w:cs="仿宋"/>
          <w:color w:val="000000"/>
          <w:sz w:val="32"/>
          <w:szCs w:val="32"/>
        </w:rPr>
        <w:t>其他收入</w:t>
      </w:r>
      <w:r>
        <w:rPr>
          <w:rFonts w:hint="eastAsia" w:ascii="仿宋" w:hAnsi="仿宋" w:eastAsia="仿宋" w:cs="仿宋"/>
          <w:color w:val="000000"/>
          <w:sz w:val="32"/>
          <w:szCs w:val="32"/>
          <w:lang w:val="en-US" w:eastAsia="zh-CN"/>
        </w:rPr>
        <w:t>12.93</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，本年支出合计</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lang w:eastAsia="zh-CN"/>
        </w:rPr>
        <w:t>万元。</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从整体支出情况来看，我</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严格按照财政预算进行部门整体支出，在支出过程中，贯彻落实《党政机关厉行节约反对浪费条例》，严格执行各项政策制度，严格开支范围和标准，严格按照年初预算集中管理和使用各项经费，大额资金支出由集体研究决定，差旅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会议费、培训费等支出严格按照相关文件规定执行。在资金的管理上，严格执行财政国库集中支付，严格按财政有关规定使用和管理资金</w:t>
      </w:r>
      <w:r>
        <w:rPr>
          <w:rFonts w:hint="eastAsia" w:ascii="仿宋" w:hAnsi="仿宋" w:eastAsia="仿宋" w:cs="仿宋"/>
          <w:color w:val="000000"/>
          <w:sz w:val="32"/>
          <w:szCs w:val="32"/>
          <w:lang w:eastAsia="zh-CN"/>
        </w:rPr>
        <w:t>，并根据经费支出情况，定期进行经费支出财务统计和分析，并及时向分管领导和绩效评价领导小组进行汇报，对经费支出的管理状况提出建设性的意见，使各项经费管理和监督发挥了较好的作用。</w:t>
      </w:r>
    </w:p>
    <w:p>
      <w:p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pPr>
        <w:overflowPunct w:val="0"/>
        <w:autoSpaceDE w:val="0"/>
        <w:autoSpaceDN w:val="0"/>
        <w:spacing w:line="592"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（一）绩效评价目的。</w:t>
      </w:r>
    </w:p>
    <w:p>
      <w:pPr>
        <w:pStyle w:val="2"/>
        <w:spacing w:before="0" w:beforeAutospacing="0" w:after="0" w:afterAutospacing="0" w:line="480" w:lineRule="atLeast"/>
        <w:ind w:firstLine="640" w:firstLineChars="200"/>
        <w:jc w:val="both"/>
        <w:rPr>
          <w:rFonts w:hint="eastAsia" w:ascii="仿宋" w:hAnsi="仿宋" w:eastAsia="仿宋" w:cs="仿宋"/>
          <w:color w:val="FF0000"/>
          <w:sz w:val="32"/>
          <w:szCs w:val="32"/>
        </w:rPr>
      </w:pPr>
      <w:r>
        <w:rPr>
          <w:rFonts w:hint="eastAsia" w:ascii="仿宋" w:hAnsi="仿宋" w:eastAsia="仿宋" w:cs="仿宋"/>
          <w:kern w:val="2"/>
          <w:sz w:val="32"/>
          <w:szCs w:val="32"/>
          <w:lang w:eastAsia="zh-CN"/>
        </w:rPr>
        <w:t>本</w:t>
      </w:r>
      <w:r>
        <w:rPr>
          <w:rFonts w:hint="eastAsia" w:ascii="仿宋" w:hAnsi="仿宋" w:eastAsia="仿宋" w:cs="仿宋"/>
          <w:kern w:val="2"/>
          <w:sz w:val="32"/>
          <w:szCs w:val="32"/>
        </w:rPr>
        <w:t>次绩效评价的目的是为了全面分析和综合评价我</w:t>
      </w:r>
      <w:r>
        <w:rPr>
          <w:rFonts w:hint="eastAsia" w:ascii="仿宋" w:hAnsi="仿宋" w:eastAsia="仿宋" w:cs="仿宋"/>
          <w:kern w:val="2"/>
          <w:sz w:val="32"/>
          <w:szCs w:val="32"/>
          <w:lang w:eastAsia="zh-CN"/>
        </w:rPr>
        <w:t>中心</w:t>
      </w:r>
      <w:r>
        <w:rPr>
          <w:rFonts w:hint="eastAsia" w:ascii="仿宋" w:hAnsi="仿宋" w:eastAsia="仿宋" w:cs="仿宋"/>
          <w:kern w:val="2"/>
          <w:sz w:val="32"/>
          <w:szCs w:val="32"/>
        </w:rPr>
        <w:t>对财政预算资金的使用和管理情况，通过加强预算收支管理，不断建立健全内部管理制度，梳理内部管理流程，为切实提高财政资金使用效益，强化预算支出的责任和效率提供参考。</w:t>
      </w:r>
    </w:p>
    <w:p>
      <w:pPr>
        <w:numPr>
          <w:ilvl w:val="0"/>
          <w:numId w:val="2"/>
        </w:numPr>
        <w:overflowPunct w:val="0"/>
        <w:autoSpaceDE w:val="0"/>
        <w:autoSpaceDN w:val="0"/>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绩效评价工作过程</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1、前期准备</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（1）成立绩效评价工作组。由卫生财务核算中心牵头，联合局机关计财股、教育核算中心、办公室等股室抽调精干人员各1名组成绩效评价工作组，制定绩效评价方案。</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（2）明确绩效评价原则、评价指标体系、评价方法。</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（3）明白经费指标数据与实施项目单位。</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（4）安排绩效评价日程。</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2、组织实施</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布置绩效评价任务，经过收集资料、问卷调查、综合分析等程序后，形成本绩效自评报告。</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三、主要绩效及评价结论</w:t>
      </w:r>
    </w:p>
    <w:p>
      <w:pPr>
        <w:overflowPunct w:val="0"/>
        <w:autoSpaceDE w:val="0"/>
        <w:autoSpaceDN w:val="0"/>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1、经济性：2020年度</w:t>
      </w:r>
      <w:r>
        <w:rPr>
          <w:rFonts w:hint="eastAsia" w:ascii="仿宋" w:hAnsi="仿宋" w:eastAsia="仿宋" w:cs="仿宋"/>
          <w:color w:val="000000"/>
          <w:sz w:val="32"/>
          <w:szCs w:val="32"/>
          <w:lang w:eastAsia="zh-CN"/>
        </w:rPr>
        <w:t>卫生核算中心</w:t>
      </w:r>
      <w:r>
        <w:rPr>
          <w:rFonts w:hint="eastAsia" w:ascii="仿宋" w:hAnsi="仿宋" w:eastAsia="仿宋" w:cs="仿宋"/>
          <w:color w:val="000000"/>
          <w:sz w:val="32"/>
          <w:szCs w:val="32"/>
        </w:rPr>
        <w:t>部门收入总计</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rPr>
        <w:t>万元，支出合计</w:t>
      </w:r>
      <w:r>
        <w:rPr>
          <w:rFonts w:hint="eastAsia" w:ascii="仿宋" w:hAnsi="仿宋" w:eastAsia="仿宋" w:cs="仿宋"/>
          <w:color w:val="000000"/>
          <w:sz w:val="32"/>
          <w:szCs w:val="32"/>
          <w:lang w:val="en-US" w:eastAsia="zh-CN"/>
        </w:rPr>
        <w:t>11327.77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，预算完成率</w:t>
      </w:r>
      <w:r>
        <w:rPr>
          <w:rFonts w:hint="eastAsia" w:ascii="仿宋" w:hAnsi="仿宋" w:eastAsia="仿宋" w:cs="仿宋"/>
          <w:color w:val="000000"/>
          <w:sz w:val="32"/>
          <w:szCs w:val="32"/>
          <w:lang w:val="en-US" w:eastAsia="zh-CN"/>
        </w:rPr>
        <w:t>100%；项目支出情况上，预算总额1394.35万元，实际支出1394.35万元，执行率100%；政府采购执行情况上，预算数2053.57万元，实际支出2053.57万元，执行率100%，无“三公”经费预算支出及结转结余变动情况。</w:t>
      </w:r>
    </w:p>
    <w:p>
      <w:pPr>
        <w:overflowPunct w:val="0"/>
        <w:autoSpaceDE w:val="0"/>
        <w:autoSpaceDN w:val="0"/>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效率性：2020年，我中心根据年初工作规划和重点性工作，上下团结一心，迎难而上，加压奋进，锐意进取，较好的完成了年度工作目标，制定全区医疗卫生工作的方针并组织实施、健全预算管理制度，按文件要求合理分配财政资金，项目资金做到专款专用，统一管理，专用设备购置和                                                                 工程目等严格执行招投标及政府采购程序，并建立了健全财务制度及厉行节约制度，加强经费审批和控制，规范支出并严格执行，内部管理制度建设上，我中心严格按照《益阳市政府财务管理办法》等一系列内部制度执行，预决算公开上，按照财政要求，我中心在益阳大通湖门户网站进行了预决算公开，2020年我中心在基础药物工作上，按服务人口108000人，人均2元/服务人口进行对各乡镇卫生院零差价销售进行补助,并一年一次考核评估，</w:t>
      </w:r>
      <w:bookmarkStart w:id="0" w:name="_GoBack"/>
      <w:bookmarkEnd w:id="0"/>
      <w:r>
        <w:rPr>
          <w:rFonts w:hint="eastAsia" w:ascii="仿宋" w:hAnsi="仿宋" w:eastAsia="仿宋" w:cs="仿宋"/>
          <w:color w:val="000000"/>
          <w:sz w:val="32"/>
          <w:szCs w:val="32"/>
          <w:lang w:val="en-US" w:eastAsia="zh-CN"/>
        </w:rPr>
        <w:t>一年督查两次；公立医院改革上，分配区人民医院公立医院改革经费90万元；血防工作上，药物灭螺160.54万平方米，灭蚴133万平方米，灭净钉螺面积1.52万m2，居民查病55943人次，其中：询检34658人、血检21026人、粪检259人；疫情防控上，有效防控率100%，大湖区确诊病例始终保持为0的记录，全年完成质量良好。</w:t>
      </w:r>
    </w:p>
    <w:p>
      <w:pPr>
        <w:overflowPunct w:val="0"/>
        <w:autoSpaceDE w:val="0"/>
        <w:autoSpaceDN w:val="0"/>
        <w:spacing w:line="592"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效益性：</w:t>
      </w:r>
      <w:r>
        <w:rPr>
          <w:rFonts w:hint="eastAsia" w:ascii="仿宋" w:hAnsi="仿宋" w:eastAsia="仿宋" w:cs="仿宋"/>
          <w:color w:val="000000"/>
          <w:sz w:val="32"/>
          <w:szCs w:val="32"/>
          <w:lang w:eastAsia="zh-CN"/>
        </w:rPr>
        <w:t>社会效益上，居民健康保健意识和健康知识知晓率逐步提高，有效的维护了社会公共安全，保障了生命财产安全；经济上，促进了全区医疗事业发展；生态效益上，医疗废物处理已全部完成，生活环境质量有效提高；可持续上，项目后续运行及成效发挥了积极作用。</w:t>
      </w:r>
    </w:p>
    <w:p>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4、综合评价结果</w:t>
      </w:r>
    </w:p>
    <w:p>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经综合评价，部门整体得分9</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分，评价结果为“优”。</w:t>
      </w:r>
    </w:p>
    <w:p>
      <w:pPr>
        <w:numPr>
          <w:ilvl w:val="0"/>
          <w:numId w:val="3"/>
        </w:num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存在的问题</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预算编制欠严谨，事业收入年初预算过大。</w:t>
      </w:r>
    </w:p>
    <w:p>
      <w:p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五、有关建议</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CN"/>
        </w:rPr>
        <w:t>全面夯实预算编制的基础性工作，</w:t>
      </w:r>
      <w:r>
        <w:rPr>
          <w:rFonts w:hint="eastAsia" w:ascii="仿宋" w:hAnsi="仿宋" w:eastAsia="仿宋" w:cs="仿宋"/>
          <w:bCs/>
          <w:color w:val="000000"/>
          <w:sz w:val="32"/>
          <w:szCs w:val="32"/>
        </w:rPr>
        <w:t>细化预算编制工作，认真做好预算编制工作进一步加强内部机构的预算管理意识，严格按照编制的相关制度和要求，奉着“勤俭节约、确保运行”的原则进行预算编制，编制范围尽可能的全面、不漏项，进一步提高预算编制的科学性、合理性、严谨性和可控性。</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（二）在日常预算管理过程中进一步加强预算管理支出的审核、跟踪及预算执行的分析。    </w:t>
      </w:r>
    </w:p>
    <w:p>
      <w:pPr>
        <w:ind w:left="5760" w:hanging="5760" w:hanging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2240" w:firstLineChars="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大通湖教育和卫生健康局卫生核算中心</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 9月1 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69195"/>
    <w:multiLevelType w:val="singleLevel"/>
    <w:tmpl w:val="95669195"/>
    <w:lvl w:ilvl="0" w:tentative="0">
      <w:start w:val="4"/>
      <w:numFmt w:val="chineseCounting"/>
      <w:suff w:val="nothing"/>
      <w:lvlText w:val="%1、"/>
      <w:lvlJc w:val="left"/>
      <w:rPr>
        <w:rFonts w:hint="eastAsia"/>
      </w:rPr>
    </w:lvl>
  </w:abstractNum>
  <w:abstractNum w:abstractNumId="1">
    <w:nsid w:val="B12B21CD"/>
    <w:multiLevelType w:val="singleLevel"/>
    <w:tmpl w:val="B12B21CD"/>
    <w:lvl w:ilvl="0" w:tentative="0">
      <w:start w:val="2"/>
      <w:numFmt w:val="chineseCounting"/>
      <w:suff w:val="nothing"/>
      <w:lvlText w:val="（%1）"/>
      <w:lvlJc w:val="left"/>
      <w:rPr>
        <w:rFonts w:hint="eastAsia"/>
      </w:rPr>
    </w:lvl>
  </w:abstractNum>
  <w:abstractNum w:abstractNumId="2">
    <w:nsid w:val="2CE0C70D"/>
    <w:multiLevelType w:val="singleLevel"/>
    <w:tmpl w:val="2CE0C70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D076F"/>
    <w:rsid w:val="0171001F"/>
    <w:rsid w:val="048424AB"/>
    <w:rsid w:val="099106D6"/>
    <w:rsid w:val="0B5F1E4A"/>
    <w:rsid w:val="12157D46"/>
    <w:rsid w:val="123701F9"/>
    <w:rsid w:val="14646A88"/>
    <w:rsid w:val="18B104E7"/>
    <w:rsid w:val="19770C99"/>
    <w:rsid w:val="1B321135"/>
    <w:rsid w:val="1C5D076F"/>
    <w:rsid w:val="1CD473B0"/>
    <w:rsid w:val="23600760"/>
    <w:rsid w:val="3900131F"/>
    <w:rsid w:val="40440617"/>
    <w:rsid w:val="4344556C"/>
    <w:rsid w:val="47BA58BA"/>
    <w:rsid w:val="4AF305B2"/>
    <w:rsid w:val="4FDF1B29"/>
    <w:rsid w:val="50D119A6"/>
    <w:rsid w:val="51643250"/>
    <w:rsid w:val="54A64B0D"/>
    <w:rsid w:val="59983F17"/>
    <w:rsid w:val="5B303CCB"/>
    <w:rsid w:val="5D8A6DF7"/>
    <w:rsid w:val="632941E4"/>
    <w:rsid w:val="6A6E4990"/>
    <w:rsid w:val="6C2D7253"/>
    <w:rsid w:val="74040A0C"/>
    <w:rsid w:val="740A1682"/>
    <w:rsid w:val="77BE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2021-08-31T00:54:00Z</dcterms:created>
  <dc:creator>嗯！不瘦20斤我就不改名字了</dc:creator>
  <cp:lastModifiedBy>嗯！不瘦20斤我就不改名字了</cp:lastModifiedBy>
  <cp:lastPrinted>2021-09-22T08:24:00Z</cp:lastPrinted>
  <dcterms:modified xsi:type="dcterms:W3CDTF">2021-09-30T02:55:52Z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