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color w:val="000000"/>
          <w:kern w:val="0"/>
          <w:sz w:val="24"/>
          <w:szCs w:val="24"/>
        </w:rPr>
      </w:pPr>
      <w:r>
        <w:rPr>
          <w:rFonts w:hAnsi="黑体" w:eastAsia="黑体"/>
          <w:color w:val="000000"/>
          <w:kern w:val="0"/>
          <w:sz w:val="24"/>
          <w:szCs w:val="24"/>
        </w:rPr>
        <w:t>附件</w:t>
      </w:r>
      <w:r>
        <w:rPr>
          <w:rFonts w:eastAsia="黑体"/>
          <w:color w:val="000000"/>
          <w:kern w:val="0"/>
          <w:sz w:val="24"/>
          <w:szCs w:val="24"/>
        </w:rPr>
        <w:t>3</w:t>
      </w:r>
    </w:p>
    <w:tbl>
      <w:tblPr>
        <w:tblStyle w:val="9"/>
        <w:tblpPr w:leftFromText="180" w:rightFromText="180" w:vertAnchor="text" w:horzAnchor="page" w:tblpX="1470" w:tblpY="909"/>
        <w:tblOverlap w:val="never"/>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10"/>
        <w:gridCol w:w="1382"/>
        <w:gridCol w:w="522"/>
        <w:gridCol w:w="81"/>
        <w:gridCol w:w="1885"/>
        <w:gridCol w:w="1622"/>
        <w:gridCol w:w="5"/>
        <w:gridCol w:w="153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450"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color w:val="000000"/>
                <w:sz w:val="24"/>
                <w:szCs w:val="24"/>
                <w:lang w:val="en-US" w:eastAsia="zh-CN"/>
              </w:rPr>
              <w:t>预算单位名称</w:t>
            </w:r>
          </w:p>
        </w:tc>
        <w:tc>
          <w:tcPr>
            <w:tcW w:w="7009" w:type="dxa"/>
            <w:gridSpan w:val="7"/>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vertAlign w:val="baseline"/>
                <w:lang w:val="en-US" w:eastAsia="zh-CN"/>
              </w:rPr>
            </w:pPr>
            <w:r>
              <w:rPr>
                <w:rFonts w:hint="default" w:ascii="Times New Roman" w:hAnsi="Times New Roman" w:eastAsia="宋体" w:cs="Times New Roman"/>
                <w:color w:val="000000"/>
                <w:kern w:val="0"/>
                <w:sz w:val="24"/>
                <w:szCs w:val="24"/>
                <w:vertAlign w:val="baseline"/>
                <w:lang w:val="en-US" w:eastAsia="zh-CN"/>
              </w:rPr>
              <w:t>益阳南洞庭自然保护区大通湖区管理局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年度预算资金（万元）</w:t>
            </w:r>
          </w:p>
        </w:tc>
        <w:tc>
          <w:tcPr>
            <w:tcW w:w="2695"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vertAlign w:val="baseline"/>
              </w:rPr>
            </w:pPr>
          </w:p>
        </w:tc>
        <w:tc>
          <w:tcPr>
            <w:tcW w:w="188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年初预算数</w:t>
            </w:r>
          </w:p>
        </w:tc>
        <w:tc>
          <w:tcPr>
            <w:tcW w:w="1622"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全年预算数</w:t>
            </w:r>
          </w:p>
        </w:tc>
        <w:tc>
          <w:tcPr>
            <w:tcW w:w="154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vertAlign w:val="baseline"/>
                <w:lang w:val="en-US" w:eastAsia="zh-CN"/>
              </w:rPr>
            </w:pPr>
            <w:r>
              <w:rPr>
                <w:rFonts w:hint="default" w:ascii="Times New Roman" w:hAnsi="Times New Roman" w:eastAsia="宋体" w:cs="Times New Roman"/>
                <w:color w:val="000000"/>
                <w:sz w:val="24"/>
                <w:szCs w:val="24"/>
                <w:lang w:val="en-US" w:eastAsia="zh-CN"/>
              </w:rPr>
              <w:t>全年执行数</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5"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0"/>
                <w:sz w:val="24"/>
                <w:szCs w:val="24"/>
                <w:vertAlign w:val="baseline"/>
                <w:lang w:val="en-US" w:eastAsia="zh-CN"/>
              </w:rPr>
            </w:pPr>
            <w:r>
              <w:rPr>
                <w:rFonts w:hint="default" w:ascii="Times New Roman" w:hAnsi="Times New Roman" w:eastAsia="宋体" w:cs="Times New Roman"/>
                <w:color w:val="000000"/>
                <w:sz w:val="24"/>
                <w:szCs w:val="24"/>
                <w:lang w:val="en-US" w:eastAsia="zh-CN"/>
              </w:rPr>
              <w:t>年度资金总额</w:t>
            </w:r>
          </w:p>
        </w:tc>
        <w:tc>
          <w:tcPr>
            <w:tcW w:w="188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192.5</w:t>
            </w:r>
          </w:p>
        </w:tc>
        <w:tc>
          <w:tcPr>
            <w:tcW w:w="1622"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992.33</w:t>
            </w:r>
          </w:p>
        </w:tc>
        <w:tc>
          <w:tcPr>
            <w:tcW w:w="154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869.94</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5"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其中：当年财政拨款</w:t>
            </w:r>
          </w:p>
        </w:tc>
        <w:tc>
          <w:tcPr>
            <w:tcW w:w="188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192.5</w:t>
            </w:r>
          </w:p>
        </w:tc>
        <w:tc>
          <w:tcPr>
            <w:tcW w:w="1622"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952.72</w:t>
            </w:r>
          </w:p>
        </w:tc>
        <w:tc>
          <w:tcPr>
            <w:tcW w:w="154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830.33</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5"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上年结转资金</w:t>
            </w:r>
          </w:p>
        </w:tc>
        <w:tc>
          <w:tcPr>
            <w:tcW w:w="188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39.61</w:t>
            </w:r>
          </w:p>
        </w:tc>
        <w:tc>
          <w:tcPr>
            <w:tcW w:w="1622"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39.61</w:t>
            </w:r>
          </w:p>
        </w:tc>
        <w:tc>
          <w:tcPr>
            <w:tcW w:w="154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39.61</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5"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其他资金</w:t>
            </w:r>
          </w:p>
        </w:tc>
        <w:tc>
          <w:tcPr>
            <w:tcW w:w="188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622"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540"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68"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年度总体目标</w:t>
            </w:r>
          </w:p>
        </w:tc>
        <w:tc>
          <w:tcPr>
            <w:tcW w:w="3870"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预期目标</w:t>
            </w:r>
          </w:p>
        </w:tc>
        <w:tc>
          <w:tcPr>
            <w:tcW w:w="4521" w:type="dxa"/>
            <w:gridSpan w:val="4"/>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068"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3870" w:type="dxa"/>
            <w:gridSpan w:val="4"/>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目标</w:t>
            </w:r>
            <w:r>
              <w:rPr>
                <w:rFonts w:hint="default" w:ascii="Times New Roman" w:hAnsi="Times New Roman" w:eastAsia="宋体" w:cs="Times New Roman"/>
                <w:sz w:val="24"/>
                <w:szCs w:val="24"/>
                <w:lang w:val="en-US"/>
              </w:rPr>
              <w:t>1</w:t>
            </w:r>
            <w:r>
              <w:rPr>
                <w:rFonts w:hint="default" w:ascii="Times New Roman" w:hAnsi="Times New Roman" w:eastAsia="宋体" w:cs="Times New Roman"/>
                <w:sz w:val="24"/>
                <w:szCs w:val="24"/>
                <w:lang w:eastAsia="zh-CN"/>
              </w:rPr>
              <w:t>：①完成市区制定的各项目标任务。②全年区直管工程项目不发生重大质量安全事故，降低自然保护区的人为忧患。③完成科研监测中心基础设施建设的目标。</w:t>
            </w:r>
          </w:p>
          <w:p>
            <w:pPr>
              <w:pStyle w:val="7"/>
              <w:keepNext w:val="0"/>
              <w:keepLines w:val="0"/>
              <w:widowControl/>
              <w:suppressLineNumbers w:val="0"/>
              <w:spacing w:before="0" w:beforeAutospacing="0" w:after="0" w:afterAutospacing="0" w:line="288" w:lineRule="atLeast"/>
              <w:ind w:left="0" w:right="0" w:firstLine="480" w:firstLineChars="200"/>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rPr>
              <w:t>1</w:t>
            </w:r>
            <w:r>
              <w:rPr>
                <w:rFonts w:hint="default" w:ascii="Times New Roman" w:hAnsi="Times New Roman" w:eastAsia="宋体" w:cs="Times New Roman"/>
                <w:sz w:val="24"/>
                <w:szCs w:val="24"/>
                <w:lang w:eastAsia="zh-CN"/>
              </w:rPr>
              <w:t>）经济效益：通过项目的有限实施，引导项目区湿地保护，实现资源开展与环境保护一体化，促进生态资源的良性循环，可促进农业生产和其他行业的效益；通过开展生态休闲发展第三产业带动地方经济发展；通过湿地公园发展生态旅游可吸引四面八方大规模人流，带来资本流、物流、信息流。（</w:t>
            </w:r>
            <w:r>
              <w:rPr>
                <w:rFonts w:hint="default" w:ascii="Times New Roman" w:hAnsi="Times New Roman" w:eastAsia="宋体" w:cs="Times New Roman"/>
                <w:sz w:val="24"/>
                <w:szCs w:val="24"/>
                <w:lang w:val="en-US"/>
              </w:rPr>
              <w:t>2</w:t>
            </w:r>
            <w:r>
              <w:rPr>
                <w:rFonts w:hint="default" w:ascii="Times New Roman" w:hAnsi="Times New Roman" w:eastAsia="宋体" w:cs="Times New Roman"/>
                <w:sz w:val="24"/>
                <w:szCs w:val="24"/>
                <w:lang w:eastAsia="zh-CN"/>
              </w:rPr>
              <w:t>）社会效益：促进湿地文化的提升和传播。湿地公园的建设，游客通过参观与旅游体验和感受浓郁的湿地历史文化；湿地公园以其独特的湿地生态系统类型、多样的自然景观成为湿地生态系统及生物多样性的重要研究基地；通过开展各种形式的科普宣传和教育加强社区群众爱护湿地、保护湿地的意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rPr>
            </w:pP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4521" w:type="dxa"/>
            <w:gridSpan w:val="4"/>
            <w:noWrap w:val="0"/>
            <w:vAlign w:val="center"/>
          </w:tcPr>
          <w:p>
            <w:pPr>
              <w:pStyle w:val="7"/>
              <w:keepNext w:val="0"/>
              <w:keepLines w:val="0"/>
              <w:widowControl/>
              <w:suppressLineNumbers w:val="0"/>
              <w:spacing w:before="0" w:beforeAutospacing="0" w:after="0" w:afterAutospacing="0" w:line="252" w:lineRule="atLeast"/>
              <w:ind w:left="0" w:right="0"/>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  </w:t>
            </w:r>
            <w:r>
              <w:rPr>
                <w:rFonts w:hint="default" w:ascii="Times New Roman" w:hAnsi="Times New Roman" w:eastAsia="宋体" w:cs="Times New Roman"/>
                <w:sz w:val="24"/>
                <w:szCs w:val="24"/>
                <w:lang w:eastAsia="zh-CN"/>
              </w:rPr>
              <w:t>大通湖区湿地公园基础设施不断完善、产业建设优化发展、管理水平全面提升、城乡人居环境显著改善。</w:t>
            </w:r>
            <w:r>
              <w:rPr>
                <w:rFonts w:hint="default" w:ascii="Times New Roman" w:hAnsi="Times New Roman" w:eastAsia="宋体" w:cs="Times New Roman"/>
                <w:color w:val="000000"/>
                <w:sz w:val="24"/>
                <w:szCs w:val="24"/>
                <w:lang w:eastAsia="zh-CN"/>
              </w:rPr>
              <w:t>按照自然保护地规划明确的核心区、缓冲区、实验区，已设置醒目的标志标牌和必要的防护设施</w:t>
            </w:r>
            <w:r>
              <w:rPr>
                <w:rFonts w:hint="default" w:ascii="Times New Roman" w:hAnsi="Times New Roman" w:eastAsia="宋体" w:cs="Times New Roman"/>
                <w:sz w:val="24"/>
                <w:szCs w:val="24"/>
                <w:lang w:eastAsia="zh-CN"/>
              </w:rPr>
              <w:t>。各项建设指标有效完成。通过安排专人巡湖和值班值守，形成长效机制。质量安全总体较好。经济和社会效益显著，当地居民安居乐业，人民生活幸福指数及对政府的满意度显著提升。</w:t>
            </w:r>
          </w:p>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
              </w:rPr>
              <w:t>南洞庭自然保护区大通湖公路局预决算信息已在政府门户网站进行公开</w:t>
            </w:r>
          </w:p>
          <w:p>
            <w:pPr>
              <w:pStyle w:val="7"/>
              <w:keepNext w:val="0"/>
              <w:keepLines w:val="0"/>
              <w:widowControl/>
              <w:suppressLineNumbers w:val="0"/>
              <w:spacing w:before="0" w:beforeAutospacing="0" w:after="0" w:afterAutospacing="0" w:line="252" w:lineRule="atLeast"/>
              <w:ind w:left="0" w:right="0" w:firstLine="192"/>
              <w:textAlignment w:val="center"/>
              <w:rPr>
                <w:rFonts w:hint="default" w:ascii="Times New Roman" w:hAnsi="Times New Roman" w:eastAsia="宋体" w:cs="Times New Roman"/>
                <w:sz w:val="24"/>
                <w:szCs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2068"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部门职能职责</w:t>
            </w:r>
          </w:p>
        </w:tc>
        <w:tc>
          <w:tcPr>
            <w:tcW w:w="8391" w:type="dxa"/>
            <w:gridSpan w:val="8"/>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(一)负责开展自然保护地法规政策宣传教育和自然保护区资源展示，向社会公示自然保护区地理地图和界限。</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(二)按照自然保护地规划明确的核心区、缓冲区、实验区，设置醒目的标志标牌和必要的防护设施。</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(三)协调配合专门机构、相关职能部门和各镇开展自然保护地的巡查保护、监督检查和行政执法工作。</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(四)负责自然保护地保护修复建设项目的策划、获准后的组织实施。</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(五)负责自然保护地的合理利用工作。</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(六)制定和组织实施全区湿地保护工作;负责湿地保护的组织、协调和监督，湿地资源的普查、监测和保护。</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(七)负责监督考核本级相关部门和各镇人民政府湿地保护履职情况。</w:t>
            </w:r>
          </w:p>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(八)完成区委、区管委会交办的其他任务。</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8" w:type="dxa"/>
            <w:vMerge w:val="restart"/>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绩效指标</w:t>
            </w:r>
          </w:p>
        </w:tc>
        <w:tc>
          <w:tcPr>
            <w:tcW w:w="710" w:type="dxa"/>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一级指标</w:t>
            </w:r>
          </w:p>
        </w:tc>
        <w:tc>
          <w:tcPr>
            <w:tcW w:w="1904" w:type="dxa"/>
            <w:gridSpan w:val="2"/>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二级指标</w:t>
            </w:r>
          </w:p>
        </w:tc>
        <w:tc>
          <w:tcPr>
            <w:tcW w:w="1966" w:type="dxa"/>
            <w:gridSpan w:val="2"/>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三级指标</w:t>
            </w:r>
          </w:p>
        </w:tc>
        <w:tc>
          <w:tcPr>
            <w:tcW w:w="1627" w:type="dxa"/>
            <w:gridSpan w:val="2"/>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年度指标值</w:t>
            </w:r>
          </w:p>
        </w:tc>
        <w:tc>
          <w:tcPr>
            <w:tcW w:w="1535" w:type="dxa"/>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实际完成值</w:t>
            </w:r>
          </w:p>
        </w:tc>
        <w:tc>
          <w:tcPr>
            <w:tcW w:w="1359" w:type="dxa"/>
            <w:noWrap w:val="0"/>
            <w:vAlign w:val="center"/>
          </w:tcPr>
          <w:p>
            <w:pPr>
              <w:keepNext w:val="0"/>
              <w:keepLines w:val="0"/>
              <w:suppressLineNumbers w:val="0"/>
              <w:bidi w:val="0"/>
              <w:spacing w:before="0" w:beforeAutospacing="0" w:after="0" w:afterAutospacing="0"/>
              <w:ind w:left="0" w:right="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产生指标</w:t>
            </w: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数量指标</w:t>
            </w: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每月20天/月湖护.</w:t>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每月20天/月湖护.</w:t>
            </w:r>
          </w:p>
        </w:tc>
        <w:tc>
          <w:tcPr>
            <w:tcW w:w="1359"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科研监测中心基础设施。</w:t>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已投入30万资金用于建设。</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已投入30万资金用于建设。</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p>
        </w:tc>
        <w:tc>
          <w:tcPr>
            <w:tcW w:w="1535" w:type="dxa"/>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质量指标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月巡护完成率100%.</w:t>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sz w:val="24"/>
                <w:szCs w:val="24"/>
                <w:lang w:val="en-US" w:eastAsia="zh-CN"/>
              </w:rPr>
              <w:t>月巡护完成率100%.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已投入使用。</w:t>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sz w:val="24"/>
                <w:szCs w:val="24"/>
                <w:lang w:val="en-US" w:eastAsia="zh-CN"/>
              </w:rPr>
              <w:t>已投入使用。</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时效指标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2020年1月-12月</w:t>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sz w:val="24"/>
                <w:szCs w:val="24"/>
                <w:lang w:val="en-US" w:eastAsia="zh-CN"/>
              </w:rPr>
              <w:t>2020年1月-12月</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科研监测中心基础设施建设于2020年完成。科研药剂于2020年购置。</w:t>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sz w:val="24"/>
                <w:szCs w:val="24"/>
                <w:lang w:val="en-US" w:eastAsia="zh-CN"/>
              </w:rPr>
              <w:t>科研监测中心基础设施建设于2020年完成。科研药剂于2020年购置。</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成本指标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有效降低自然保护区人为干扰巡护人员3人，平均没人每年经费6.5万元。</w:t>
            </w:r>
          </w:p>
        </w:tc>
        <w:tc>
          <w:tcPr>
            <w:tcW w:w="1535" w:type="dxa"/>
            <w:noWrap w:val="0"/>
            <w:vAlign w:val="center"/>
          </w:tcPr>
          <w:p>
            <w:pPr>
              <w:pStyle w:val="7"/>
              <w:keepNext w:val="0"/>
              <w:keepLines w:val="0"/>
              <w:widowControl/>
              <w:suppressLineNumbers w:val="0"/>
              <w:spacing w:before="0" w:beforeAutospacing="0" w:after="0" w:afterAutospacing="0" w:line="240" w:lineRule="auto"/>
              <w:ind w:left="0" w:leftChars="0" w:right="0" w:rightChars="0"/>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sz w:val="24"/>
                <w:szCs w:val="24"/>
                <w:lang w:val="en-US" w:eastAsia="zh-CN"/>
              </w:rPr>
              <w:t>有效降低自然保护区人为干扰巡护人员3人，平均没人每年经费6.5万元。</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科研监测设备购置25万元，科研药剂购置5万元。</w:t>
            </w: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sz w:val="24"/>
                <w:szCs w:val="24"/>
                <w:lang w:val="en-US" w:eastAsia="zh-CN"/>
              </w:rPr>
              <w:t>科研监测设备购置25万元，科研药剂购置5万元。</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p>
        </w:tc>
        <w:tc>
          <w:tcPr>
            <w:tcW w:w="1627" w:type="dxa"/>
            <w:gridSpan w:val="2"/>
            <w:noWrap w:val="0"/>
            <w:vAlign w:val="center"/>
          </w:tcPr>
          <w:p>
            <w:pPr>
              <w:pStyle w:val="7"/>
              <w:keepNext w:val="0"/>
              <w:keepLines w:val="0"/>
              <w:widowControl/>
              <w:suppressLineNumbers w:val="0"/>
              <w:spacing w:before="0" w:beforeAutospacing="0" w:after="0" w:afterAutospacing="0" w:line="288" w:lineRule="atLeast"/>
              <w:ind w:left="0" w:right="0"/>
              <w:textAlignment w:val="center"/>
              <w:rPr>
                <w:rFonts w:hint="default" w:ascii="Times New Roman" w:hAnsi="Times New Roman" w:eastAsia="宋体" w:cs="Times New Roman"/>
                <w:sz w:val="24"/>
                <w:szCs w:val="24"/>
                <w:lang w:val="en-US" w:eastAsia="zh-CN"/>
              </w:rPr>
            </w:pPr>
          </w:p>
        </w:tc>
        <w:tc>
          <w:tcPr>
            <w:tcW w:w="1535" w:type="dxa"/>
            <w:noWrap w:val="0"/>
            <w:vAlign w:val="center"/>
          </w:tcPr>
          <w:p>
            <w:pPr>
              <w:pStyle w:val="7"/>
              <w:keepNext w:val="0"/>
              <w:keepLines w:val="0"/>
              <w:widowControl/>
              <w:suppressLineNumbers w:val="0"/>
              <w:spacing w:before="0" w:beforeAutospacing="0" w:after="0" w:afterAutospacing="0" w:line="288" w:lineRule="atLeast"/>
              <w:ind w:left="0" w:leftChars="0" w:right="0" w:rightChars="0"/>
              <w:textAlignment w:val="center"/>
              <w:rPr>
                <w:rFonts w:hint="default" w:ascii="Times New Roman" w:hAnsi="Times New Roman" w:eastAsia="宋体" w:cs="Times New Roman"/>
                <w:kern w:val="0"/>
                <w:sz w:val="24"/>
                <w:szCs w:val="24"/>
                <w:lang w:val="en-US" w:eastAsia="zh-CN" w:bidi="ar"/>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效益指标</w:t>
            </w: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经济效益指标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1、带动人员政治、经济、文化、社会、生态文明的建设和有效发展100%。</w:t>
            </w:r>
          </w:p>
        </w:tc>
        <w:tc>
          <w:tcPr>
            <w:tcW w:w="153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1、带动人员政治、经济、文化、社会、生态文明的建设和有效发展100%。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1、带动人员政治、经济、文化、社会、生态文明的建设和有效发展100%。</w:t>
            </w:r>
          </w:p>
        </w:tc>
        <w:tc>
          <w:tcPr>
            <w:tcW w:w="153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1、带动人员政治、经济、文化、社会、生态文明的建设和有效发展100%。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社会效益指标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1、保证全镇人员的社会治理治安100%</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2、保障全镇人员的生命财产安全100%。</w:t>
            </w:r>
          </w:p>
        </w:tc>
        <w:tc>
          <w:tcPr>
            <w:tcW w:w="153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1、保证全镇人员的社会治理治安100%</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2、保障全镇人员的生命财产安全100%。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1、保证全镇人员的社会治理治安100%。</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2、保障全镇人员的生命财产安全100%。</w:t>
            </w:r>
          </w:p>
        </w:tc>
        <w:tc>
          <w:tcPr>
            <w:tcW w:w="153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1、保证全镇人员的社会治理治安100%。</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2、保障全镇人员的生命财产安全100%。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w:t>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生态效益指标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w:t>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可持续影响指标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r>
              <w:rPr>
                <w:rFonts w:hint="default" w:ascii="Times New Roman" w:hAnsi="Times New Roman" w:eastAsia="宋体" w:cs="Times New Roman"/>
                <w:color w:val="000000"/>
                <w:sz w:val="24"/>
                <w:szCs w:val="24"/>
                <w:lang w:val="en-US" w:eastAsia="zh-CN"/>
              </w:rPr>
              <w:t>.....</w:t>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kern w:val="0"/>
                <w:sz w:val="24"/>
                <w:szCs w:val="24"/>
                <w:lang w:val="en-US" w:eastAsia="zh-CN" w:bidi="ar"/>
              </w:rPr>
              <w:t>1、维护全区140000余名人员的生产生活环境100%。</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满意度指标</w:t>
            </w:r>
          </w:p>
        </w:tc>
        <w:tc>
          <w:tcPr>
            <w:tcW w:w="1904" w:type="dxa"/>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服务对象满意度指标</w:t>
            </w: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1、有效降低自然保护区的人为干扰。</w:t>
            </w:r>
            <w:r>
              <w:rPr>
                <w:rFonts w:hint="default" w:ascii="Times New Roman" w:hAnsi="Times New Roman" w:eastAsia="宋体" w:cs="Times New Roman"/>
                <w:i w:val="0"/>
                <w:color w:val="000000"/>
                <w:kern w:val="0"/>
                <w:sz w:val="24"/>
                <w:szCs w:val="24"/>
                <w:u w:val="none"/>
                <w:lang w:val="en-US" w:eastAsia="zh-CN" w:bidi="ar"/>
              </w:rPr>
              <w:br w:type="textWrapping"/>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1、公众服务满意率&gt;95%。</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1、公众服务满意率&gt;95%。</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8"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710"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04" w:type="dxa"/>
            <w:gridSpan w:val="2"/>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1966" w:type="dxa"/>
            <w:gridSpan w:val="2"/>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2.科研监测中心基础设施。</w:t>
            </w:r>
          </w:p>
        </w:tc>
        <w:tc>
          <w:tcPr>
            <w:tcW w:w="1627"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1、公众服务满意率&gt;95%。</w:t>
            </w:r>
          </w:p>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sz w:val="24"/>
                <w:szCs w:val="24"/>
                <w:lang w:val="en-US" w:eastAsia="zh-CN"/>
              </w:rPr>
            </w:pPr>
          </w:p>
        </w:tc>
        <w:tc>
          <w:tcPr>
            <w:tcW w:w="15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1、公众服务满意率&gt;95%。</w:t>
            </w:r>
          </w:p>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color w:val="000000"/>
                <w:sz w:val="24"/>
                <w:szCs w:val="24"/>
                <w:lang w:val="en-US" w:eastAsia="zh-CN"/>
              </w:rPr>
            </w:pP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r>
    </w:tbl>
    <w:p>
      <w:pPr>
        <w:spacing w:line="360" w:lineRule="auto"/>
        <w:jc w:val="center"/>
        <w:rPr>
          <w:rFonts w:hint="default" w:hAnsi="黑体" w:eastAsia="黑体"/>
          <w:color w:val="000000"/>
          <w:kern w:val="0"/>
          <w:sz w:val="24"/>
          <w:szCs w:val="24"/>
          <w:lang w:val="en-US" w:eastAsia="zh-CN"/>
        </w:rPr>
      </w:pPr>
      <w:r>
        <w:rPr>
          <w:rFonts w:hint="eastAsia" w:ascii="方正大标宋简体" w:eastAsia="方正大标宋简体" w:cs="仿宋_GB2312"/>
          <w:color w:val="000000"/>
          <w:sz w:val="24"/>
          <w:szCs w:val="24"/>
        </w:rPr>
        <w:t>20</w:t>
      </w:r>
      <w:r>
        <w:rPr>
          <w:rFonts w:hint="eastAsia" w:ascii="方正大标宋简体" w:eastAsia="方正大标宋简体" w:cs="仿宋_GB2312"/>
          <w:color w:val="000000"/>
          <w:sz w:val="24"/>
          <w:szCs w:val="24"/>
          <w:lang w:val="en-US" w:eastAsia="zh-CN"/>
        </w:rPr>
        <w:t>20</w:t>
      </w:r>
      <w:r>
        <w:rPr>
          <w:rFonts w:hint="eastAsia" w:ascii="方正大标宋简体" w:eastAsia="方正大标宋简体" w:cs="仿宋_GB2312"/>
          <w:color w:val="000000"/>
          <w:sz w:val="24"/>
          <w:szCs w:val="24"/>
        </w:rPr>
        <w:t>年部门整体支出绩效自评表</w:t>
      </w:r>
    </w:p>
    <w:p>
      <w:pPr>
        <w:widowControl/>
        <w:rPr>
          <w:rFonts w:hAnsi="黑体" w:eastAsia="黑体"/>
          <w:color w:val="000000"/>
          <w:kern w:val="0"/>
          <w:sz w:val="24"/>
          <w:szCs w:val="24"/>
        </w:rPr>
      </w:pPr>
    </w:p>
    <w:p>
      <w:pPr>
        <w:widowControl/>
        <w:rPr>
          <w:rFonts w:hAnsi="黑体" w:eastAsia="黑体"/>
          <w:color w:val="000000"/>
          <w:kern w:val="0"/>
          <w:sz w:val="24"/>
          <w:szCs w:val="24"/>
        </w:rPr>
      </w:pPr>
    </w:p>
    <w:p>
      <w:pPr>
        <w:widowControl/>
        <w:rPr>
          <w:rFonts w:hAnsi="黑体" w:eastAsia="黑体"/>
          <w:color w:val="000000"/>
          <w:kern w:val="0"/>
          <w:sz w:val="24"/>
          <w:szCs w:val="24"/>
        </w:rPr>
      </w:pPr>
    </w:p>
    <w:p>
      <w:pPr>
        <w:widowControl/>
        <w:rPr>
          <w:rFonts w:eastAsia="黑体"/>
          <w:color w:val="000000"/>
          <w:kern w:val="0"/>
          <w:sz w:val="24"/>
          <w:szCs w:val="24"/>
        </w:rPr>
      </w:pPr>
      <w:r>
        <w:rPr>
          <w:rFonts w:hAnsi="黑体" w:eastAsia="黑体"/>
          <w:color w:val="000000"/>
          <w:kern w:val="0"/>
          <w:sz w:val="24"/>
          <w:szCs w:val="24"/>
        </w:rPr>
        <w:t>附件</w:t>
      </w:r>
      <w:r>
        <w:rPr>
          <w:rFonts w:hint="eastAsia" w:hAnsi="黑体" w:eastAsia="黑体"/>
          <w:color w:val="000000"/>
          <w:kern w:val="0"/>
          <w:sz w:val="24"/>
          <w:szCs w:val="24"/>
          <w:lang w:val="en-US" w:eastAsia="zh-CN"/>
        </w:rPr>
        <w:t>4</w:t>
      </w:r>
    </w:p>
    <w:p>
      <w:pPr>
        <w:autoSpaceDE w:val="0"/>
        <w:autoSpaceDN w:val="0"/>
        <w:spacing w:line="600" w:lineRule="exact"/>
        <w:jc w:val="center"/>
        <w:rPr>
          <w:rFonts w:hint="eastAsia" w:eastAsia="仿宋_GB2312" w:cs="仿宋_GB2312"/>
          <w:color w:val="000000"/>
          <w:sz w:val="24"/>
          <w:szCs w:val="24"/>
        </w:rPr>
      </w:pPr>
      <w:r>
        <w:rPr>
          <w:rFonts w:hint="eastAsia" w:ascii="方正大标宋简体" w:eastAsia="方正大标宋简体" w:cs="仿宋_GB2312"/>
          <w:bCs/>
          <w:color w:val="000000"/>
          <w:kern w:val="0"/>
          <w:sz w:val="24"/>
          <w:szCs w:val="24"/>
        </w:rPr>
        <w:t>20</w:t>
      </w:r>
      <w:r>
        <w:rPr>
          <w:rFonts w:hint="eastAsia" w:ascii="方正大标宋简体" w:eastAsia="方正大标宋简体" w:cs="仿宋_GB2312"/>
          <w:bCs/>
          <w:color w:val="000000"/>
          <w:kern w:val="0"/>
          <w:sz w:val="24"/>
          <w:szCs w:val="24"/>
          <w:lang w:val="en-US" w:eastAsia="zh-CN"/>
        </w:rPr>
        <w:t>20</w:t>
      </w:r>
      <w:r>
        <w:rPr>
          <w:rFonts w:hint="eastAsia" w:ascii="方正大标宋简体" w:eastAsia="方正大标宋简体" w:cs="仿宋_GB2312"/>
          <w:bCs/>
          <w:color w:val="000000"/>
          <w:kern w:val="0"/>
          <w:sz w:val="24"/>
          <w:szCs w:val="24"/>
        </w:rPr>
        <w:t>年部门整体支出绩效评价基础数据表</w:t>
      </w:r>
    </w:p>
    <w:tbl>
      <w:tblPr>
        <w:tblStyle w:val="8"/>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财政供养人员情况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2020年编制人数</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2020年</w:t>
            </w:r>
            <w:r>
              <w:rPr>
                <w:rFonts w:hint="default" w:ascii="Times New Roman" w:hAnsi="Times New Roman" w:eastAsia="宋体" w:cs="Times New Roman"/>
                <w:color w:val="000000"/>
                <w:sz w:val="24"/>
                <w:szCs w:val="24"/>
                <w:lang w:val="en-US" w:eastAsia="zh-CN"/>
              </w:rPr>
              <w:br w:type="textWrapping"/>
            </w:r>
            <w:r>
              <w:rPr>
                <w:rFonts w:hint="default" w:ascii="Times New Roman" w:hAnsi="Times New Roman" w:eastAsia="宋体" w:cs="Times New Roman"/>
                <w:color w:val="000000"/>
                <w:sz w:val="24"/>
                <w:szCs w:val="24"/>
                <w:lang w:val="en-US" w:eastAsia="zh-CN"/>
              </w:rPr>
              <w:t>实际在职人数</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12</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“三公经费”变动情况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上年预算数</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本年预算数</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18</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项目支出安排情况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项目支出预算总额</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实际项目支出总额</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192.5</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192.5</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预算完成情况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2020年预算总额</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2020年决算总额</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992.33</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869.94</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预算调整情况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年初预算数</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年中预算调整</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192.5</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799.83</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结转结余变动情况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上年结转结余总额</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本年结转结余总额</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39.61</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122.39</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“三公经费”控制情况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“三公经费”预算数</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“三公经费”实际支出</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18</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9.62</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53.44%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政府采购执行情况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政府采购预算数</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实际政府采购金额</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154.47</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154.47</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固定资产使用情况</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固定资产总额</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实际在用固定资产总额</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54</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54</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内部控制制度完成情况（是/否）</w:t>
            </w: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预算业务管理</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收支业务管理</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是</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是</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国有资产业务管理</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建设项目业务管理</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p>
        </w:tc>
        <w:tc>
          <w:tcPr>
            <w:tcW w:w="2696"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是</w:t>
            </w:r>
          </w:p>
        </w:tc>
        <w:tc>
          <w:tcPr>
            <w:tcW w:w="2635"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是</w:t>
            </w:r>
          </w:p>
        </w:tc>
        <w:tc>
          <w:tcPr>
            <w:tcW w:w="2250"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是</w:t>
            </w:r>
          </w:p>
        </w:tc>
      </w:tr>
    </w:tbl>
    <w:p>
      <w:pPr>
        <w:spacing w:line="360" w:lineRule="auto"/>
        <w:rPr>
          <w:rFonts w:hAnsi="黑体" w:eastAsia="黑体"/>
          <w:color w:val="000000"/>
          <w:kern w:val="0"/>
          <w:sz w:val="24"/>
          <w:szCs w:val="24"/>
        </w:rPr>
      </w:pPr>
    </w:p>
    <w:p>
      <w:pPr>
        <w:spacing w:line="360" w:lineRule="auto"/>
        <w:rPr>
          <w:rFonts w:hAnsi="黑体" w:eastAsia="黑体"/>
          <w:color w:val="000000"/>
          <w:kern w:val="0"/>
          <w:sz w:val="24"/>
          <w:szCs w:val="24"/>
        </w:rPr>
      </w:pPr>
    </w:p>
    <w:p>
      <w:pPr>
        <w:spacing w:line="360" w:lineRule="auto"/>
        <w:rPr>
          <w:rFonts w:hint="eastAsia" w:eastAsia="黑体"/>
          <w:color w:val="000000"/>
          <w:kern w:val="0"/>
          <w:sz w:val="24"/>
          <w:szCs w:val="24"/>
          <w:lang w:val="en-US" w:eastAsia="zh-CN"/>
        </w:rPr>
      </w:pPr>
      <w:r>
        <w:rPr>
          <w:rFonts w:hAnsi="黑体" w:eastAsia="黑体"/>
          <w:color w:val="000000"/>
          <w:kern w:val="0"/>
          <w:sz w:val="24"/>
          <w:szCs w:val="24"/>
        </w:rPr>
        <w:t>附件</w:t>
      </w:r>
      <w:r>
        <w:rPr>
          <w:rFonts w:hint="eastAsia" w:hAnsi="黑体" w:eastAsia="黑体"/>
          <w:color w:val="000000"/>
          <w:kern w:val="0"/>
          <w:sz w:val="24"/>
          <w:szCs w:val="24"/>
          <w:lang w:val="en-US" w:eastAsia="zh-CN"/>
        </w:rPr>
        <w:t>5</w:t>
      </w:r>
    </w:p>
    <w:p>
      <w:pPr>
        <w:autoSpaceDE w:val="0"/>
        <w:autoSpaceDN w:val="0"/>
        <w:spacing w:line="360" w:lineRule="auto"/>
        <w:jc w:val="center"/>
        <w:rPr>
          <w:rFonts w:hint="eastAsia" w:ascii="方正大标宋简体" w:eastAsia="方正大标宋简体" w:cs="仿宋_GB2312"/>
          <w:color w:val="000000"/>
          <w:sz w:val="24"/>
          <w:szCs w:val="24"/>
        </w:rPr>
      </w:pPr>
      <w:r>
        <w:rPr>
          <w:rFonts w:hint="eastAsia" w:ascii="方正大标宋简体" w:eastAsia="方正大标宋简体" w:cs="仿宋_GB2312"/>
          <w:color w:val="000000"/>
          <w:sz w:val="24"/>
          <w:szCs w:val="24"/>
        </w:rPr>
        <w:t>20</w:t>
      </w:r>
      <w:r>
        <w:rPr>
          <w:rFonts w:hint="eastAsia" w:ascii="方正大标宋简体" w:eastAsia="方正大标宋简体" w:cs="仿宋_GB2312"/>
          <w:color w:val="000000"/>
          <w:sz w:val="24"/>
          <w:szCs w:val="24"/>
          <w:lang w:val="en-US" w:eastAsia="zh-CN"/>
        </w:rPr>
        <w:t>20</w:t>
      </w:r>
      <w:r>
        <w:rPr>
          <w:rFonts w:hint="eastAsia" w:ascii="方正大标宋简体" w:eastAsia="方正大标宋简体" w:cs="仿宋_GB2312"/>
          <w:color w:val="000000"/>
          <w:sz w:val="24"/>
          <w:szCs w:val="24"/>
        </w:rPr>
        <w:t>年部门整体支出绩效自评指标计分表</w:t>
      </w:r>
    </w:p>
    <w:tbl>
      <w:tblPr>
        <w:tblStyle w:val="8"/>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一级指标</w:t>
            </w:r>
          </w:p>
        </w:tc>
        <w:tc>
          <w:tcPr>
            <w:tcW w:w="54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分值</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二级指标</w:t>
            </w:r>
          </w:p>
        </w:tc>
        <w:tc>
          <w:tcPr>
            <w:tcW w:w="54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分值</w:t>
            </w:r>
          </w:p>
        </w:tc>
        <w:tc>
          <w:tcPr>
            <w:tcW w:w="953"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三级</w:t>
            </w:r>
          </w:p>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指标</w:t>
            </w:r>
          </w:p>
        </w:tc>
        <w:tc>
          <w:tcPr>
            <w:tcW w:w="4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分值</w:t>
            </w:r>
          </w:p>
        </w:tc>
        <w:tc>
          <w:tcPr>
            <w:tcW w:w="275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评价标准</w:t>
            </w:r>
          </w:p>
        </w:tc>
        <w:tc>
          <w:tcPr>
            <w:tcW w:w="3336"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指标说明</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得分</w:t>
            </w:r>
          </w:p>
        </w:tc>
      </w:tr>
      <w:tr>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w:t>
            </w:r>
          </w:p>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p>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入</w:t>
            </w: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1</w:t>
            </w:r>
            <w:r>
              <w:rPr>
                <w:rFonts w:hint="default" w:ascii="Times New Roman" w:hAnsi="Times New Roman" w:eastAsia="宋体" w:cs="Times New Roman"/>
                <w:color w:val="000000"/>
                <w:kern w:val="0"/>
                <w:sz w:val="24"/>
                <w:szCs w:val="24"/>
                <w:lang w:val="en-US" w:eastAsia="zh-CN"/>
              </w:rPr>
              <w:t>5分)</w:t>
            </w:r>
          </w:p>
        </w:tc>
        <w:tc>
          <w:tcPr>
            <w:tcW w:w="689" w:type="dxa"/>
            <w:vMerge w:val="restart"/>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预算配置</w:t>
            </w: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15</w:t>
            </w:r>
            <w:r>
              <w:rPr>
                <w:rFonts w:hint="default" w:ascii="Times New Roman" w:hAnsi="Times New Roman" w:eastAsia="宋体" w:cs="Times New Roman"/>
                <w:color w:val="000000"/>
                <w:kern w:val="0"/>
                <w:sz w:val="24"/>
                <w:szCs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在职人员控制率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7</w:t>
            </w:r>
            <w:r>
              <w:rPr>
                <w:rFonts w:hint="default" w:ascii="Times New Roman" w:hAnsi="Times New Roman" w:eastAsia="宋体" w:cs="Times New Roman"/>
                <w:color w:val="000000"/>
                <w:kern w:val="0"/>
                <w:sz w:val="24"/>
                <w:szCs w:val="24"/>
                <w:lang w:val="en-US" w:eastAsia="zh-CN"/>
              </w:rPr>
              <w:t>分）</w:t>
            </w:r>
          </w:p>
        </w:tc>
        <w:tc>
          <w:tcPr>
            <w:tcW w:w="2757" w:type="dxa"/>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在职人员控制率=（在职人员数/编制数）×100%，在职人员数：部门（单位）实际在职人数，以财政分局确定的部门决算编制口径为准。</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编制数：机构编制部门核定批复的部门（单位）的人员编制数。</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0</w:t>
            </w:r>
          </w:p>
        </w:tc>
      </w:tr>
      <w:tr>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“三公经费”变动率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8</w:t>
            </w:r>
            <w:r>
              <w:rPr>
                <w:rFonts w:hint="default" w:ascii="Times New Roman" w:hAnsi="Times New Roman" w:eastAsia="宋体" w:cs="Times New Roman"/>
                <w:color w:val="000000"/>
                <w:kern w:val="0"/>
                <w:sz w:val="24"/>
                <w:szCs w:val="24"/>
                <w:lang w:val="en-US" w:eastAsia="zh-CN"/>
              </w:rPr>
              <w:t>分）</w:t>
            </w:r>
          </w:p>
        </w:tc>
        <w:tc>
          <w:tcPr>
            <w:tcW w:w="275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8</w:t>
            </w:r>
          </w:p>
        </w:tc>
      </w:tr>
      <w:tr>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过</w:t>
            </w:r>
          </w:p>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p>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程</w:t>
            </w:r>
          </w:p>
        </w:tc>
        <w:tc>
          <w:tcPr>
            <w:tcW w:w="547" w:type="dxa"/>
            <w:vMerge w:val="restart"/>
            <w:tcBorders>
              <w:top w:val="nil"/>
              <w:left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50</w:t>
            </w:r>
            <w:r>
              <w:rPr>
                <w:rFonts w:hint="default" w:ascii="Times New Roman" w:hAnsi="Times New Roman" w:eastAsia="宋体" w:cs="Times New Roman"/>
                <w:color w:val="000000"/>
                <w:kern w:val="0"/>
                <w:sz w:val="24"/>
                <w:szCs w:val="24"/>
                <w:lang w:val="en-US" w:eastAsia="zh-CN"/>
              </w:rPr>
              <w:t>分）</w:t>
            </w:r>
          </w:p>
        </w:tc>
        <w:tc>
          <w:tcPr>
            <w:tcW w:w="689"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预算执行</w:t>
            </w: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20</w:t>
            </w:r>
            <w:r>
              <w:rPr>
                <w:rFonts w:hint="default" w:ascii="Times New Roman" w:hAnsi="Times New Roman" w:eastAsia="宋体" w:cs="Times New Roman"/>
                <w:color w:val="000000"/>
                <w:kern w:val="0"/>
                <w:sz w:val="24"/>
                <w:szCs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预算完成率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100%计满分，每低于5%扣2分，扣完为止。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2.5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left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预算控制率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预算控制率=（本年追加预算/年初预算）×100%。</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0</w:t>
            </w:r>
          </w:p>
        </w:tc>
      </w:tr>
      <w:tr>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left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新建楼堂馆所面积控制率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楼堂馆所面积控制率=实际建设面积/批准建设面积×100%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left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新建楼堂馆所投资概算控制率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100%以下（含）计满分，每超出5%扣2分，扣完为止。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楼堂馆所投资预算控制率=实际投资金额/批准投资金额×100% 。</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该指标以2016年完工的新建楼堂馆所为评价内容。</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left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预算管理</w:t>
            </w: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30</w:t>
            </w:r>
            <w:r>
              <w:rPr>
                <w:rFonts w:hint="default" w:ascii="Times New Roman" w:hAnsi="Times New Roman" w:eastAsia="宋体" w:cs="Times New Roman"/>
                <w:color w:val="000000"/>
                <w:kern w:val="0"/>
                <w:sz w:val="24"/>
                <w:szCs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公用经费控制率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7</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公用经费控制率=（实际支出公用经费总额/预算安排公用经费总额）×100%。</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公用经费支出是指部门基本支出中的一般商品和服务支出。</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7</w:t>
            </w:r>
          </w:p>
        </w:tc>
      </w:tr>
      <w:tr>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“三公经费”控制率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8</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100%以下（含）计满分，每超出1%扣1分，扣完为止。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“三公经费”控制率=（“三公经费”实际支出数/“三公经费”预算安排数）×100%。</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5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8</w:t>
            </w:r>
          </w:p>
        </w:tc>
      </w:tr>
      <w:tr>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过</w:t>
            </w:r>
          </w:p>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p>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程</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50</w:t>
            </w:r>
            <w:r>
              <w:rPr>
                <w:rFonts w:hint="default" w:ascii="Times New Roman" w:hAnsi="Times New Roman" w:eastAsia="宋体" w:cs="Times New Roman"/>
                <w:color w:val="000000"/>
                <w:kern w:val="0"/>
                <w:sz w:val="24"/>
                <w:szCs w:val="24"/>
                <w:lang w:val="en-US" w:eastAsia="zh-CN"/>
              </w:rPr>
              <w:t>分）</w:t>
            </w:r>
          </w:p>
        </w:tc>
        <w:tc>
          <w:tcPr>
            <w:tcW w:w="689" w:type="dxa"/>
            <w:vMerge w:val="restart"/>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预算管理</w:t>
            </w: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管理制度健全性</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8</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每出现一例不符合要求的扣2分，扣完为止。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①有内部财务管理制度、会计核算制度等管理制度；</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②有本部门厉行节约制度；</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③相关管理制度合法、合规、完整；④相关管理制度得到有效执行。</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资金使用合规性</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预决算信息公开性</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2</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每出现一例不符合要求的扣1分，扣完为止。</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①按规定内容公开预决算信息；</w:t>
            </w:r>
          </w:p>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②按规定时限公开预决算信息；</w:t>
            </w:r>
          </w:p>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预决算信息是指与部门预算、执行、决算、监督、绩效等管理相关的信息。</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2</w:t>
            </w:r>
          </w:p>
        </w:tc>
      </w:tr>
      <w:tr>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产</w:t>
            </w:r>
          </w:p>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出</w:t>
            </w:r>
          </w:p>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及</w:t>
            </w:r>
          </w:p>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效</w:t>
            </w:r>
          </w:p>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率</w:t>
            </w: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35</w:t>
            </w:r>
            <w:r>
              <w:rPr>
                <w:rFonts w:hint="default" w:ascii="Times New Roman" w:hAnsi="Times New Roman" w:eastAsia="宋体" w:cs="Times New Roman"/>
                <w:color w:val="000000"/>
                <w:kern w:val="0"/>
                <w:sz w:val="24"/>
                <w:szCs w:val="24"/>
                <w:lang w:val="en-US" w:eastAsia="zh-CN"/>
              </w:rPr>
              <w:t>分）</w:t>
            </w:r>
          </w:p>
        </w:tc>
        <w:tc>
          <w:tcPr>
            <w:tcW w:w="689"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职责履行</w:t>
            </w:r>
          </w:p>
        </w:tc>
        <w:tc>
          <w:tcPr>
            <w:tcW w:w="54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8</w:t>
            </w:r>
            <w:r>
              <w:rPr>
                <w:rFonts w:hint="default" w:ascii="Times New Roman" w:hAnsi="Times New Roman" w:eastAsia="宋体" w:cs="Times New Roman"/>
                <w:color w:val="000000"/>
                <w:kern w:val="0"/>
                <w:sz w:val="24"/>
                <w:szCs w:val="24"/>
                <w:lang w:val="en-US" w:eastAsia="zh-CN"/>
              </w:rPr>
              <w:t>分）</w:t>
            </w:r>
          </w:p>
        </w:tc>
        <w:tc>
          <w:tcPr>
            <w:tcW w:w="953" w:type="dxa"/>
            <w:gridSpan w:val="2"/>
            <w:tcBorders>
              <w:top w:val="nil"/>
              <w:left w:val="nil"/>
              <w:bottom w:val="nil"/>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目标任务实际完成率</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8</w:t>
            </w:r>
            <w:r>
              <w:rPr>
                <w:rFonts w:hint="default" w:ascii="Times New Roman" w:hAnsi="Times New Roman" w:eastAsia="宋体" w:cs="Times New Roman"/>
                <w:color w:val="000000"/>
                <w:kern w:val="0"/>
                <w:sz w:val="24"/>
                <w:szCs w:val="24"/>
                <w:lang w:val="en-US" w:eastAsia="zh-CN"/>
              </w:rPr>
              <w:t>分）</w:t>
            </w:r>
          </w:p>
        </w:tc>
        <w:tc>
          <w:tcPr>
            <w:tcW w:w="275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该项得分=（年度综合目标管理考核得分/总分）*8</w:t>
            </w:r>
          </w:p>
        </w:tc>
        <w:tc>
          <w:tcPr>
            <w:tcW w:w="3336"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根据区年度综合目标管理考核得分折算。</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履职 效益</w:t>
            </w: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15</w:t>
            </w:r>
            <w:r>
              <w:rPr>
                <w:rFonts w:hint="default" w:ascii="Times New Roman" w:hAnsi="Times New Roman" w:eastAsia="宋体" w:cs="Times New Roman"/>
                <w:color w:val="000000"/>
                <w:kern w:val="0"/>
                <w:sz w:val="24"/>
                <w:szCs w:val="24"/>
                <w:lang w:val="en-US" w:eastAsia="zh-CN"/>
              </w:rPr>
              <w:t>分）</w:t>
            </w:r>
          </w:p>
        </w:tc>
        <w:tc>
          <w:tcPr>
            <w:tcW w:w="953"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经济效益</w:t>
            </w:r>
          </w:p>
        </w:tc>
        <w:tc>
          <w:tcPr>
            <w:tcW w:w="46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人）</w:t>
            </w:r>
          </w:p>
        </w:tc>
        <w:tc>
          <w:tcPr>
            <w:tcW w:w="6093" w:type="dxa"/>
            <w:gridSpan w:val="3"/>
            <w:vMerge w:val="restart"/>
            <w:tcBorders>
              <w:top w:val="single" w:color="auto" w:sz="4" w:space="0"/>
              <w:left w:val="single" w:color="auto" w:sz="4" w:space="0"/>
              <w:bottom w:val="nil"/>
              <w:right w:val="single" w:color="000000"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社会效益</w:t>
            </w:r>
          </w:p>
        </w:tc>
        <w:tc>
          <w:tcPr>
            <w:tcW w:w="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sz w:val="24"/>
                <w:szCs w:val="24"/>
              </w:rPr>
            </w:pPr>
          </w:p>
        </w:tc>
        <w:tc>
          <w:tcPr>
            <w:tcW w:w="487" w:type="dxa"/>
            <w:vMerge w:val="continue"/>
            <w:tcBorders>
              <w:left w:val="nil"/>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firstLine="240" w:firstLineChars="100"/>
              <w:jc w:val="center"/>
              <w:rPr>
                <w:rFonts w:hint="default" w:ascii="Times New Roman" w:hAnsi="Times New Roman" w:eastAsia="宋体"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生态效益</w:t>
            </w:r>
          </w:p>
        </w:tc>
        <w:tc>
          <w:tcPr>
            <w:tcW w:w="466" w:type="dxa"/>
            <w:tcBorders>
              <w:top w:val="single" w:color="auto" w:sz="4" w:space="0"/>
              <w:left w:val="single" w:color="auto" w:sz="4" w:space="0"/>
              <w:bottom w:val="nil"/>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5</w:t>
            </w:r>
            <w:r>
              <w:rPr>
                <w:rFonts w:hint="default" w:ascii="Times New Roman" w:hAnsi="Times New Roman" w:eastAsia="宋体" w:cs="Times New Roman"/>
                <w:color w:val="000000"/>
                <w:kern w:val="0"/>
                <w:sz w:val="24"/>
                <w:szCs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sz w:val="24"/>
                <w:szCs w:val="24"/>
              </w:rPr>
            </w:pPr>
          </w:p>
        </w:tc>
        <w:tc>
          <w:tcPr>
            <w:tcW w:w="487" w:type="dxa"/>
            <w:vMerge w:val="continue"/>
            <w:tcBorders>
              <w:left w:val="nil"/>
              <w:bottom w:val="nil"/>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firstLine="240" w:firstLineChars="100"/>
              <w:jc w:val="center"/>
              <w:rPr>
                <w:rFonts w:hint="default" w:ascii="Times New Roman" w:hAnsi="Times New Roman" w:eastAsia="宋体" w:cs="Times New Roman"/>
                <w:color w:val="000000"/>
                <w:sz w:val="24"/>
                <w:szCs w:val="24"/>
              </w:rPr>
            </w:pPr>
          </w:p>
        </w:tc>
      </w:tr>
      <w:tr>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12</w:t>
            </w:r>
            <w:r>
              <w:rPr>
                <w:rFonts w:hint="default" w:ascii="Times New Roman" w:hAnsi="Times New Roman" w:eastAsia="宋体" w:cs="Times New Roman"/>
                <w:color w:val="000000"/>
                <w:kern w:val="0"/>
                <w:sz w:val="24"/>
                <w:szCs w:val="24"/>
                <w:lang w:val="en-US" w:eastAsia="zh-CN"/>
              </w:rPr>
              <w:t>分）</w:t>
            </w: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行政效能</w:t>
            </w:r>
          </w:p>
        </w:tc>
        <w:tc>
          <w:tcPr>
            <w:tcW w:w="46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6</w:t>
            </w:r>
            <w:r>
              <w:rPr>
                <w:rFonts w:hint="default" w:ascii="Times New Roman" w:hAnsi="Times New Roman" w:eastAsia="宋体" w:cs="Times New Roman"/>
                <w:color w:val="000000"/>
                <w:kern w:val="0"/>
                <w:sz w:val="24"/>
                <w:szCs w:val="24"/>
                <w:lang w:val="en-US" w:eastAsia="zh-CN"/>
              </w:rPr>
              <w:t>分）</w:t>
            </w:r>
          </w:p>
        </w:tc>
        <w:tc>
          <w:tcPr>
            <w:tcW w:w="335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根据部门自评材料评定。</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68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547"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sz w:val="24"/>
                <w:szCs w:val="24"/>
              </w:rPr>
            </w:pPr>
          </w:p>
        </w:tc>
        <w:tc>
          <w:tcPr>
            <w:tcW w:w="953"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社会公众或服务对象满意度</w:t>
            </w:r>
          </w:p>
        </w:tc>
        <w:tc>
          <w:tcPr>
            <w:tcW w:w="466"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6</w:t>
            </w:r>
            <w:r>
              <w:rPr>
                <w:rFonts w:hint="default" w:ascii="Times New Roman" w:hAnsi="Times New Roman" w:eastAsia="宋体" w:cs="Times New Roman"/>
                <w:color w:val="000000"/>
                <w:kern w:val="0"/>
                <w:sz w:val="24"/>
                <w:szCs w:val="24"/>
                <w:lang w:val="en-US" w:eastAsia="zh-CN"/>
              </w:rPr>
              <w:t>分）</w:t>
            </w:r>
          </w:p>
        </w:tc>
        <w:tc>
          <w:tcPr>
            <w:tcW w:w="3351" w:type="dxa"/>
            <w:gridSpan w:val="2"/>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90%（含）以上计6分；</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80%（含）-90%，计4分；</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70%（含）-80%，计2分；</w:t>
            </w:r>
            <w:r>
              <w:rPr>
                <w:rFonts w:hint="default" w:ascii="Times New Roman" w:hAnsi="Times New Roman" w:eastAsia="宋体" w:cs="Times New Roman"/>
                <w:color w:val="000000"/>
                <w:kern w:val="0"/>
                <w:sz w:val="24"/>
                <w:szCs w:val="24"/>
              </w:rPr>
              <w:br w:type="textWrapping"/>
            </w:r>
            <w:r>
              <w:rPr>
                <w:rFonts w:hint="default" w:ascii="Times New Roman" w:hAnsi="Times New Roman" w:eastAsia="宋体" w:cs="Times New Roman"/>
                <w:color w:val="000000"/>
                <w:kern w:val="0"/>
                <w:sz w:val="24"/>
                <w:szCs w:val="24"/>
              </w:rPr>
              <w:t>低于70%计0分。</w:t>
            </w:r>
          </w:p>
        </w:tc>
        <w:tc>
          <w:tcPr>
            <w:tcW w:w="2742"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70" w:lineRule="exact"/>
              <w:ind w:left="0" w:right="0" w:firstLine="240" w:firstLineChars="1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6</w:t>
            </w:r>
          </w:p>
        </w:tc>
      </w:tr>
      <w:tr>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合计</w:t>
            </w:r>
          </w:p>
        </w:tc>
        <w:tc>
          <w:tcPr>
            <w:tcW w:w="799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overflowPunct w:val="0"/>
              <w:autoSpaceDE w:val="0"/>
              <w:autoSpaceDN w:val="0"/>
              <w:spacing w:before="0" w:beforeAutospacing="0" w:after="0" w:afterAutospacing="0" w:line="240" w:lineRule="exact"/>
              <w:ind w:left="0" w:right="0"/>
              <w:jc w:val="lef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85.5</w:t>
            </w:r>
          </w:p>
        </w:tc>
      </w:tr>
    </w:tbl>
    <w:p>
      <w:pPr>
        <w:overflowPunct w:val="0"/>
        <w:autoSpaceDE w:val="0"/>
        <w:autoSpaceDN w:val="0"/>
        <w:spacing w:line="592" w:lineRule="exact"/>
        <w:rPr>
          <w:rFonts w:hAnsi="黑体" w:eastAsia="黑体"/>
          <w:color w:val="000000"/>
          <w:sz w:val="24"/>
          <w:szCs w:val="24"/>
        </w:rPr>
      </w:pPr>
    </w:p>
    <w:p>
      <w:pPr>
        <w:overflowPunct w:val="0"/>
        <w:autoSpaceDE w:val="0"/>
        <w:autoSpaceDN w:val="0"/>
        <w:spacing w:line="592" w:lineRule="exact"/>
        <w:rPr>
          <w:rFonts w:hAnsi="黑体" w:eastAsia="黑体"/>
          <w:color w:val="000000"/>
          <w:sz w:val="24"/>
          <w:szCs w:val="24"/>
        </w:rPr>
      </w:pPr>
    </w:p>
    <w:p>
      <w:pPr>
        <w:overflowPunct w:val="0"/>
        <w:autoSpaceDE w:val="0"/>
        <w:autoSpaceDN w:val="0"/>
        <w:spacing w:line="592" w:lineRule="exact"/>
        <w:rPr>
          <w:rFonts w:hAnsi="黑体" w:eastAsia="黑体"/>
          <w:color w:val="000000"/>
          <w:sz w:val="24"/>
          <w:szCs w:val="24"/>
        </w:rPr>
      </w:pPr>
    </w:p>
    <w:p>
      <w:pPr>
        <w:keepNext w:val="0"/>
        <w:keepLines w:val="0"/>
        <w:pageBreakBefore w:val="0"/>
        <w:kinsoku/>
        <w:overflowPunct w:val="0"/>
        <w:topLinePunct w:val="0"/>
        <w:autoSpaceDE w:val="0"/>
        <w:autoSpaceDN w:val="0"/>
        <w:bidi w:val="0"/>
        <w:adjustRightInd w:val="0"/>
        <w:snapToGrid w:val="0"/>
        <w:spacing w:line="592" w:lineRule="exact"/>
        <w:rPr>
          <w:rFonts w:hint="eastAsia" w:eastAsia="黑体"/>
          <w:color w:val="000000"/>
          <w:sz w:val="24"/>
          <w:szCs w:val="24"/>
          <w:lang w:val="en-US" w:eastAsia="zh-CN"/>
        </w:rPr>
      </w:pPr>
      <w:r>
        <w:rPr>
          <w:rFonts w:hAnsi="黑体" w:eastAsia="黑体"/>
          <w:color w:val="000000"/>
          <w:sz w:val="24"/>
          <w:szCs w:val="24"/>
        </w:rPr>
        <w:t>附件</w:t>
      </w:r>
      <w:r>
        <w:rPr>
          <w:rFonts w:hint="eastAsia" w:hAnsi="黑体" w:eastAsia="黑体"/>
          <w:color w:val="000000"/>
          <w:sz w:val="24"/>
          <w:szCs w:val="24"/>
          <w:lang w:val="en-US" w:eastAsia="zh-CN"/>
        </w:rPr>
        <w:t>6</w:t>
      </w:r>
    </w:p>
    <w:p>
      <w:pPr>
        <w:keepNext w:val="0"/>
        <w:keepLines w:val="0"/>
        <w:pageBreakBefore w:val="0"/>
        <w:kinsoku/>
        <w:overflowPunct w:val="0"/>
        <w:topLinePunct w:val="0"/>
        <w:autoSpaceDE w:val="0"/>
        <w:autoSpaceDN w:val="0"/>
        <w:bidi w:val="0"/>
        <w:adjustRightInd w:val="0"/>
        <w:snapToGrid w:val="0"/>
        <w:spacing w:line="592" w:lineRule="exact"/>
        <w:jc w:val="center"/>
        <w:rPr>
          <w:rFonts w:hint="eastAsia" w:ascii="方正大标宋简体" w:eastAsia="方正大标宋简体" w:cs="仿宋_GB2312"/>
          <w:color w:val="000000"/>
          <w:sz w:val="24"/>
          <w:szCs w:val="24"/>
        </w:rPr>
      </w:pPr>
      <w:r>
        <w:rPr>
          <w:rFonts w:hint="eastAsia" w:eastAsia="黑体"/>
          <w:color w:val="000000"/>
          <w:sz w:val="24"/>
          <w:szCs w:val="24"/>
          <w:lang w:val="en-US" w:eastAsia="zh-CN"/>
        </w:rPr>
        <w:t xml:space="preserve"> </w:t>
      </w:r>
      <w:r>
        <w:rPr>
          <w:rFonts w:hint="eastAsia" w:ascii="方正大标宋简体" w:eastAsia="方正大标宋简体" w:cs="仿宋_GB2312"/>
          <w:bCs/>
          <w:color w:val="000000"/>
          <w:sz w:val="24"/>
          <w:szCs w:val="24"/>
          <w:lang w:val="en-US" w:eastAsia="zh-CN"/>
        </w:rPr>
        <w:t>益阳南洞庭自然保护区大通湖管理局</w:t>
      </w:r>
      <w:r>
        <w:rPr>
          <w:rFonts w:hint="eastAsia" w:ascii="方正大标宋简体" w:eastAsia="方正大标宋简体" w:cs="仿宋_GB2312"/>
          <w:bCs/>
          <w:color w:val="000000"/>
          <w:sz w:val="24"/>
          <w:szCs w:val="24"/>
        </w:rPr>
        <w:t>报告</w:t>
      </w:r>
    </w:p>
    <w:p>
      <w:pPr>
        <w:keepNext w:val="0"/>
        <w:keepLines w:val="0"/>
        <w:pageBreakBefore w:val="0"/>
        <w:kinsoku/>
        <w:overflowPunct w:val="0"/>
        <w:topLinePunct w:val="0"/>
        <w:autoSpaceDE w:val="0"/>
        <w:autoSpaceDN w:val="0"/>
        <w:bidi w:val="0"/>
        <w:adjustRightInd w:val="0"/>
        <w:snapToGrid w:val="0"/>
        <w:spacing w:line="592" w:lineRule="exact"/>
        <w:rPr>
          <w:rFonts w:hint="eastAsia" w:eastAsia="仿宋_GB2312" w:cs="仿宋_GB2312"/>
          <w:color w:val="000000"/>
          <w:sz w:val="24"/>
          <w:szCs w:val="24"/>
        </w:rPr>
      </w:pP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eastAsia" w:ascii="楷体" w:hAnsi="楷体" w:eastAsia="楷体" w:cs="楷体"/>
          <w:b w:val="0"/>
          <w:bCs w:val="0"/>
          <w:color w:val="000000"/>
          <w:sz w:val="24"/>
          <w:szCs w:val="24"/>
        </w:rPr>
      </w:pPr>
      <w:r>
        <w:rPr>
          <w:rFonts w:hint="eastAsia" w:ascii="楷体" w:hAnsi="楷体" w:eastAsia="楷体" w:cs="楷体"/>
          <w:b w:val="0"/>
          <w:bCs w:val="0"/>
          <w:color w:val="000000"/>
          <w:sz w:val="24"/>
          <w:szCs w:val="24"/>
          <w:lang w:val="en-US" w:eastAsia="zh-CN"/>
        </w:rPr>
        <w:t>一、</w:t>
      </w:r>
      <w:r>
        <w:rPr>
          <w:rFonts w:hint="eastAsia" w:ascii="楷体" w:hAnsi="楷体" w:eastAsia="楷体" w:cs="楷体"/>
          <w:b w:val="0"/>
          <w:bCs w:val="0"/>
          <w:color w:val="000000"/>
          <w:sz w:val="24"/>
          <w:szCs w:val="24"/>
        </w:rPr>
        <w:t>基本情况</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w:t>
      </w:r>
      <w:r>
        <w:rPr>
          <w:rFonts w:hint="default" w:ascii="Times New Roman" w:hAnsi="Times New Roman" w:eastAsia="仿宋_GB2312" w:cs="Times New Roman"/>
          <w:color w:val="000000"/>
          <w:sz w:val="24"/>
          <w:szCs w:val="24"/>
          <w:lang w:eastAsia="zh-CN"/>
        </w:rPr>
        <w:t>益阳南洞庭自然保护区洞庭湖管理局于</w:t>
      </w:r>
      <w:r>
        <w:rPr>
          <w:rFonts w:hint="default" w:ascii="Times New Roman" w:hAnsi="Times New Roman" w:eastAsia="仿宋_GB2312" w:cs="Times New Roman"/>
          <w:color w:val="000000"/>
          <w:sz w:val="24"/>
          <w:szCs w:val="24"/>
          <w:lang w:val="en-US" w:eastAsia="zh-CN"/>
        </w:rPr>
        <w:t>2019年4月成立，其</w:t>
      </w:r>
      <w:r>
        <w:rPr>
          <w:rFonts w:hint="default" w:ascii="Times New Roman" w:hAnsi="Times New Roman" w:eastAsia="仿宋_GB2312" w:cs="Times New Roman"/>
          <w:color w:val="000000"/>
          <w:sz w:val="24"/>
          <w:szCs w:val="24"/>
        </w:rPr>
        <w:t>主要承担本区</w:t>
      </w:r>
      <w:r>
        <w:rPr>
          <w:rFonts w:hint="default" w:ascii="Times New Roman" w:hAnsi="Times New Roman" w:eastAsia="仿宋_GB2312" w:cs="Times New Roman"/>
          <w:color w:val="000000"/>
          <w:sz w:val="24"/>
          <w:szCs w:val="24"/>
          <w:lang w:eastAsia="zh-CN"/>
        </w:rPr>
        <w:t>环境资源保护等职责。</w:t>
      </w:r>
      <w:r>
        <w:rPr>
          <w:rFonts w:hint="default" w:ascii="Times New Roman" w:hAnsi="Times New Roman" w:eastAsia="仿宋_GB2312" w:cs="Times New Roman"/>
          <w:color w:val="000000"/>
          <w:sz w:val="24"/>
          <w:szCs w:val="24"/>
        </w:rPr>
        <w:t>是区管委会直属公益一类事业单位，为正科级，加挂益阳市大通湖区大通湖湿地管理局牌子。区南洞庭保护管理局设下列内设机构(均为正股级)</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二</w:t>
      </w:r>
      <w:r>
        <w:rPr>
          <w:rFonts w:hint="default" w:ascii="Times New Roman" w:hAnsi="Times New Roman" w:eastAsia="仿宋_GB2312" w:cs="Times New Roman"/>
          <w:color w:val="000000"/>
          <w:sz w:val="24"/>
          <w:szCs w:val="24"/>
          <w:lang w:eastAsia="zh-CN"/>
        </w:rPr>
        <w:t>）益阳南洞庭自然保护区大通湖管理局核定编制数</w:t>
      </w:r>
      <w:r>
        <w:rPr>
          <w:rFonts w:hint="default" w:ascii="Times New Roman" w:hAnsi="Times New Roman" w:eastAsia="仿宋_GB2312" w:cs="Times New Roman"/>
          <w:color w:val="000000"/>
          <w:sz w:val="24"/>
          <w:szCs w:val="24"/>
          <w:lang w:val="en-US" w:eastAsia="zh-CN"/>
        </w:rPr>
        <w:t>8人，</w:t>
      </w:r>
      <w:r>
        <w:rPr>
          <w:rFonts w:hint="default" w:ascii="Times New Roman" w:hAnsi="Times New Roman" w:eastAsia="仿宋_GB2312" w:cs="Times New Roman"/>
          <w:color w:val="000000"/>
          <w:sz w:val="24"/>
          <w:szCs w:val="24"/>
        </w:rPr>
        <w:t>现有工作人员</w:t>
      </w: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人，在编事业人员</w:t>
      </w:r>
      <w:r>
        <w:rPr>
          <w:rFonts w:hint="default" w:ascii="Times New Roman" w:hAnsi="Times New Roman"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人</w:t>
      </w:r>
      <w:r>
        <w:rPr>
          <w:rFonts w:hint="default" w:ascii="Times New Roman" w:hAnsi="Times New Roman" w:eastAsia="仿宋_GB2312" w:cs="Times New Roman"/>
          <w:color w:val="000000"/>
          <w:sz w:val="24"/>
          <w:szCs w:val="24"/>
          <w:lang w:eastAsia="zh-CN"/>
        </w:rPr>
        <w:t>，临聘和劳务派遣有</w:t>
      </w:r>
      <w:r>
        <w:rPr>
          <w:rFonts w:hint="default" w:ascii="Times New Roman" w:hAnsi="Times New Roman" w:eastAsia="仿宋_GB2312" w:cs="Times New Roman"/>
          <w:color w:val="000000"/>
          <w:sz w:val="24"/>
          <w:szCs w:val="24"/>
          <w:lang w:val="en-US" w:eastAsia="zh-CN"/>
        </w:rPr>
        <w:t>4人。</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rPr>
        <w:t>我局部门决算收支完成情况。</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sz w:val="24"/>
          <w:szCs w:val="24"/>
        </w:rPr>
        <w:t>全年收入合计为</w:t>
      </w:r>
      <w:r>
        <w:rPr>
          <w:rFonts w:hint="default" w:ascii="Times New Roman" w:hAnsi="Times New Roman" w:eastAsia="仿宋_GB2312" w:cs="Times New Roman"/>
          <w:color w:val="000000"/>
          <w:sz w:val="24"/>
          <w:szCs w:val="24"/>
          <w:lang w:val="en-US" w:eastAsia="zh-CN"/>
        </w:rPr>
        <w:t>992.33万</w:t>
      </w:r>
      <w:r>
        <w:rPr>
          <w:rFonts w:hint="default" w:ascii="Times New Roman" w:hAnsi="Times New Roman" w:eastAsia="仿宋_GB2312" w:cs="Times New Roman"/>
          <w:color w:val="000000"/>
          <w:sz w:val="24"/>
          <w:szCs w:val="24"/>
        </w:rPr>
        <w:t>元，</w:t>
      </w:r>
      <w:r>
        <w:rPr>
          <w:rFonts w:hint="default" w:ascii="Times New Roman" w:hAnsi="Times New Roman" w:eastAsia="仿宋_GB2312" w:cs="Times New Roman"/>
          <w:color w:val="000000"/>
          <w:sz w:val="24"/>
          <w:szCs w:val="24"/>
          <w:lang w:val="en-US" w:eastAsia="zh-CN"/>
        </w:rPr>
        <w:t>其中</w:t>
      </w:r>
      <w:r>
        <w:rPr>
          <w:rFonts w:hint="default" w:ascii="Times New Roman" w:hAnsi="Times New Roman" w:eastAsia="仿宋_GB2312" w:cs="Times New Roman"/>
          <w:color w:val="000000"/>
          <w:sz w:val="24"/>
          <w:szCs w:val="24"/>
        </w:rPr>
        <w:t>财政拨款收入</w:t>
      </w:r>
      <w:r>
        <w:rPr>
          <w:rFonts w:hint="default" w:ascii="Times New Roman" w:hAnsi="Times New Roman" w:eastAsia="仿宋_GB2312" w:cs="Times New Roman"/>
          <w:color w:val="000000"/>
          <w:sz w:val="24"/>
          <w:szCs w:val="24"/>
          <w:lang w:val="en-US" w:eastAsia="zh-CN"/>
        </w:rPr>
        <w:t>635.91万元，其他收入316.81万元，上年结转39.61万元。</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全年支出合计为</w:t>
      </w:r>
      <w:r>
        <w:rPr>
          <w:rFonts w:hint="default" w:ascii="Times New Roman" w:hAnsi="Times New Roman" w:eastAsia="仿宋_GB2312" w:cs="Times New Roman"/>
          <w:color w:val="000000"/>
          <w:sz w:val="24"/>
          <w:szCs w:val="24"/>
          <w:lang w:val="en-US" w:eastAsia="zh-CN"/>
        </w:rPr>
        <w:t>869.94</w:t>
      </w:r>
      <w:r>
        <w:rPr>
          <w:rFonts w:hint="default" w:ascii="Times New Roman" w:hAnsi="Times New Roman" w:eastAsia="仿宋_GB2312" w:cs="Times New Roman"/>
          <w:color w:val="000000"/>
          <w:sz w:val="24"/>
          <w:szCs w:val="24"/>
          <w:lang w:eastAsia="zh-CN"/>
        </w:rPr>
        <w:t>万</w:t>
      </w:r>
      <w:r>
        <w:rPr>
          <w:rFonts w:hint="default" w:ascii="Times New Roman" w:hAnsi="Times New Roman" w:eastAsia="仿宋_GB2312" w:cs="Times New Roman"/>
          <w:color w:val="000000"/>
          <w:sz w:val="24"/>
          <w:szCs w:val="24"/>
        </w:rPr>
        <w:t>元，其中项目支出</w:t>
      </w:r>
      <w:r>
        <w:rPr>
          <w:rFonts w:hint="default" w:ascii="Times New Roman" w:hAnsi="Times New Roman" w:eastAsia="仿宋_GB2312" w:cs="Times New Roman"/>
          <w:color w:val="000000"/>
          <w:sz w:val="24"/>
          <w:szCs w:val="24"/>
          <w:lang w:val="en-US" w:eastAsia="zh-CN"/>
        </w:rPr>
        <w:t>499.92万</w:t>
      </w:r>
      <w:r>
        <w:rPr>
          <w:rFonts w:hint="default" w:ascii="Times New Roman" w:hAnsi="Times New Roman" w:eastAsia="仿宋_GB2312" w:cs="Times New Roman"/>
          <w:color w:val="000000"/>
          <w:sz w:val="24"/>
          <w:szCs w:val="24"/>
        </w:rPr>
        <w:t>元</w:t>
      </w:r>
      <w:r>
        <w:rPr>
          <w:rFonts w:hint="default" w:ascii="Times New Roman" w:hAnsi="Times New Roman" w:eastAsia="仿宋_GB2312" w:cs="Times New Roman"/>
          <w:color w:val="000000"/>
          <w:sz w:val="24"/>
          <w:szCs w:val="24"/>
          <w:lang w:eastAsia="zh-CN"/>
        </w:rPr>
        <w:t>，其中</w:t>
      </w:r>
      <w:r>
        <w:rPr>
          <w:rFonts w:hint="default" w:ascii="Times New Roman" w:hAnsi="Times New Roman" w:eastAsia="仿宋_GB2312" w:cs="Times New Roman"/>
          <w:color w:val="000000"/>
          <w:sz w:val="24"/>
          <w:szCs w:val="24"/>
        </w:rPr>
        <w:t>基本支出</w:t>
      </w:r>
      <w:r>
        <w:rPr>
          <w:rFonts w:hint="default" w:ascii="Times New Roman" w:hAnsi="Times New Roman" w:eastAsia="仿宋_GB2312" w:cs="Times New Roman"/>
          <w:color w:val="000000"/>
          <w:sz w:val="24"/>
          <w:szCs w:val="24"/>
          <w:lang w:val="en-US" w:eastAsia="zh-CN"/>
        </w:rPr>
        <w:t>370.02万</w:t>
      </w:r>
      <w:r>
        <w:rPr>
          <w:rFonts w:hint="default" w:ascii="Times New Roman" w:hAnsi="Times New Roman" w:eastAsia="仿宋_GB2312" w:cs="Times New Roman"/>
          <w:color w:val="000000"/>
          <w:sz w:val="24"/>
          <w:szCs w:val="24"/>
        </w:rPr>
        <w:t>元</w:t>
      </w:r>
      <w:r>
        <w:rPr>
          <w:rFonts w:hint="default" w:ascii="Times New Roman" w:hAnsi="Times New Roman" w:eastAsia="仿宋_GB2312" w:cs="Times New Roman"/>
          <w:color w:val="000000"/>
          <w:sz w:val="24"/>
          <w:szCs w:val="24"/>
          <w:lang w:val="en-US" w:eastAsia="zh-CN"/>
        </w:rPr>
        <w:t>,当年年终结转结余122.39万元，年初预算完成率451.91%。</w:t>
      </w:r>
      <w:r>
        <w:rPr>
          <w:rFonts w:hint="default" w:ascii="Times New Roman" w:hAnsi="Times New Roman" w:eastAsia="仿宋_GB2312" w:cs="Times New Roman"/>
          <w:color w:val="000000"/>
          <w:sz w:val="24"/>
          <w:szCs w:val="24"/>
        </w:rPr>
        <w:t>基本支出是为保障单位正常运转、完成日常工作任务而发生的各项支出，包括人员经费和日常公用经费。项目支出是为完成特定工作任务发生的专项支出。</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）部门整体支出绩效目标</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rPr>
        <w:t>我局在省、市各部门和区委、区管委的正确领导下，在全体干部职工的共同努力下，按照省、市、区的全面部署，我局认真组织实施，全面发动，分级负责，全面完成了各项工作目标任务。通过加强预算收支管理，不断建立健全内部管理制度，梳理内部管理流程，部门整体支出管理情况得到提升。根据</w:t>
      </w:r>
      <w:r>
        <w:rPr>
          <w:rFonts w:hint="default" w:ascii="Times New Roman" w:hAnsi="Times New Roman" w:eastAsia="仿宋_GB2312" w:cs="Times New Roman"/>
          <w:color w:val="000000"/>
          <w:sz w:val="24"/>
          <w:szCs w:val="24"/>
          <w:lang w:eastAsia="zh-CN"/>
        </w:rPr>
        <w:t>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rPr>
        <w:t>度部门整体支出状况的概述和分析，部门整体支出绩效情况如下：</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市委市政府绩效考核的个性指标</w:t>
      </w:r>
      <w:r>
        <w:rPr>
          <w:rFonts w:hint="default" w:ascii="Times New Roman" w:hAnsi="Times New Roman" w:eastAsia="仿宋_GB2312" w:cs="Times New Roman"/>
          <w:color w:val="000000"/>
          <w:sz w:val="24"/>
          <w:szCs w:val="24"/>
          <w:lang w:eastAsia="zh-CN"/>
        </w:rPr>
        <w:t>：基本完成，属于二类单位</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2、 </w:t>
      </w:r>
      <w:r>
        <w:rPr>
          <w:rFonts w:hint="default" w:ascii="Times New Roman" w:hAnsi="Times New Roman" w:eastAsia="仿宋_GB2312" w:cs="Times New Roman"/>
          <w:color w:val="000000"/>
          <w:sz w:val="24"/>
          <w:szCs w:val="24"/>
        </w:rPr>
        <w:t>在职人员控制率：财政供养人员编制</w:t>
      </w:r>
      <w:r>
        <w:rPr>
          <w:rFonts w:hint="default" w:ascii="Times New Roman" w:hAnsi="Times New Roman"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名，截止</w:t>
      </w:r>
      <w:r>
        <w:rPr>
          <w:rFonts w:hint="default" w:ascii="Times New Roman" w:hAnsi="Times New Roman" w:eastAsia="仿宋_GB2312" w:cs="Times New Roman"/>
          <w:color w:val="000000"/>
          <w:sz w:val="24"/>
          <w:szCs w:val="24"/>
          <w:lang w:eastAsia="zh-CN"/>
        </w:rPr>
        <w:t>201</w:t>
      </w:r>
      <w:r>
        <w:rPr>
          <w:rFonts w:hint="default" w:ascii="Times New Roman" w:hAnsi="Times New Roman"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rPr>
        <w:t>末实有在职人员</w:t>
      </w: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名，控制率为</w:t>
      </w:r>
      <w:r>
        <w:rPr>
          <w:rFonts w:hint="default" w:ascii="Times New Roman" w:hAnsi="Times New Roman" w:eastAsia="仿宋_GB2312" w:cs="Times New Roman"/>
          <w:color w:val="000000"/>
          <w:sz w:val="24"/>
          <w:szCs w:val="24"/>
          <w:lang w:val="en-US" w:eastAsia="zh-CN"/>
        </w:rPr>
        <w:t>150</w:t>
      </w:r>
      <w:r>
        <w:rPr>
          <w:rFonts w:hint="default" w:ascii="Times New Roman" w:hAnsi="Times New Roman" w:eastAsia="仿宋_GB2312" w:cs="Times New Roman"/>
          <w:color w:val="00000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“三公经费”变动率：</w:t>
      </w:r>
      <w:r>
        <w:rPr>
          <w:rFonts w:hint="default" w:ascii="Times New Roman" w:hAnsi="Times New Roman" w:eastAsia="仿宋_GB2312" w:cs="Times New Roman"/>
          <w:color w:val="000000"/>
          <w:sz w:val="24"/>
          <w:szCs w:val="24"/>
          <w:lang w:eastAsia="zh-CN"/>
        </w:rPr>
        <w:t>201</w:t>
      </w:r>
      <w:r>
        <w:rPr>
          <w:rFonts w:hint="default" w:ascii="Times New Roman" w:hAnsi="Times New Roman"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lang w:eastAsia="zh-CN"/>
        </w:rPr>
        <w:t>年南洞庭自然保护区大通湖管理局为新增单位，无</w:t>
      </w:r>
      <w:r>
        <w:rPr>
          <w:rFonts w:hint="default" w:ascii="Times New Roman" w:hAnsi="Times New Roman" w:eastAsia="仿宋_GB2312" w:cs="Times New Roman"/>
          <w:color w:val="000000"/>
          <w:sz w:val="24"/>
          <w:szCs w:val="24"/>
        </w:rPr>
        <w:t>预算金额,</w:t>
      </w:r>
      <w:r>
        <w:rPr>
          <w:rFonts w:hint="default" w:ascii="Times New Roman" w:hAnsi="Times New Roman" w:eastAsia="仿宋_GB2312" w:cs="Times New Roman"/>
          <w:color w:val="000000"/>
          <w:sz w:val="24"/>
          <w:szCs w:val="24"/>
          <w:lang w:eastAsia="zh-CN"/>
        </w:rPr>
        <w:t>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rPr>
        <w:t>预算金额为</w:t>
      </w:r>
      <w:r>
        <w:rPr>
          <w:rFonts w:hint="default" w:ascii="Times New Roman" w:hAnsi="Times New Roman" w:eastAsia="仿宋_GB2312" w:cs="Times New Roman"/>
          <w:color w:val="000000"/>
          <w:sz w:val="24"/>
          <w:szCs w:val="24"/>
          <w:lang w:val="en-US" w:eastAsia="zh-CN"/>
        </w:rPr>
        <w:t>18</w:t>
      </w:r>
      <w:r>
        <w:rPr>
          <w:rFonts w:hint="default" w:ascii="Times New Roman" w:hAnsi="Times New Roman" w:eastAsia="仿宋_GB2312" w:cs="Times New Roman"/>
          <w:color w:val="000000"/>
          <w:sz w:val="24"/>
          <w:szCs w:val="24"/>
        </w:rPr>
        <w:t>万元,</w:t>
      </w:r>
      <w:r>
        <w:rPr>
          <w:rFonts w:hint="default" w:ascii="Times New Roman" w:hAnsi="Times New Roman" w:eastAsia="仿宋_GB2312" w:cs="Times New Roman"/>
          <w:color w:val="000000"/>
          <w:sz w:val="24"/>
          <w:szCs w:val="24"/>
          <w:lang w:eastAsia="zh-CN"/>
        </w:rPr>
        <w:t>实际支出</w:t>
      </w:r>
      <w:r>
        <w:rPr>
          <w:rFonts w:hint="default" w:ascii="Times New Roman" w:hAnsi="Times New Roman" w:eastAsia="仿宋_GB2312" w:cs="Times New Roman"/>
          <w:color w:val="000000"/>
          <w:sz w:val="24"/>
          <w:szCs w:val="24"/>
          <w:lang w:val="en-US" w:eastAsia="zh-CN"/>
        </w:rPr>
        <w:t>9.62万元，严格执行厉行节约的原则。</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预算完成率：</w:t>
      </w:r>
      <w:r>
        <w:rPr>
          <w:rFonts w:hint="default" w:ascii="Times New Roman" w:hAnsi="Times New Roman" w:eastAsia="仿宋_GB2312" w:cs="Times New Roman"/>
          <w:color w:val="000000"/>
          <w:sz w:val="24"/>
          <w:szCs w:val="24"/>
          <w:lang w:val="en-US" w:eastAsia="zh-CN"/>
        </w:rPr>
        <w:t>2020年</w:t>
      </w:r>
      <w:r>
        <w:rPr>
          <w:rFonts w:hint="default" w:ascii="Times New Roman" w:hAnsi="Times New Roman" w:eastAsia="仿宋_GB2312" w:cs="Times New Roman"/>
          <w:color w:val="000000"/>
          <w:sz w:val="24"/>
          <w:szCs w:val="24"/>
        </w:rPr>
        <w:t>预算</w:t>
      </w:r>
      <w:r>
        <w:rPr>
          <w:rFonts w:hint="default" w:ascii="Times New Roman" w:hAnsi="Times New Roman" w:eastAsia="仿宋_GB2312" w:cs="Times New Roman"/>
          <w:color w:val="000000"/>
          <w:sz w:val="24"/>
          <w:szCs w:val="24"/>
          <w:lang w:eastAsia="zh-CN"/>
        </w:rPr>
        <w:t>数</w:t>
      </w:r>
      <w:r>
        <w:rPr>
          <w:rFonts w:hint="default" w:ascii="Times New Roman" w:hAnsi="Times New Roman" w:eastAsia="仿宋_GB2312" w:cs="Times New Roman"/>
          <w:color w:val="000000"/>
          <w:sz w:val="24"/>
          <w:szCs w:val="24"/>
        </w:rPr>
        <w:t>为</w:t>
      </w:r>
      <w:r>
        <w:rPr>
          <w:rFonts w:hint="default" w:ascii="Times New Roman" w:hAnsi="Times New Roman" w:eastAsia="仿宋_GB2312" w:cs="Times New Roman"/>
          <w:color w:val="000000"/>
          <w:sz w:val="24"/>
          <w:szCs w:val="24"/>
          <w:lang w:val="en-US" w:eastAsia="zh-CN"/>
        </w:rPr>
        <w:t>992.33万</w:t>
      </w:r>
      <w:r>
        <w:rPr>
          <w:rFonts w:hint="default" w:ascii="Times New Roman" w:hAnsi="Times New Roman" w:eastAsia="仿宋_GB2312" w:cs="Times New Roman"/>
          <w:color w:val="000000"/>
          <w:sz w:val="24"/>
          <w:szCs w:val="24"/>
        </w:rPr>
        <w:t>元,本年</w:t>
      </w:r>
      <w:r>
        <w:rPr>
          <w:rFonts w:hint="default" w:ascii="Times New Roman" w:hAnsi="Times New Roman" w:eastAsia="仿宋_GB2312" w:cs="Times New Roman"/>
          <w:color w:val="000000"/>
          <w:sz w:val="24"/>
          <w:szCs w:val="24"/>
          <w:lang w:eastAsia="zh-CN"/>
        </w:rPr>
        <w:t>决算数为</w:t>
      </w:r>
      <w:r>
        <w:rPr>
          <w:rFonts w:hint="default" w:ascii="Times New Roman" w:hAnsi="Times New Roman" w:eastAsia="仿宋_GB2312" w:cs="Times New Roman"/>
          <w:color w:val="000000"/>
          <w:sz w:val="24"/>
          <w:szCs w:val="24"/>
          <w:lang w:val="en-US" w:eastAsia="zh-CN"/>
        </w:rPr>
        <w:t>869.94万</w:t>
      </w:r>
      <w:r>
        <w:rPr>
          <w:rFonts w:hint="default" w:ascii="Times New Roman" w:hAnsi="Times New Roman" w:eastAsia="仿宋_GB2312" w:cs="Times New Roman"/>
          <w:color w:val="000000"/>
          <w:sz w:val="24"/>
          <w:szCs w:val="24"/>
        </w:rPr>
        <w:t>元,完成率为</w:t>
      </w:r>
      <w:r>
        <w:rPr>
          <w:rFonts w:hint="default" w:ascii="Times New Roman" w:hAnsi="Times New Roman" w:eastAsia="仿宋_GB2312" w:cs="Times New Roman"/>
          <w:color w:val="000000"/>
          <w:sz w:val="24"/>
          <w:szCs w:val="24"/>
          <w:lang w:val="en-US" w:eastAsia="zh-CN"/>
        </w:rPr>
        <w:t>87.66</w:t>
      </w:r>
      <w:r>
        <w:rPr>
          <w:rFonts w:hint="default" w:ascii="Times New Roman" w:hAnsi="Times New Roman" w:eastAsia="仿宋_GB2312" w:cs="Times New Roman"/>
          <w:color w:val="00000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rPr>
        <w:t>预算控制率：年初预算为</w:t>
      </w:r>
      <w:r>
        <w:rPr>
          <w:rFonts w:hint="default" w:ascii="Times New Roman" w:hAnsi="Times New Roman" w:eastAsia="仿宋_GB2312" w:cs="Times New Roman"/>
          <w:color w:val="000000"/>
          <w:sz w:val="24"/>
          <w:szCs w:val="24"/>
          <w:lang w:val="en-US" w:eastAsia="zh-CN"/>
        </w:rPr>
        <w:t>192.5万</w:t>
      </w:r>
      <w:r>
        <w:rPr>
          <w:rFonts w:hint="default" w:ascii="Times New Roman" w:hAnsi="Times New Roman" w:eastAsia="仿宋_GB2312" w:cs="Times New Roman"/>
          <w:color w:val="000000"/>
          <w:sz w:val="24"/>
          <w:szCs w:val="24"/>
        </w:rPr>
        <w:t>元,追加预算为</w:t>
      </w:r>
      <w:r>
        <w:rPr>
          <w:rFonts w:hint="default" w:ascii="Times New Roman" w:hAnsi="Times New Roman" w:eastAsia="仿宋_GB2312" w:cs="Times New Roman"/>
          <w:color w:val="000000"/>
          <w:sz w:val="24"/>
          <w:szCs w:val="24"/>
          <w:lang w:val="en-US" w:eastAsia="zh-CN"/>
        </w:rPr>
        <w:t>799.83万</w:t>
      </w:r>
      <w:r>
        <w:rPr>
          <w:rFonts w:hint="default" w:ascii="Times New Roman" w:hAnsi="Times New Roman" w:eastAsia="仿宋_GB2312" w:cs="Times New Roman"/>
          <w:color w:val="000000"/>
          <w:sz w:val="24"/>
          <w:szCs w:val="24"/>
        </w:rPr>
        <w:t>元, 预算调整率为</w:t>
      </w:r>
      <w:r>
        <w:rPr>
          <w:rFonts w:hint="default" w:ascii="Times New Roman" w:hAnsi="Times New Roman" w:eastAsia="仿宋_GB2312" w:cs="Times New Roman"/>
          <w:color w:val="000000"/>
          <w:sz w:val="24"/>
          <w:szCs w:val="24"/>
          <w:lang w:val="en-US" w:eastAsia="zh-CN"/>
        </w:rPr>
        <w:t>415.49</w:t>
      </w:r>
      <w:r>
        <w:rPr>
          <w:rFonts w:hint="default" w:ascii="Times New Roman" w:hAnsi="Times New Roman" w:eastAsia="仿宋_GB2312" w:cs="Times New Roman"/>
          <w:color w:val="00000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新建楼堂馆所: 没有新建楼堂馆所的建设项目；</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7、</w:t>
      </w:r>
      <w:r>
        <w:rPr>
          <w:rFonts w:hint="default" w:ascii="Times New Roman" w:hAnsi="Times New Roman" w:eastAsia="仿宋_GB2312" w:cs="Times New Roman"/>
          <w:color w:val="000000"/>
          <w:sz w:val="24"/>
          <w:szCs w:val="24"/>
        </w:rPr>
        <w:t>公用经费控制率：实际支出公用经费总额</w:t>
      </w:r>
      <w:r>
        <w:rPr>
          <w:rFonts w:hint="default" w:ascii="Times New Roman" w:hAnsi="Times New Roman" w:eastAsia="仿宋_GB2312" w:cs="Times New Roman"/>
          <w:color w:val="000000"/>
          <w:sz w:val="24"/>
          <w:szCs w:val="24"/>
          <w:lang w:val="en-US" w:eastAsia="zh-CN"/>
        </w:rPr>
        <w:t>252.85万</w:t>
      </w:r>
      <w:r>
        <w:rPr>
          <w:rFonts w:hint="default" w:ascii="Times New Roman" w:hAnsi="Times New Roman" w:eastAsia="仿宋_GB2312" w:cs="Times New Roman"/>
          <w:color w:val="000000"/>
          <w:sz w:val="24"/>
          <w:szCs w:val="24"/>
        </w:rPr>
        <w:t>元，预算安排公用经费总额为</w:t>
      </w:r>
      <w:r>
        <w:rPr>
          <w:rFonts w:hint="default" w:ascii="Times New Roman" w:hAnsi="Times New Roman" w:eastAsia="仿宋_GB2312" w:cs="Times New Roman"/>
          <w:color w:val="000000"/>
          <w:sz w:val="24"/>
          <w:szCs w:val="24"/>
          <w:lang w:val="en-US" w:eastAsia="zh-CN"/>
        </w:rPr>
        <w:t>186.84万</w:t>
      </w:r>
      <w:r>
        <w:rPr>
          <w:rFonts w:hint="default" w:ascii="Times New Roman" w:hAnsi="Times New Roman" w:eastAsia="仿宋_GB2312" w:cs="Times New Roman"/>
          <w:color w:val="000000"/>
          <w:sz w:val="24"/>
          <w:szCs w:val="24"/>
        </w:rPr>
        <w:t>元,控制率为</w:t>
      </w:r>
      <w:r>
        <w:rPr>
          <w:rFonts w:hint="default" w:ascii="Times New Roman" w:hAnsi="Times New Roman" w:eastAsia="仿宋_GB2312" w:cs="Times New Roman"/>
          <w:color w:val="000000"/>
          <w:sz w:val="24"/>
          <w:szCs w:val="24"/>
          <w:lang w:val="en-US" w:eastAsia="zh-CN"/>
        </w:rPr>
        <w:t>135.32</w:t>
      </w:r>
      <w:r>
        <w:rPr>
          <w:rFonts w:hint="default" w:ascii="Times New Roman" w:hAnsi="Times New Roman" w:eastAsia="仿宋_GB2312" w:cs="Times New Roman"/>
          <w:color w:val="00000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预决算公开</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坚持“三公经费”在局务会公开，并张榜公示。</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rPr>
        <w:t>存量资金管理</w:t>
      </w:r>
      <w:r>
        <w:rPr>
          <w:rFonts w:hint="default" w:ascii="Times New Roman" w:hAnsi="Times New Roman" w:eastAsia="仿宋_GB2312" w:cs="Times New Roman"/>
          <w:color w:val="000000"/>
          <w:sz w:val="24"/>
          <w:szCs w:val="24"/>
          <w:lang w:eastAsia="zh-CN"/>
        </w:rPr>
        <w:t>按时缴纳到国库</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10、</w:t>
      </w:r>
      <w:r>
        <w:rPr>
          <w:rFonts w:hint="default" w:ascii="Times New Roman" w:hAnsi="Times New Roman" w:eastAsia="仿宋_GB2312" w:cs="Times New Roman"/>
          <w:color w:val="000000"/>
          <w:sz w:val="24"/>
          <w:szCs w:val="24"/>
        </w:rPr>
        <w:t>资产管理</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建立健全</w:t>
      </w:r>
      <w:r>
        <w:rPr>
          <w:rFonts w:hint="default" w:ascii="Times New Roman" w:hAnsi="Times New Roman" w:eastAsia="仿宋_GB2312" w:cs="Times New Roman"/>
          <w:color w:val="000000"/>
          <w:sz w:val="24"/>
          <w:szCs w:val="24"/>
          <w:lang w:eastAsia="zh-CN"/>
        </w:rPr>
        <w:t>固定资产管理制度，完善资产手续。</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11、</w:t>
      </w:r>
      <w:r>
        <w:rPr>
          <w:rFonts w:hint="default" w:ascii="Times New Roman" w:hAnsi="Times New Roman" w:eastAsia="仿宋_GB2312" w:cs="Times New Roman"/>
          <w:color w:val="000000"/>
          <w:sz w:val="24"/>
          <w:szCs w:val="24"/>
        </w:rPr>
        <w:t>三公经费控制</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“三公经费”实际支出数</w:t>
      </w:r>
      <w:r>
        <w:rPr>
          <w:rFonts w:hint="default" w:ascii="Times New Roman" w:hAnsi="Times New Roman" w:eastAsia="仿宋_GB2312" w:cs="Times New Roman"/>
          <w:color w:val="000000"/>
          <w:sz w:val="24"/>
          <w:szCs w:val="24"/>
          <w:lang w:val="en-US" w:eastAsia="zh-CN"/>
        </w:rPr>
        <w:t>9.62万元</w:t>
      </w:r>
      <w:r>
        <w:rPr>
          <w:rFonts w:hint="default" w:ascii="Times New Roman" w:hAnsi="Times New Roman" w:eastAsia="仿宋_GB2312" w:cs="Times New Roman"/>
          <w:color w:val="000000"/>
          <w:sz w:val="24"/>
          <w:szCs w:val="24"/>
        </w:rPr>
        <w:t>“三公经费”预算安排数为</w:t>
      </w:r>
      <w:r>
        <w:rPr>
          <w:rFonts w:hint="default" w:ascii="Times New Roman" w:hAnsi="Times New Roman" w:eastAsia="仿宋_GB2312" w:cs="Times New Roman"/>
          <w:color w:val="000000"/>
          <w:sz w:val="24"/>
          <w:szCs w:val="24"/>
          <w:lang w:val="en-US" w:eastAsia="zh-CN"/>
        </w:rPr>
        <w:t>18万</w:t>
      </w:r>
      <w:r>
        <w:rPr>
          <w:rFonts w:hint="default" w:ascii="Times New Roman" w:hAnsi="Times New Roman" w:eastAsia="仿宋_GB2312" w:cs="Times New Roman"/>
          <w:color w:val="000000"/>
          <w:sz w:val="24"/>
          <w:szCs w:val="24"/>
        </w:rPr>
        <w:t>元，控制率为</w:t>
      </w:r>
      <w:r>
        <w:rPr>
          <w:rFonts w:hint="default" w:ascii="Times New Roman" w:hAnsi="Times New Roman" w:eastAsia="仿宋_GB2312" w:cs="Times New Roman"/>
          <w:color w:val="000000"/>
          <w:sz w:val="24"/>
          <w:szCs w:val="24"/>
          <w:lang w:val="en-US" w:eastAsia="zh-CN"/>
        </w:rPr>
        <w:t>53.44</w:t>
      </w:r>
      <w:r>
        <w:rPr>
          <w:rFonts w:hint="default" w:ascii="Times New Roman" w:hAnsi="Times New Roman" w:eastAsia="仿宋_GB2312" w:cs="Times New Roman"/>
          <w:color w:val="000000"/>
          <w:sz w:val="24"/>
          <w:szCs w:val="24"/>
        </w:rPr>
        <w:t>%。</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内部管理制度建设等的设定及完成情况</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建立健全公务接待、财务管理、工程项目审计管理、廉洁从审等制度。</w:t>
      </w:r>
    </w:p>
    <w:p>
      <w:pPr>
        <w:keepNext w:val="0"/>
        <w:keepLines w:val="0"/>
        <w:pageBreakBefore w:val="0"/>
        <w:numPr>
          <w:ilvl w:val="0"/>
          <w:numId w:val="0"/>
        </w:numPr>
        <w:kinsoku/>
        <w:wordWrap/>
        <w:overflowPunct/>
        <w:topLinePunct w:val="0"/>
        <w:autoSpaceDE/>
        <w:autoSpaceDN/>
        <w:bidi w:val="0"/>
        <w:adjustRightInd w:val="0"/>
        <w:snapToGrid w:val="0"/>
        <w:spacing w:line="592" w:lineRule="exact"/>
        <w:ind w:right="0" w:rightChars="0" w:firstLine="480" w:firstLineChars="200"/>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）部门整体支出施情况分析</w:t>
      </w:r>
      <w:r>
        <w:rPr>
          <w:rFonts w:hint="default" w:ascii="Times New Roman" w:hAnsi="Times New Roman" w:eastAsia="仿宋_GB2312" w:cs="Times New Roman"/>
          <w:color w:val="000000"/>
          <w:sz w:val="24"/>
          <w:szCs w:val="24"/>
          <w:lang w:val="en-US" w:eastAsia="zh-CN"/>
        </w:rPr>
        <w:t>:大通湖国控断面水质情况。2020年1-12月</w:t>
      </w:r>
      <w:r>
        <w:rPr>
          <w:rFonts w:hint="default" w:ascii="Times New Roman" w:hAnsi="Times New Roman" w:eastAsia="仿宋_GB2312" w:cs="Times New Roman"/>
          <w:color w:val="000000"/>
          <w:sz w:val="24"/>
          <w:szCs w:val="24"/>
        </w:rPr>
        <w:t>国控断面水质均为V类</w:t>
      </w:r>
      <w:r>
        <w:rPr>
          <w:rFonts w:hint="default" w:ascii="Times New Roman" w:hAnsi="Times New Roman" w:eastAsia="仿宋_GB2312" w:cs="Times New Roman"/>
          <w:color w:val="000000"/>
          <w:sz w:val="24"/>
          <w:szCs w:val="24"/>
          <w:lang w:val="en-US" w:eastAsia="zh-CN"/>
        </w:rPr>
        <w:t>及以上</w:t>
      </w:r>
      <w:r>
        <w:rPr>
          <w:rFonts w:hint="default" w:ascii="Times New Roman" w:hAnsi="Times New Roman" w:eastAsia="仿宋_GB2312" w:cs="Times New Roman"/>
          <w:color w:val="000000"/>
          <w:sz w:val="24"/>
          <w:szCs w:val="24"/>
        </w:rPr>
        <w:t>，总磷浓度</w:t>
      </w:r>
      <w:r>
        <w:rPr>
          <w:rFonts w:hint="default" w:ascii="Times New Roman" w:hAnsi="Times New Roman" w:eastAsia="仿宋_GB2312" w:cs="Times New Roman"/>
          <w:color w:val="000000"/>
          <w:sz w:val="24"/>
          <w:szCs w:val="24"/>
          <w:lang w:val="en-US" w:eastAsia="zh-CN"/>
        </w:rPr>
        <w:t>平均值</w:t>
      </w:r>
      <w:r>
        <w:rPr>
          <w:rFonts w:hint="default" w:ascii="Times New Roman" w:hAnsi="Times New Roman" w:eastAsia="仿宋_GB2312" w:cs="Times New Roman"/>
          <w:color w:val="000000"/>
          <w:sz w:val="24"/>
          <w:szCs w:val="24"/>
        </w:rPr>
        <w:t>为0.</w:t>
      </w:r>
      <w:r>
        <w:rPr>
          <w:rFonts w:hint="default" w:ascii="Times New Roman" w:hAnsi="Times New Roman" w:eastAsia="仿宋_GB2312" w:cs="Times New Roman"/>
          <w:color w:val="000000"/>
          <w:sz w:val="24"/>
          <w:szCs w:val="24"/>
          <w:lang w:val="en-US" w:eastAsia="zh-CN"/>
        </w:rPr>
        <w:t>097</w:t>
      </w:r>
      <w:r>
        <w:rPr>
          <w:rFonts w:hint="default" w:ascii="Times New Roman" w:hAnsi="Times New Roman" w:eastAsia="仿宋_GB2312" w:cs="Times New Roman"/>
          <w:color w:val="000000"/>
          <w:sz w:val="24"/>
          <w:szCs w:val="24"/>
        </w:rPr>
        <w:t>mg/L</w:t>
      </w:r>
      <w:r>
        <w:rPr>
          <w:rFonts w:hint="default" w:ascii="Times New Roman" w:hAnsi="Times New Roman" w:eastAsia="仿宋_GB2312" w:cs="Times New Roman"/>
          <w:color w:val="000000"/>
          <w:sz w:val="24"/>
          <w:szCs w:val="24"/>
          <w:lang w:eastAsia="zh-CN"/>
        </w:rPr>
        <w:t>。</w:t>
      </w:r>
    </w:p>
    <w:p>
      <w:pPr>
        <w:keepNext w:val="0"/>
        <w:keepLines w:val="0"/>
        <w:pageBreakBefore w:val="0"/>
        <w:kinsoku/>
        <w:overflowPunct w:val="0"/>
        <w:topLinePunct w:val="0"/>
        <w:autoSpaceDE w:val="0"/>
        <w:autoSpaceDN w:val="0"/>
        <w:bidi w:val="0"/>
        <w:adjustRightInd w:val="0"/>
        <w:snapToGrid w:val="0"/>
        <w:spacing w:line="592" w:lineRule="exact"/>
        <w:ind w:firstLine="480" w:firstLineChars="200"/>
        <w:rPr>
          <w:rFonts w:hint="default" w:ascii="Times New Roman" w:hAnsi="Times New Roman" w:eastAsia="仿宋_GB2312" w:cs="Times New Roman"/>
          <w:bCs/>
          <w:color w:val="000000"/>
          <w:sz w:val="24"/>
          <w:szCs w:val="24"/>
        </w:rPr>
      </w:pPr>
      <w:r>
        <w:rPr>
          <w:rFonts w:hint="default" w:ascii="楷体" w:hAnsi="楷体" w:eastAsia="楷体" w:cs="楷体"/>
          <w:b w:val="0"/>
          <w:bCs w:val="0"/>
          <w:color w:val="000000"/>
          <w:sz w:val="24"/>
          <w:szCs w:val="24"/>
          <w:lang w:val="en-US" w:eastAsia="zh-CN"/>
        </w:rPr>
        <w:t>二、绩效评价工作情况</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righ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（一）绩效评价目的</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支绩效评价是一种全新的监督机制，它不同于传统的监督机制，它可以适应市场经济的发展，并且能够提高财政资金的利用率，同时还能提高经济效益。它运用科学的评价方法和合理的评价指标对财政资金的使用进行监督，使得财政支出更加合理和有效</w:t>
      </w:r>
      <w:r>
        <w:rPr>
          <w:rFonts w:hint="default" w:ascii="Times New Roman" w:hAnsi="Times New Roman" w:eastAsia="仿宋_GB2312" w:cs="Times New Roman"/>
          <w:sz w:val="24"/>
          <w:szCs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（二）绩效评价工作过程，主要包括前期准备、组织实施和分析评价等内容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color w:val="222222"/>
          <w:kern w:val="0"/>
          <w:sz w:val="24"/>
          <w:szCs w:val="24"/>
          <w:shd w:val="clear" w:color="auto" w:fill="FFFFFF"/>
          <w:lang w:val="en-US" w:eastAsia="zh-CN" w:bidi="ar"/>
        </w:rPr>
        <w:t>我们按照区财政局绩效评价规程要求，第一阶段为前期准备：由我单位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after="157" w:afterLines="50" w:line="592" w:lineRule="exact"/>
        <w:ind w:left="630" w:leftChars="0" w:right="0" w:rightChars="0"/>
        <w:jc w:val="both"/>
        <w:textAlignment w:val="auto"/>
        <w:outlineLvl w:val="9"/>
        <w:rPr>
          <w:rFonts w:hint="default" w:ascii="Times New Roman" w:hAnsi="Times New Roman" w:eastAsia="仿宋_GB2312" w:cs="Times New Roman"/>
          <w:b/>
          <w:bCs/>
          <w:sz w:val="24"/>
          <w:szCs w:val="24"/>
        </w:rPr>
      </w:pPr>
      <w:r>
        <w:rPr>
          <w:rFonts w:hint="default" w:ascii="楷体" w:hAnsi="楷体" w:eastAsia="楷体" w:cs="楷体"/>
          <w:b w:val="0"/>
          <w:bCs w:val="0"/>
          <w:color w:val="000000"/>
          <w:sz w:val="24"/>
          <w:szCs w:val="24"/>
          <w:lang w:val="en-US" w:eastAsia="zh-CN"/>
        </w:rPr>
        <w:t>三、主要绩效及评价结论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全力推进大湖生态系统修复。按照科学治理、精准施策的要求，聘请武汉大学于丹教授技术团队全面指导大通湖生态修复工作。实施水生植被恢复工程，从中央深水区向岸线依次构建“沉水—浮叶—挺水植被带”，充分发挥水生植物生态功能作用。2020年，深入推进水生植被恢复工程，已恢复5000亩挺水植被（种植菰78000株、野生红莲种子5000斤、香蒲种子994斤、野生红莲359570株、香蒲210700株）；恢复500亩浮叶植被（种植睡莲295800株、芡实25900斤、黄花荇菜505100株）；恢复3000亩沉水植被（种植轮叶黑藻冬芽460640斤、苦草种子359520斤，轮叶黑藻成株11800斤、常绿大苦草500斤、穗花狐尾藻538600斤）。10月启动大湖秋冬季水草种植，分区域已完成329980斤菹草石芽的种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为搭建稳定大湖生态系统，控制藻类生长繁殖，经武汉大学技术团队同意，今年先后两次投放了白鲢60.7余万斤、蚌30万斤。为保证大湖水草不受杂食性、食草性鱼类啃食，增强水体透明度，对大湖杂食性、食草性鱼类进行清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（2）大力推进周边湿地建设。一是投资2500万开展入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湖河口湿地建设，主要针对入湖电排和河流设置多级人工湿地，拦截入湖污染，恢复湿地面积2290亩，现已完成工程量的96%；二是协助各镇开展14条河渠水生植被恢复增绿工程前期工作，已邀请技术单位对已种菹草石芽萌发情况进行现场跟踪检验；且按时完成《</w:t>
      </w:r>
      <w:r>
        <w:rPr>
          <w:rFonts w:hint="default" w:ascii="Times New Roman" w:hAnsi="Times New Roman" w:eastAsia="仿宋_GB2312" w:cs="Times New Roman"/>
          <w:color w:val="000000"/>
          <w:sz w:val="24"/>
          <w:szCs w:val="24"/>
          <w:lang w:val="en-US" w:eastAsia="zh-CN"/>
        </w:rPr>
        <w:fldChar w:fldCharType="begin"/>
      </w:r>
      <w:r>
        <w:rPr>
          <w:rFonts w:hint="default" w:ascii="Times New Roman" w:hAnsi="Times New Roman" w:eastAsia="仿宋_GB2312" w:cs="Times New Roman"/>
          <w:color w:val="000000"/>
          <w:sz w:val="24"/>
          <w:szCs w:val="24"/>
          <w:lang w:val="en-US" w:eastAsia="zh-CN"/>
        </w:rPr>
        <w:instrText xml:space="preserve">ADDIN CNKISM.UserStyle</w:instrText>
      </w:r>
      <w:r>
        <w:rPr>
          <w:rFonts w:hint="default" w:ascii="Times New Roman" w:hAnsi="Times New Roman" w:eastAsia="仿宋_GB2312" w:cs="Times New Roman"/>
          <w:color w:val="000000"/>
          <w:sz w:val="24"/>
          <w:szCs w:val="24"/>
          <w:lang w:val="en-US" w:eastAsia="zh-CN"/>
        </w:rPr>
        <w:fldChar w:fldCharType="end"/>
      </w:r>
      <w:r>
        <w:rPr>
          <w:rFonts w:hint="default" w:ascii="Times New Roman" w:hAnsi="Times New Roman" w:eastAsia="仿宋_GB2312" w:cs="Times New Roman"/>
          <w:color w:val="000000"/>
          <w:sz w:val="24"/>
          <w:szCs w:val="24"/>
          <w:lang w:val="en-US" w:eastAsia="zh-CN"/>
        </w:rPr>
        <w:t>大通湖入湖河渠增绿项目考核办法》的出台；三是聘请技术单位编制全区域内退养1万池塘的水草产业发展规化，技术单位已完成初稿的编制。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（3）强化湿地公园管理。一是加强大湖禁航禁捕工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作。疫情期间，我局派专人驻守大新河，与区公安分局联合，有效劝离非法垂钓和聚集人群，并做好下湖船只台账管理。二是强化宣传，设置15块科普宣教牌以及重点打造“微型水池”水草，进一步增加宣教氛围。三是严执湿地占用审批，对湿地公园内环湖公路和金盆桥修建占用湿地面积，均按程序报省林业局进行审批。四是加大生态监测力度。我局聘请了中科院亚热带生态农业研究所开展大湖水质、鸟类调查。我局每月对入湖河口水质进行跟踪监测，并适时对大湖水质开展监测，及时掌握大湖生态环境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积极开展自然保护地优化整合。协同区自然资源局积极开展自然保护地优化整合工作，主要对大通湖国家湿地公园规化范围进行优化整合，整合优化后面积8314.24公顷，面积减少了625.48公顷，减少了7.00%。调出的面积主要为永久基本农田、城镇建成区、成片人工集体商品林、村庄与人口集聚区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（5）强化立项争资。2020年争取50万中央财政湿地保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firstLine="480" w:firstLineChars="20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护与恢复补助资金支持，主要用于提升湿地公园生态监测和巡护能力，恢复湿地面积100亩；争取15万省级林业生态恢复资金支持，主要用于生态监测，及时了解湿地公园生态环境。</w:t>
      </w:r>
    </w:p>
    <w:p>
      <w:pPr>
        <w:pStyle w:val="7"/>
        <w:keepNext w:val="0"/>
        <w:keepLines w:val="0"/>
        <w:pageBreakBefore w:val="0"/>
        <w:widowControl/>
        <w:suppressLineNumbers w:val="0"/>
        <w:kinsoku/>
        <w:topLinePunct w:val="0"/>
        <w:bidi w:val="0"/>
        <w:adjustRightInd w:val="0"/>
        <w:snapToGrid w:val="0"/>
        <w:spacing w:before="0" w:beforeAutospacing="0" w:after="0" w:afterAutospacing="0" w:line="592" w:lineRule="exact"/>
        <w:ind w:left="0" w:right="0" w:firstLine="432"/>
        <w:jc w:val="both"/>
        <w:rPr>
          <w:rFonts w:hint="default" w:ascii="Times New Roman" w:hAnsi="Times New Roman" w:eastAsia="仿宋_GB2312" w:cs="Times New Roman"/>
          <w:color w:val="222222"/>
          <w:kern w:val="0"/>
          <w:sz w:val="24"/>
          <w:szCs w:val="24"/>
          <w:shd w:val="clear" w:color="auto" w:fill="FFFFFF"/>
          <w:lang w:val="en-US" w:eastAsia="zh-CN" w:bidi="ar"/>
        </w:rPr>
      </w:pPr>
      <w:r>
        <w:rPr>
          <w:rFonts w:hint="default" w:ascii="Times New Roman" w:hAnsi="Times New Roman" w:eastAsia="仿宋_GB2312" w:cs="Times New Roman"/>
          <w:color w:val="222222"/>
          <w:kern w:val="0"/>
          <w:sz w:val="24"/>
          <w:szCs w:val="24"/>
          <w:shd w:val="clear" w:color="auto" w:fill="FFFFFF"/>
          <w:lang w:val="en-US" w:eastAsia="zh-CN" w:bidi="ar"/>
        </w:rPr>
        <w:t>1、目标任务实际完成率（8分）：已全部，根据区年度综合目标管理考核我单位合格，本部门该项指标得满分8分。</w:t>
      </w:r>
    </w:p>
    <w:p>
      <w:pPr>
        <w:pStyle w:val="7"/>
        <w:keepNext w:val="0"/>
        <w:keepLines w:val="0"/>
        <w:pageBreakBefore w:val="0"/>
        <w:widowControl/>
        <w:suppressLineNumbers w:val="0"/>
        <w:kinsoku/>
        <w:topLinePunct w:val="0"/>
        <w:bidi w:val="0"/>
        <w:adjustRightInd w:val="0"/>
        <w:snapToGrid w:val="0"/>
        <w:spacing w:before="0" w:beforeAutospacing="0" w:after="0" w:afterAutospacing="0" w:line="592" w:lineRule="exact"/>
        <w:ind w:left="0" w:right="0" w:firstLine="432"/>
        <w:jc w:val="both"/>
        <w:rPr>
          <w:rFonts w:hint="default" w:ascii="Times New Roman" w:hAnsi="Times New Roman" w:eastAsia="仿宋_GB2312" w:cs="Times New Roman"/>
          <w:color w:val="222222"/>
          <w:kern w:val="0"/>
          <w:sz w:val="24"/>
          <w:szCs w:val="24"/>
          <w:shd w:val="clear" w:color="auto" w:fill="FFFFFF"/>
          <w:lang w:val="en-US" w:eastAsia="zh-CN" w:bidi="ar"/>
        </w:rPr>
      </w:pPr>
      <w:r>
        <w:rPr>
          <w:rFonts w:hint="default" w:ascii="Times New Roman" w:hAnsi="Times New Roman" w:eastAsia="仿宋_GB2312" w:cs="Times New Roman"/>
          <w:color w:val="222222"/>
          <w:kern w:val="0"/>
          <w:sz w:val="24"/>
          <w:szCs w:val="24"/>
          <w:shd w:val="clear" w:color="auto" w:fill="FFFFFF"/>
          <w:lang w:val="en-US" w:eastAsia="zh-CN" w:bidi="ar"/>
        </w:rPr>
        <w:t>2、经济效益、社会效益、生态效益各5分：我单位合格，本部门该项指标得满分15分。</w:t>
      </w:r>
    </w:p>
    <w:p>
      <w:pPr>
        <w:pStyle w:val="7"/>
        <w:keepNext w:val="0"/>
        <w:keepLines w:val="0"/>
        <w:pageBreakBefore w:val="0"/>
        <w:widowControl/>
        <w:suppressLineNumbers w:val="0"/>
        <w:kinsoku/>
        <w:topLinePunct w:val="0"/>
        <w:bidi w:val="0"/>
        <w:adjustRightInd w:val="0"/>
        <w:snapToGrid w:val="0"/>
        <w:spacing w:before="0" w:beforeAutospacing="0" w:after="0" w:afterAutospacing="0" w:line="592" w:lineRule="exact"/>
        <w:ind w:left="0" w:right="0" w:firstLine="432"/>
        <w:jc w:val="both"/>
        <w:rPr>
          <w:rFonts w:hint="default" w:ascii="Times New Roman" w:hAnsi="Times New Roman" w:eastAsia="仿宋_GB2312" w:cs="Times New Roman"/>
          <w:color w:val="222222"/>
          <w:kern w:val="0"/>
          <w:sz w:val="24"/>
          <w:szCs w:val="24"/>
          <w:shd w:val="clear" w:color="auto" w:fill="FFFFFF"/>
          <w:lang w:val="en-US" w:eastAsia="zh-CN" w:bidi="ar"/>
        </w:rPr>
      </w:pPr>
      <w:r>
        <w:rPr>
          <w:rFonts w:hint="default" w:ascii="Times New Roman" w:hAnsi="Times New Roman" w:eastAsia="仿宋_GB2312" w:cs="Times New Roman"/>
          <w:color w:val="222222"/>
          <w:kern w:val="0"/>
          <w:sz w:val="24"/>
          <w:szCs w:val="24"/>
          <w:shd w:val="clear" w:color="auto" w:fill="FFFFFF"/>
          <w:lang w:val="en-US" w:eastAsia="zh-CN" w:bidi="ar"/>
        </w:rPr>
        <w:t>3、行政效能（6分）：促进部门改进文风会风，加强经费及资产管理，推动网上办事，提高行政效率，降低行政成本效果较好的计6分，部门该项指标得满分6分。</w:t>
      </w:r>
    </w:p>
    <w:p>
      <w:pPr>
        <w:pStyle w:val="7"/>
        <w:keepNext w:val="0"/>
        <w:keepLines w:val="0"/>
        <w:pageBreakBefore w:val="0"/>
        <w:widowControl/>
        <w:suppressLineNumbers w:val="0"/>
        <w:kinsoku/>
        <w:topLinePunct w:val="0"/>
        <w:bidi w:val="0"/>
        <w:adjustRightInd w:val="0"/>
        <w:snapToGrid w:val="0"/>
        <w:spacing w:before="0" w:beforeAutospacing="0" w:after="0" w:afterAutospacing="0" w:line="592" w:lineRule="exact"/>
        <w:ind w:left="0" w:right="0" w:firstLine="432"/>
        <w:jc w:val="both"/>
        <w:rPr>
          <w:rFonts w:hint="default" w:ascii="Times New Roman" w:hAnsi="Times New Roman" w:eastAsia="仿宋_GB2312" w:cs="Times New Roman"/>
          <w:color w:val="222222"/>
          <w:kern w:val="0"/>
          <w:sz w:val="24"/>
          <w:szCs w:val="24"/>
          <w:shd w:val="clear" w:color="auto" w:fill="FFFFFF"/>
          <w:lang w:val="en-US" w:eastAsia="zh-CN" w:bidi="ar"/>
        </w:rPr>
      </w:pPr>
      <w:r>
        <w:rPr>
          <w:rFonts w:hint="default" w:ascii="Times New Roman" w:hAnsi="Times New Roman" w:eastAsia="仿宋_GB2312" w:cs="Times New Roman"/>
          <w:color w:val="222222"/>
          <w:kern w:val="0"/>
          <w:sz w:val="24"/>
          <w:szCs w:val="24"/>
          <w:shd w:val="clear" w:color="auto" w:fill="FFFFFF"/>
          <w:lang w:val="en-US" w:eastAsia="zh-CN" w:bidi="ar"/>
        </w:rPr>
        <w:t>4、社会公众或服务对象满意度（6分）：我单位满意度为91%，部门该项指标得满分6分。</w:t>
      </w:r>
    </w:p>
    <w:p>
      <w:pPr>
        <w:keepNext w:val="0"/>
        <w:keepLines w:val="0"/>
        <w:pageBreakBefore w:val="0"/>
        <w:widowControl/>
        <w:kinsoku/>
        <w:wordWrap w:val="0"/>
        <w:topLinePunct w:val="0"/>
        <w:bidi w:val="0"/>
        <w:adjustRightInd w:val="0"/>
        <w:snapToGrid w:val="0"/>
        <w:spacing w:line="592" w:lineRule="exact"/>
        <w:ind w:firstLine="480" w:firstLineChars="200"/>
        <w:rPr>
          <w:rFonts w:hint="default" w:ascii="Times New Roman" w:hAnsi="Times New Roman" w:eastAsia="仿宋_GB2312" w:cs="Times New Roman"/>
          <w:b/>
          <w:bCs/>
          <w:kern w:val="0"/>
          <w:sz w:val="24"/>
          <w:szCs w:val="24"/>
        </w:rPr>
      </w:pPr>
      <w:bookmarkStart w:id="0" w:name="_Toc390113232"/>
      <w:r>
        <w:rPr>
          <w:rFonts w:hint="default" w:ascii="楷体" w:hAnsi="楷体" w:eastAsia="楷体" w:cs="楷体"/>
          <w:b w:val="0"/>
          <w:bCs w:val="0"/>
          <w:color w:val="000000"/>
          <w:sz w:val="24"/>
          <w:szCs w:val="24"/>
          <w:lang w:val="en-US" w:eastAsia="zh-CN"/>
        </w:rPr>
        <w:t>四、存在的主要问题</w:t>
      </w:r>
    </w:p>
    <w:p>
      <w:pPr>
        <w:keepNext w:val="0"/>
        <w:keepLines w:val="0"/>
        <w:pageBreakBefore w:val="0"/>
        <w:widowControl/>
        <w:kinsoku/>
        <w:wordWrap w:val="0"/>
        <w:topLinePunct w:val="0"/>
        <w:bidi w:val="0"/>
        <w:adjustRightInd w:val="0"/>
        <w:snapToGrid w:val="0"/>
        <w:spacing w:line="592" w:lineRule="exact"/>
        <w:ind w:firstLine="480" w:firstLineChars="200"/>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color w:val="000000"/>
          <w:kern w:val="0"/>
          <w:sz w:val="24"/>
          <w:szCs w:val="24"/>
        </w:rPr>
        <w:t>（一）年初预算与决算偏差太大;</w:t>
      </w:r>
    </w:p>
    <w:p>
      <w:pPr>
        <w:keepNext w:val="0"/>
        <w:keepLines w:val="0"/>
        <w:pageBreakBefore w:val="0"/>
        <w:widowControl/>
        <w:kinsoku/>
        <w:wordWrap w:val="0"/>
        <w:topLinePunct w:val="0"/>
        <w:bidi w:val="0"/>
        <w:adjustRightInd w:val="0"/>
        <w:snapToGrid w:val="0"/>
        <w:spacing w:line="592"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b w:val="0"/>
          <w:bCs/>
          <w:kern w:val="0"/>
          <w:sz w:val="24"/>
          <w:szCs w:val="24"/>
        </w:rPr>
        <w:t>（二）专项资金使用上存在挤占现象。</w:t>
      </w:r>
      <w:r>
        <w:rPr>
          <w:rFonts w:hint="default" w:ascii="Times New Roman" w:hAnsi="Times New Roman" w:eastAsia="仿宋_GB2312" w:cs="Times New Roman"/>
          <w:kern w:val="0"/>
          <w:sz w:val="24"/>
          <w:szCs w:val="24"/>
        </w:rPr>
        <w:t>由于单位编制预算时存在不合理的限制，导致人员基本支出和业务开展支出存在严重不足，挤占了专项资金，一定程度上影响了事业的发展。</w:t>
      </w:r>
    </w:p>
    <w:p>
      <w:pPr>
        <w:keepNext w:val="0"/>
        <w:keepLines w:val="0"/>
        <w:pageBreakBefore w:val="0"/>
        <w:widowControl/>
        <w:kinsoku/>
        <w:wordWrap w:val="0"/>
        <w:topLinePunct w:val="0"/>
        <w:bidi w:val="0"/>
        <w:adjustRightInd w:val="0"/>
        <w:snapToGrid w:val="0"/>
        <w:spacing w:line="592" w:lineRule="exact"/>
        <w:ind w:firstLine="64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b w:val="0"/>
          <w:bCs w:val="0"/>
          <w:kern w:val="0"/>
          <w:sz w:val="24"/>
          <w:szCs w:val="24"/>
        </w:rPr>
        <w:t>（三）多项科目无法纳入预算，影响工作开展。</w:t>
      </w:r>
      <w:r>
        <w:rPr>
          <w:rFonts w:hint="default" w:ascii="Times New Roman" w:hAnsi="Times New Roman" w:eastAsia="仿宋_GB2312" w:cs="Times New Roman"/>
          <w:kern w:val="0"/>
          <w:sz w:val="24"/>
          <w:szCs w:val="24"/>
        </w:rPr>
        <w:t>因收入来源有限，编制完人员预算后，基本无剩余资金编制其他必要支出科目，致使一些基本支出科目无法纳入预算编制，同时也使单个科目经费支出无法严格按照预算执行。</w:t>
      </w:r>
    </w:p>
    <w:p>
      <w:pPr>
        <w:keepNext w:val="0"/>
        <w:keepLines w:val="0"/>
        <w:pageBreakBefore w:val="0"/>
        <w:widowControl/>
        <w:kinsoku/>
        <w:wordWrap w:val="0"/>
        <w:topLinePunct w:val="0"/>
        <w:bidi w:val="0"/>
        <w:adjustRightInd w:val="0"/>
        <w:snapToGrid w:val="0"/>
        <w:spacing w:line="592" w:lineRule="exact"/>
        <w:ind w:firstLine="480" w:firstLineChars="200"/>
        <w:rPr>
          <w:rFonts w:hint="default" w:ascii="楷体" w:hAnsi="楷体" w:eastAsia="楷体" w:cs="楷体"/>
          <w:b w:val="0"/>
          <w:bCs w:val="0"/>
          <w:color w:val="000000"/>
          <w:sz w:val="24"/>
          <w:szCs w:val="24"/>
          <w:lang w:val="en-US" w:eastAsia="zh-CN"/>
        </w:rPr>
      </w:pPr>
      <w:r>
        <w:rPr>
          <w:rFonts w:hint="default" w:ascii="楷体" w:hAnsi="楷体" w:eastAsia="楷体" w:cs="楷体"/>
          <w:b w:val="0"/>
          <w:bCs w:val="0"/>
          <w:color w:val="000000"/>
          <w:sz w:val="24"/>
          <w:szCs w:val="24"/>
          <w:lang w:val="en-US" w:eastAsia="zh-CN"/>
        </w:rPr>
        <w:t>五、改进措施和有关建议</w:t>
      </w:r>
      <w:bookmarkEnd w:id="0"/>
    </w:p>
    <w:p>
      <w:pPr>
        <w:keepNext w:val="0"/>
        <w:keepLines w:val="0"/>
        <w:pageBreakBefore w:val="0"/>
        <w:kinsoku/>
        <w:topLinePunct w:val="0"/>
        <w:bidi w:val="0"/>
        <w:adjustRightInd w:val="0"/>
        <w:snapToGrid w:val="0"/>
        <w:spacing w:line="592" w:lineRule="exact"/>
        <w:ind w:firstLine="643"/>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（一）科学合理编制预算，严格执行预算</w:t>
      </w:r>
    </w:p>
    <w:p>
      <w:pPr>
        <w:keepNext w:val="0"/>
        <w:keepLines w:val="0"/>
        <w:pageBreakBefore w:val="0"/>
        <w:kinsoku/>
        <w:topLinePunct w:val="0"/>
        <w:bidi w:val="0"/>
        <w:adjustRightInd w:val="0"/>
        <w:snapToGrid w:val="0"/>
        <w:spacing w:line="592" w:lineRule="exact"/>
        <w:ind w:firstLine="64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keepNext w:val="0"/>
        <w:keepLines w:val="0"/>
        <w:pageBreakBefore w:val="0"/>
        <w:widowControl/>
        <w:tabs>
          <w:tab w:val="left" w:pos="284"/>
        </w:tabs>
        <w:kinsoku/>
        <w:wordWrap w:val="0"/>
        <w:topLinePunct w:val="0"/>
        <w:bidi w:val="0"/>
        <w:adjustRightInd w:val="0"/>
        <w:snapToGrid w:val="0"/>
        <w:spacing w:line="592" w:lineRule="exact"/>
        <w:ind w:firstLine="643"/>
        <w:rPr>
          <w:rFonts w:hint="default" w:ascii="Times New Roman" w:hAnsi="Times New Roman" w:eastAsia="仿宋_GB2312" w:cs="Times New Roman"/>
          <w:kern w:val="0"/>
          <w:sz w:val="24"/>
          <w:szCs w:val="24"/>
        </w:rPr>
      </w:pPr>
      <w:r>
        <w:rPr>
          <w:rFonts w:hint="default" w:ascii="Times New Roman" w:hAnsi="Times New Roman" w:eastAsia="仿宋_GB2312" w:cs="Times New Roman"/>
          <w:b w:val="0"/>
          <w:bCs w:val="0"/>
          <w:kern w:val="0"/>
          <w:sz w:val="24"/>
          <w:szCs w:val="24"/>
        </w:rPr>
        <w:t>（二）应严格落实专项资金使用管理规定，做到专款专用。同时财政部门应及时与各单位、各部门衔接，根据各单</w:t>
      </w:r>
      <w:r>
        <w:rPr>
          <w:rFonts w:hint="default" w:ascii="Times New Roman" w:hAnsi="Times New Roman" w:eastAsia="仿宋_GB2312" w:cs="Times New Roman"/>
          <w:kern w:val="0"/>
          <w:sz w:val="24"/>
          <w:szCs w:val="24"/>
        </w:rPr>
        <w:t>位的实际情况调增专项资金的预算安排，调增人员基本支出的预算安排。</w:t>
      </w:r>
    </w:p>
    <w:p>
      <w:pPr>
        <w:keepNext w:val="0"/>
        <w:keepLines w:val="0"/>
        <w:pageBreakBefore w:val="0"/>
        <w:widowControl/>
        <w:tabs>
          <w:tab w:val="left" w:pos="284"/>
        </w:tabs>
        <w:kinsoku/>
        <w:wordWrap w:val="0"/>
        <w:topLinePunct w:val="0"/>
        <w:bidi w:val="0"/>
        <w:adjustRightInd w:val="0"/>
        <w:snapToGrid w:val="0"/>
        <w:spacing w:line="592" w:lineRule="exact"/>
        <w:ind w:firstLine="643"/>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（三）应根据人员情况、业务开展需要，逐项做出预算计划，不留缺口，不留空项。</w:t>
      </w:r>
    </w:p>
    <w:p>
      <w:pPr>
        <w:pStyle w:val="2"/>
        <w:rPr>
          <w:rFonts w:hint="default" w:ascii="Times New Roman" w:hAnsi="Times New Roman" w:eastAsia="仿宋_GB2312" w:cs="Times New Roman"/>
          <w:b w:val="0"/>
          <w:bCs w:val="0"/>
          <w:kern w:val="0"/>
          <w:sz w:val="24"/>
          <w:szCs w:val="24"/>
        </w:rPr>
      </w:pPr>
    </w:p>
    <w:p>
      <w:pPr>
        <w:rPr>
          <w:rFonts w:hint="default" w:ascii="Times New Roman" w:hAnsi="Times New Roman" w:eastAsia="仿宋_GB2312" w:cs="Times New Roman"/>
          <w:b w:val="0"/>
          <w:bCs w:val="0"/>
          <w:kern w:val="0"/>
          <w:sz w:val="24"/>
          <w:szCs w:val="24"/>
        </w:rPr>
      </w:pPr>
    </w:p>
    <w:p>
      <w:pPr>
        <w:pStyle w:val="2"/>
        <w:rPr>
          <w:rFonts w:hint="default" w:ascii="Times New Roman" w:hAnsi="Times New Roman" w:eastAsia="仿宋_GB2312" w:cs="Times New Roman"/>
          <w:b w:val="0"/>
          <w:bCs w:val="0"/>
          <w:kern w:val="0"/>
          <w:sz w:val="24"/>
          <w:szCs w:val="24"/>
        </w:rPr>
      </w:pPr>
    </w:p>
    <w:p>
      <w:pPr>
        <w:rPr>
          <w:rFonts w:hint="default" w:ascii="Times New Roman" w:hAnsi="Times New Roman" w:eastAsia="仿宋_GB2312" w:cs="Times New Roman"/>
          <w:b w:val="0"/>
          <w:bCs w:val="0"/>
          <w:kern w:val="0"/>
          <w:sz w:val="24"/>
          <w:szCs w:val="24"/>
        </w:rPr>
      </w:pPr>
    </w:p>
    <w:p>
      <w:pPr>
        <w:pStyle w:val="2"/>
        <w:rPr>
          <w:rFonts w:hint="eastAsia" w:eastAsia="仿宋_GB2312" w:cs="Times New Roman"/>
          <w:b w:val="0"/>
          <w:bCs w:val="0"/>
          <w:kern w:val="0"/>
          <w:sz w:val="24"/>
          <w:szCs w:val="24"/>
          <w:lang w:val="en-US" w:eastAsia="zh-CN"/>
        </w:rPr>
      </w:pPr>
      <w:r>
        <w:rPr>
          <w:rFonts w:hint="eastAsia" w:eastAsia="仿宋_GB2312" w:cs="Times New Roman"/>
          <w:b w:val="0"/>
          <w:bCs w:val="0"/>
          <w:kern w:val="0"/>
          <w:sz w:val="24"/>
          <w:szCs w:val="24"/>
          <w:lang w:val="en-US" w:eastAsia="zh-CN"/>
        </w:rPr>
        <w:t xml:space="preserve">              </w:t>
      </w:r>
    </w:p>
    <w:p>
      <w:pPr>
        <w:pStyle w:val="2"/>
        <w:rPr>
          <w:rFonts w:hint="eastAsia" w:eastAsia="仿宋_GB2312" w:cs="Times New Roman"/>
          <w:b w:val="0"/>
          <w:bCs w:val="0"/>
          <w:kern w:val="0"/>
          <w:sz w:val="24"/>
          <w:szCs w:val="24"/>
          <w:lang w:val="en-US" w:eastAsia="zh-CN"/>
        </w:rPr>
      </w:pPr>
    </w:p>
    <w:p>
      <w:pPr>
        <w:pStyle w:val="2"/>
        <w:rPr>
          <w:rFonts w:hint="eastAsia" w:eastAsia="仿宋_GB2312" w:cs="Times New Roman"/>
          <w:b w:val="0"/>
          <w:bCs w:val="0"/>
          <w:kern w:val="0"/>
          <w:sz w:val="24"/>
          <w:szCs w:val="24"/>
          <w:lang w:val="en-US" w:eastAsia="zh-CN"/>
        </w:rPr>
      </w:pPr>
    </w:p>
    <w:p>
      <w:pPr>
        <w:pStyle w:val="2"/>
        <w:ind w:left="4814" w:leftChars="1264" w:hanging="2160" w:hangingChars="900"/>
        <w:rPr>
          <w:rFonts w:hint="eastAsia" w:eastAsia="仿宋_GB2312" w:cs="Times New Roman"/>
          <w:b w:val="0"/>
          <w:bCs w:val="0"/>
          <w:kern w:val="0"/>
          <w:sz w:val="24"/>
          <w:szCs w:val="24"/>
          <w:lang w:val="en-US" w:eastAsia="zh-CN"/>
        </w:rPr>
      </w:pPr>
      <w:r>
        <w:rPr>
          <w:rFonts w:hint="eastAsia" w:eastAsia="仿宋_GB2312" w:cs="Times New Roman"/>
          <w:b w:val="0"/>
          <w:bCs w:val="0"/>
          <w:kern w:val="0"/>
          <w:sz w:val="24"/>
          <w:szCs w:val="24"/>
          <w:lang w:val="en-US" w:eastAsia="zh-CN"/>
        </w:rPr>
        <w:t xml:space="preserve"> 益阳南洞庭自然保护区大通湖区管理局</w:t>
      </w:r>
    </w:p>
    <w:p>
      <w:pPr>
        <w:pStyle w:val="2"/>
        <w:ind w:left="5290" w:leftChars="2176" w:hanging="720" w:hangingChars="300"/>
        <w:rPr>
          <w:rFonts w:hint="default"/>
          <w:sz w:val="24"/>
          <w:szCs w:val="24"/>
          <w:lang w:val="en-US" w:eastAsia="zh-CN"/>
        </w:rPr>
      </w:pPr>
      <w:r>
        <w:rPr>
          <w:rFonts w:hint="eastAsia" w:eastAsia="仿宋_GB2312" w:cs="Times New Roman"/>
          <w:b w:val="0"/>
          <w:bCs w:val="0"/>
          <w:kern w:val="0"/>
          <w:sz w:val="24"/>
          <w:szCs w:val="24"/>
          <w:lang w:val="en-US" w:eastAsia="zh-CN"/>
        </w:rPr>
        <w:t>2021年11月18日</w:t>
      </w:r>
    </w:p>
    <w:p>
      <w:pPr>
        <w:pStyle w:val="6"/>
        <w:keepNext w:val="0"/>
        <w:keepLines w:val="0"/>
        <w:pageBreakBefore w:val="0"/>
        <w:kinsoku/>
        <w:topLinePunct w:val="0"/>
        <w:bidi w:val="0"/>
        <w:adjustRightInd w:val="0"/>
        <w:snapToGrid w:val="0"/>
        <w:spacing w:line="592"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0077E"/>
    <w:rsid w:val="0D020D00"/>
    <w:rsid w:val="14912AC2"/>
    <w:rsid w:val="14E67689"/>
    <w:rsid w:val="19A74E14"/>
    <w:rsid w:val="19E84F05"/>
    <w:rsid w:val="1A167D75"/>
    <w:rsid w:val="1B0865E0"/>
    <w:rsid w:val="1F153002"/>
    <w:rsid w:val="25987B6A"/>
    <w:rsid w:val="26676E31"/>
    <w:rsid w:val="290262E3"/>
    <w:rsid w:val="29B905A1"/>
    <w:rsid w:val="2D000047"/>
    <w:rsid w:val="30C02C73"/>
    <w:rsid w:val="31F57FAD"/>
    <w:rsid w:val="32B076AD"/>
    <w:rsid w:val="35551771"/>
    <w:rsid w:val="38A31FCA"/>
    <w:rsid w:val="3A5F71BB"/>
    <w:rsid w:val="3ABB06E9"/>
    <w:rsid w:val="3B9154B3"/>
    <w:rsid w:val="3C6A3D54"/>
    <w:rsid w:val="3D317DE3"/>
    <w:rsid w:val="401C3D39"/>
    <w:rsid w:val="41FA00D2"/>
    <w:rsid w:val="420712A8"/>
    <w:rsid w:val="4A2737DF"/>
    <w:rsid w:val="4A3C0811"/>
    <w:rsid w:val="4D7F6C48"/>
    <w:rsid w:val="522D542A"/>
    <w:rsid w:val="58207108"/>
    <w:rsid w:val="5A1812A9"/>
    <w:rsid w:val="5D35085C"/>
    <w:rsid w:val="632C63E8"/>
    <w:rsid w:val="66B6383F"/>
    <w:rsid w:val="67AE62A2"/>
    <w:rsid w:val="6B5B0093"/>
    <w:rsid w:val="6B7705BC"/>
    <w:rsid w:val="6F2E6C0C"/>
    <w:rsid w:val="713C3B0D"/>
    <w:rsid w:val="775E50CD"/>
    <w:rsid w:val="7BCF32C6"/>
    <w:rsid w:val="7C6D5187"/>
    <w:rsid w:val="7F523411"/>
    <w:rsid w:val="7F667BB5"/>
    <w:rsid w:val="7FFE2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color w:val="0069C5"/>
      <w:u w:val="none"/>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000000"/>
      <w:u w:val="none"/>
    </w:rPr>
  </w:style>
  <w:style w:type="character" w:styleId="17">
    <w:name w:val="HTML Code"/>
    <w:basedOn w:val="10"/>
    <w:qFormat/>
    <w:uiPriority w:val="0"/>
    <w:rPr>
      <w:rFonts w:hint="default" w:ascii="Consolas" w:hAnsi="Consolas" w:eastAsia="Consolas" w:cs="Consolas"/>
      <w:color w:val="C7254E"/>
      <w:sz w:val="21"/>
      <w:szCs w:val="21"/>
      <w:shd w:val="clear" w:fill="F9F2F4"/>
    </w:rPr>
  </w:style>
  <w:style w:type="character" w:styleId="18">
    <w:name w:val="HTML Cite"/>
    <w:basedOn w:val="10"/>
    <w:qFormat/>
    <w:uiPriority w:val="0"/>
  </w:style>
  <w:style w:type="character" w:styleId="19">
    <w:name w:val="HTML Keyboard"/>
    <w:basedOn w:val="10"/>
    <w:qFormat/>
    <w:uiPriority w:val="0"/>
    <w:rPr>
      <w:rFonts w:ascii="Consolas" w:hAnsi="Consolas" w:eastAsia="Consolas" w:cs="Consolas"/>
      <w:color w:val="FFFFFF"/>
      <w:sz w:val="21"/>
      <w:szCs w:val="21"/>
      <w:shd w:val="clear" w:fill="333333"/>
    </w:rPr>
  </w:style>
  <w:style w:type="character" w:styleId="20">
    <w:name w:val="HTML Sample"/>
    <w:basedOn w:val="10"/>
    <w:qFormat/>
    <w:uiPriority w:val="0"/>
    <w:rPr>
      <w:rFonts w:hint="default" w:ascii="Consolas" w:hAnsi="Consolas" w:eastAsia="Consolas" w:cs="Consolas"/>
      <w:sz w:val="21"/>
      <w:szCs w:val="21"/>
    </w:rPr>
  </w:style>
  <w:style w:type="character" w:customStyle="1" w:styleId="21">
    <w:name w:val="focus-area"/>
    <w:basedOn w:val="10"/>
    <w:qFormat/>
    <w:uiPriority w:val="0"/>
    <w:rPr>
      <w:rFonts w:ascii="微软雅黑" w:hAnsi="微软雅黑" w:eastAsia="微软雅黑" w:cs="微软雅黑"/>
      <w:color w:val="FFFFFF"/>
      <w:sz w:val="20"/>
      <w:szCs w:val="20"/>
    </w:rPr>
  </w:style>
  <w:style w:type="character" w:customStyle="1" w:styleId="22">
    <w:name w:val="hover19"/>
    <w:basedOn w:val="10"/>
    <w:qFormat/>
    <w:uiPriority w:val="0"/>
  </w:style>
  <w:style w:type="character" w:customStyle="1" w:styleId="23">
    <w:name w:val="on3"/>
    <w:basedOn w:val="10"/>
    <w:qFormat/>
    <w:uiPriority w:val="0"/>
    <w:rPr>
      <w:shd w:val="clear" w:fill="FCFCFC"/>
    </w:rPr>
  </w:style>
  <w:style w:type="character" w:customStyle="1" w:styleId="24">
    <w:name w:val="on4"/>
    <w:basedOn w:val="10"/>
    <w:qFormat/>
    <w:uiPriority w:val="0"/>
  </w:style>
  <w:style w:type="character" w:customStyle="1" w:styleId="25">
    <w:name w:val="next4"/>
    <w:basedOn w:val="10"/>
    <w:qFormat/>
    <w:uiPriority w:val="0"/>
  </w:style>
  <w:style w:type="character" w:customStyle="1" w:styleId="26">
    <w:name w:val="protection-tab-icon"/>
    <w:basedOn w:val="10"/>
    <w:qFormat/>
    <w:uiPriority w:val="0"/>
  </w:style>
  <w:style w:type="character" w:customStyle="1" w:styleId="27">
    <w:name w:val="sp3"/>
    <w:basedOn w:val="10"/>
    <w:qFormat/>
    <w:uiPriority w:val="0"/>
  </w:style>
  <w:style w:type="character" w:customStyle="1" w:styleId="28">
    <w:name w:val="sp4"/>
    <w:basedOn w:val="10"/>
    <w:qFormat/>
    <w:uiPriority w:val="0"/>
  </w:style>
  <w:style w:type="character" w:customStyle="1" w:styleId="29">
    <w:name w:val="sp6"/>
    <w:basedOn w:val="10"/>
    <w:qFormat/>
    <w:uiPriority w:val="0"/>
  </w:style>
  <w:style w:type="character" w:customStyle="1" w:styleId="30">
    <w:name w:val="sp5"/>
    <w:basedOn w:val="10"/>
    <w:qFormat/>
    <w:uiPriority w:val="0"/>
  </w:style>
  <w:style w:type="character" w:customStyle="1" w:styleId="31">
    <w:name w:val="sp7"/>
    <w:basedOn w:val="10"/>
    <w:qFormat/>
    <w:uiPriority w:val="0"/>
  </w:style>
  <w:style w:type="character" w:customStyle="1" w:styleId="32">
    <w:name w:val="sp1"/>
    <w:basedOn w:val="10"/>
    <w:qFormat/>
    <w:uiPriority w:val="0"/>
  </w:style>
  <w:style w:type="character" w:customStyle="1" w:styleId="33">
    <w:name w:val="sp2"/>
    <w:basedOn w:val="10"/>
    <w:qFormat/>
    <w:uiPriority w:val="0"/>
  </w:style>
  <w:style w:type="character" w:customStyle="1" w:styleId="34">
    <w:name w:val="s3"/>
    <w:basedOn w:val="10"/>
    <w:qFormat/>
    <w:uiPriority w:val="0"/>
  </w:style>
  <w:style w:type="character" w:customStyle="1" w:styleId="35">
    <w:name w:val="last5"/>
    <w:basedOn w:val="10"/>
    <w:qFormat/>
    <w:uiPriority w:val="0"/>
  </w:style>
  <w:style w:type="character" w:customStyle="1" w:styleId="36">
    <w:name w:val="last6"/>
    <w:basedOn w:val="10"/>
    <w:qFormat/>
    <w:uiPriority w:val="0"/>
  </w:style>
  <w:style w:type="character" w:customStyle="1" w:styleId="37">
    <w:name w:val="time2"/>
    <w:basedOn w:val="10"/>
    <w:qFormat/>
    <w:uiPriority w:val="0"/>
    <w:rPr>
      <w:rFonts w:ascii="Arial" w:hAnsi="Arial" w:cs="Arial"/>
      <w:color w:val="999999"/>
      <w:sz w:val="16"/>
      <w:szCs w:val="16"/>
    </w:rPr>
  </w:style>
  <w:style w:type="character" w:customStyle="1" w:styleId="38">
    <w:name w:val="after2"/>
    <w:basedOn w:val="10"/>
    <w:qFormat/>
    <w:uiPriority w:val="0"/>
  </w:style>
  <w:style w:type="character" w:customStyle="1" w:styleId="39">
    <w:name w:val="select2-selection__rendered"/>
    <w:basedOn w:val="10"/>
    <w:qFormat/>
    <w:uiPriority w:val="0"/>
    <w:rPr>
      <w:sz w:val="14"/>
      <w:szCs w:val="14"/>
    </w:rPr>
  </w:style>
  <w:style w:type="character" w:customStyle="1" w:styleId="40">
    <w:name w:val="active4"/>
    <w:basedOn w:val="10"/>
    <w:qFormat/>
    <w:uiPriority w:val="0"/>
    <w:rPr>
      <w:color w:val="FFFFFF"/>
      <w:shd w:val="clear" w:fill="0069AE"/>
    </w:rPr>
  </w:style>
  <w:style w:type="character" w:customStyle="1" w:styleId="41">
    <w:name w:val="active5"/>
    <w:basedOn w:val="10"/>
    <w:qFormat/>
    <w:uiPriority w:val="0"/>
    <w:rPr>
      <w:shd w:val="clear" w:fill="20A0E4"/>
    </w:rPr>
  </w:style>
  <w:style w:type="character" w:customStyle="1" w:styleId="42">
    <w:name w:val="box6"/>
    <w:basedOn w:val="10"/>
    <w:qFormat/>
    <w:uiPriority w:val="0"/>
    <w:rPr>
      <w:rFonts w:ascii="微软雅黑" w:hAnsi="微软雅黑" w:eastAsia="微软雅黑" w:cs="微软雅黑"/>
      <w:sz w:val="16"/>
      <w:szCs w:val="16"/>
    </w:rPr>
  </w:style>
  <w:style w:type="character" w:customStyle="1" w:styleId="43">
    <w:name w:val="bsharetext"/>
    <w:basedOn w:val="10"/>
    <w:qFormat/>
    <w:uiPriority w:val="0"/>
  </w:style>
  <w:style w:type="character" w:customStyle="1" w:styleId="44">
    <w:name w:val="hover78"/>
    <w:basedOn w:val="10"/>
    <w:qFormat/>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赛气的弘锅</cp:lastModifiedBy>
  <cp:lastPrinted>2021-11-16T06:51:00Z</cp:lastPrinted>
  <dcterms:modified xsi:type="dcterms:W3CDTF">2021-11-24T01:33:57Z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3B24B1577CC14DFE8483E0220F861DDC</vt:lpwstr>
  </property>
</Properties>
</file>