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color w:val="000000"/>
          <w:kern w:val="0"/>
          <w:sz w:val="32"/>
          <w:szCs w:val="32"/>
        </w:rPr>
      </w:pPr>
      <w:r>
        <w:rPr>
          <w:rFonts w:hAnsi="黑体" w:eastAsia="黑体"/>
          <w:color w:val="000000"/>
          <w:kern w:val="0"/>
          <w:sz w:val="32"/>
          <w:szCs w:val="32"/>
        </w:rPr>
        <w:t>附件</w:t>
      </w:r>
      <w:r>
        <w:rPr>
          <w:rFonts w:eastAsia="黑体"/>
          <w:color w:val="000000"/>
          <w:kern w:val="0"/>
          <w:sz w:val="32"/>
          <w:szCs w:val="32"/>
        </w:rPr>
        <w:t>3</w:t>
      </w:r>
    </w:p>
    <w:p>
      <w:pPr>
        <w:spacing w:line="360" w:lineRule="auto"/>
        <w:jc w:val="center"/>
        <w:rPr>
          <w:rFonts w:hint="default" w:hAnsi="黑体" w:eastAsia="黑体"/>
          <w:color w:val="000000"/>
          <w:kern w:val="0"/>
          <w:sz w:val="32"/>
          <w:szCs w:val="32"/>
          <w:lang w:val="en-US" w:eastAsia="zh-CN"/>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20</w:t>
      </w:r>
      <w:r>
        <w:rPr>
          <w:rFonts w:hint="eastAsia" w:ascii="方正大标宋简体" w:eastAsia="方正大标宋简体" w:cs="仿宋_GB2312"/>
          <w:color w:val="000000"/>
          <w:sz w:val="44"/>
          <w:szCs w:val="44"/>
        </w:rPr>
        <w:t>年部门整体支出绩效自评表</w:t>
      </w:r>
    </w:p>
    <w:tbl>
      <w:tblPr>
        <w:tblStyle w:val="9"/>
        <w:tblW w:w="1038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916"/>
        <w:gridCol w:w="1284"/>
        <w:gridCol w:w="449"/>
        <w:gridCol w:w="603"/>
        <w:gridCol w:w="1885"/>
        <w:gridCol w:w="1622"/>
        <w:gridCol w:w="5"/>
        <w:gridCol w:w="153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450" w:type="dxa"/>
            <w:gridSpan w:val="4"/>
            <w:noWrap w:val="0"/>
            <w:vAlign w:val="center"/>
          </w:tcPr>
          <w:p>
            <w:pPr>
              <w:spacing w:line="360" w:lineRule="auto"/>
              <w:jc w:val="center"/>
              <w:rPr>
                <w:rFonts w:hAnsi="黑体" w:eastAsia="黑体"/>
                <w:color w:val="000000"/>
                <w:kern w:val="0"/>
                <w:sz w:val="32"/>
                <w:szCs w:val="32"/>
                <w:vertAlign w:val="baseline"/>
              </w:rPr>
            </w:pPr>
            <w:r>
              <w:rPr>
                <w:rFonts w:hint="eastAsia" w:cs="宋体"/>
                <w:color w:val="000000"/>
                <w:sz w:val="24"/>
                <w:lang w:val="en-US" w:eastAsia="zh-CN"/>
              </w:rPr>
              <w:t>预算单位名称</w:t>
            </w:r>
          </w:p>
        </w:tc>
        <w:tc>
          <w:tcPr>
            <w:tcW w:w="6934" w:type="dxa"/>
            <w:gridSpan w:val="6"/>
            <w:noWrap w:val="0"/>
            <w:vAlign w:val="center"/>
          </w:tcPr>
          <w:p>
            <w:pPr>
              <w:spacing w:line="360" w:lineRule="auto"/>
              <w:jc w:val="center"/>
              <w:rPr>
                <w:rFonts w:hint="eastAsia" w:hAnsi="黑体" w:eastAsia="黑体"/>
                <w:color w:val="000000"/>
                <w:kern w:val="0"/>
                <w:sz w:val="32"/>
                <w:szCs w:val="32"/>
                <w:vertAlign w:val="baseline"/>
                <w:lang w:val="en-US" w:eastAsia="zh-CN"/>
              </w:rPr>
            </w:pPr>
            <w:r>
              <w:rPr>
                <w:rFonts w:hint="eastAsia" w:cs="宋体"/>
                <w:color w:val="000000"/>
                <w:sz w:val="24"/>
                <w:lang w:val="en-US" w:eastAsia="zh-CN"/>
              </w:rPr>
              <w:t>益阳市生态环境局大通湖分局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年度预算资金（万元）</w:t>
            </w:r>
          </w:p>
        </w:tc>
        <w:tc>
          <w:tcPr>
            <w:tcW w:w="3252" w:type="dxa"/>
            <w:gridSpan w:val="4"/>
            <w:noWrap w:val="0"/>
            <w:vAlign w:val="center"/>
          </w:tcPr>
          <w:p>
            <w:pPr>
              <w:spacing w:line="360" w:lineRule="auto"/>
              <w:jc w:val="center"/>
              <w:rPr>
                <w:rFonts w:hint="eastAsia" w:cs="宋体"/>
                <w:color w:val="000000"/>
                <w:sz w:val="24"/>
                <w:lang w:val="en-US" w:eastAsia="zh-CN"/>
              </w:rPr>
            </w:pPr>
          </w:p>
        </w:tc>
        <w:tc>
          <w:tcPr>
            <w:tcW w:w="188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年初预算数</w:t>
            </w:r>
          </w:p>
        </w:tc>
        <w:tc>
          <w:tcPr>
            <w:tcW w:w="1622"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全年预算数</w:t>
            </w:r>
          </w:p>
        </w:tc>
        <w:tc>
          <w:tcPr>
            <w:tcW w:w="1540"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全年执行数</w:t>
            </w:r>
          </w:p>
        </w:tc>
        <w:tc>
          <w:tcPr>
            <w:tcW w:w="1284"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center"/>
          </w:tcPr>
          <w:p>
            <w:pPr>
              <w:spacing w:line="360" w:lineRule="auto"/>
              <w:jc w:val="center"/>
              <w:rPr>
                <w:rFonts w:hint="eastAsia" w:cs="宋体"/>
                <w:color w:val="000000"/>
                <w:sz w:val="24"/>
                <w:lang w:val="en-US" w:eastAsia="zh-CN"/>
              </w:rPr>
            </w:pPr>
          </w:p>
        </w:tc>
        <w:tc>
          <w:tcPr>
            <w:tcW w:w="3252"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年度资金总额</w:t>
            </w:r>
          </w:p>
        </w:tc>
        <w:tc>
          <w:tcPr>
            <w:tcW w:w="188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95</w:t>
            </w:r>
          </w:p>
        </w:tc>
        <w:tc>
          <w:tcPr>
            <w:tcW w:w="1622"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309.41</w:t>
            </w:r>
          </w:p>
        </w:tc>
        <w:tc>
          <w:tcPr>
            <w:tcW w:w="1540"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309.41</w:t>
            </w:r>
          </w:p>
        </w:tc>
        <w:tc>
          <w:tcPr>
            <w:tcW w:w="1284"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center"/>
          </w:tcPr>
          <w:p>
            <w:pPr>
              <w:spacing w:line="360" w:lineRule="auto"/>
              <w:jc w:val="center"/>
              <w:rPr>
                <w:rFonts w:hint="eastAsia" w:cs="宋体"/>
                <w:color w:val="000000"/>
                <w:sz w:val="24"/>
                <w:lang w:val="en-US" w:eastAsia="zh-CN"/>
              </w:rPr>
            </w:pPr>
          </w:p>
        </w:tc>
        <w:tc>
          <w:tcPr>
            <w:tcW w:w="3252"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其中：当年财政拨款</w:t>
            </w:r>
          </w:p>
        </w:tc>
        <w:tc>
          <w:tcPr>
            <w:tcW w:w="188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95</w:t>
            </w:r>
          </w:p>
        </w:tc>
        <w:tc>
          <w:tcPr>
            <w:tcW w:w="1622"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309.41</w:t>
            </w:r>
          </w:p>
        </w:tc>
        <w:tc>
          <w:tcPr>
            <w:tcW w:w="1540"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309.41</w:t>
            </w:r>
          </w:p>
        </w:tc>
        <w:tc>
          <w:tcPr>
            <w:tcW w:w="1284"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center"/>
          </w:tcPr>
          <w:p>
            <w:pPr>
              <w:spacing w:line="360" w:lineRule="auto"/>
              <w:jc w:val="center"/>
              <w:rPr>
                <w:rFonts w:hint="eastAsia" w:cs="宋体"/>
                <w:color w:val="000000"/>
                <w:sz w:val="24"/>
                <w:lang w:val="en-US" w:eastAsia="zh-CN"/>
              </w:rPr>
            </w:pPr>
          </w:p>
        </w:tc>
        <w:tc>
          <w:tcPr>
            <w:tcW w:w="3252"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上年结转资金</w:t>
            </w:r>
          </w:p>
        </w:tc>
        <w:tc>
          <w:tcPr>
            <w:tcW w:w="1885" w:type="dxa"/>
            <w:noWrap w:val="0"/>
            <w:vAlign w:val="center"/>
          </w:tcPr>
          <w:p>
            <w:pPr>
              <w:spacing w:line="360" w:lineRule="auto"/>
              <w:jc w:val="center"/>
              <w:rPr>
                <w:rFonts w:hint="default" w:cs="宋体"/>
                <w:color w:val="000000"/>
                <w:sz w:val="24"/>
                <w:lang w:val="en-US" w:eastAsia="zh-CN"/>
              </w:rPr>
            </w:pPr>
          </w:p>
        </w:tc>
        <w:tc>
          <w:tcPr>
            <w:tcW w:w="1622" w:type="dxa"/>
            <w:noWrap w:val="0"/>
            <w:vAlign w:val="center"/>
          </w:tcPr>
          <w:p>
            <w:pPr>
              <w:spacing w:line="360" w:lineRule="auto"/>
              <w:jc w:val="center"/>
              <w:rPr>
                <w:rFonts w:hint="default" w:cs="宋体"/>
                <w:color w:val="000000"/>
                <w:sz w:val="24"/>
                <w:lang w:val="en-US" w:eastAsia="zh-CN"/>
              </w:rPr>
            </w:pPr>
          </w:p>
        </w:tc>
        <w:tc>
          <w:tcPr>
            <w:tcW w:w="1540" w:type="dxa"/>
            <w:gridSpan w:val="2"/>
            <w:noWrap w:val="0"/>
            <w:vAlign w:val="center"/>
          </w:tcPr>
          <w:p>
            <w:pPr>
              <w:spacing w:line="360" w:lineRule="auto"/>
              <w:jc w:val="center"/>
              <w:rPr>
                <w:rFonts w:hint="default" w:cs="宋体"/>
                <w:color w:val="000000"/>
                <w:sz w:val="24"/>
                <w:lang w:val="en-US" w:eastAsia="zh-CN"/>
              </w:rPr>
            </w:pP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center"/>
          </w:tcPr>
          <w:p>
            <w:pPr>
              <w:spacing w:line="360" w:lineRule="auto"/>
              <w:jc w:val="center"/>
              <w:rPr>
                <w:rFonts w:hint="eastAsia" w:cs="宋体"/>
                <w:color w:val="000000"/>
                <w:sz w:val="24"/>
                <w:lang w:val="en-US" w:eastAsia="zh-CN"/>
              </w:rPr>
            </w:pPr>
          </w:p>
        </w:tc>
        <w:tc>
          <w:tcPr>
            <w:tcW w:w="3252"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其他资金</w:t>
            </w:r>
          </w:p>
        </w:tc>
        <w:tc>
          <w:tcPr>
            <w:tcW w:w="1885" w:type="dxa"/>
            <w:noWrap w:val="0"/>
            <w:vAlign w:val="center"/>
          </w:tcPr>
          <w:p>
            <w:pPr>
              <w:spacing w:line="360" w:lineRule="auto"/>
              <w:jc w:val="center"/>
              <w:rPr>
                <w:rFonts w:hint="eastAsia" w:cs="宋体"/>
                <w:color w:val="000000"/>
                <w:sz w:val="24"/>
                <w:lang w:val="en-US" w:eastAsia="zh-CN"/>
              </w:rPr>
            </w:pPr>
          </w:p>
        </w:tc>
        <w:tc>
          <w:tcPr>
            <w:tcW w:w="1622" w:type="dxa"/>
            <w:noWrap w:val="0"/>
            <w:vAlign w:val="center"/>
          </w:tcPr>
          <w:p>
            <w:pPr>
              <w:spacing w:line="360" w:lineRule="auto"/>
              <w:jc w:val="center"/>
              <w:rPr>
                <w:rFonts w:hint="default" w:cs="宋体"/>
                <w:color w:val="000000"/>
                <w:sz w:val="24"/>
                <w:lang w:val="en-US" w:eastAsia="zh-CN"/>
              </w:rPr>
            </w:pPr>
          </w:p>
        </w:tc>
        <w:tc>
          <w:tcPr>
            <w:tcW w:w="1540" w:type="dxa"/>
            <w:gridSpan w:val="2"/>
            <w:noWrap w:val="0"/>
            <w:vAlign w:val="center"/>
          </w:tcPr>
          <w:p>
            <w:pPr>
              <w:spacing w:line="360" w:lineRule="auto"/>
              <w:jc w:val="center"/>
              <w:rPr>
                <w:rFonts w:hint="default" w:cs="宋体"/>
                <w:color w:val="000000"/>
                <w:sz w:val="24"/>
                <w:lang w:val="en-US" w:eastAsia="zh-CN"/>
              </w:rPr>
            </w:pP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17"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年度总体目标</w:t>
            </w:r>
          </w:p>
        </w:tc>
        <w:tc>
          <w:tcPr>
            <w:tcW w:w="4221" w:type="dxa"/>
            <w:gridSpan w:val="4"/>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预期目标</w:t>
            </w:r>
          </w:p>
        </w:tc>
        <w:tc>
          <w:tcPr>
            <w:tcW w:w="4446"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717" w:type="dxa"/>
            <w:gridSpan w:val="2"/>
            <w:vMerge w:val="continue"/>
            <w:noWrap w:val="0"/>
            <w:vAlign w:val="center"/>
          </w:tcPr>
          <w:p>
            <w:pPr>
              <w:spacing w:line="360" w:lineRule="auto"/>
              <w:jc w:val="center"/>
              <w:rPr>
                <w:rFonts w:hint="eastAsia" w:cs="宋体"/>
                <w:color w:val="000000"/>
                <w:sz w:val="24"/>
                <w:lang w:val="en-US" w:eastAsia="zh-CN"/>
              </w:rPr>
            </w:pPr>
          </w:p>
        </w:tc>
        <w:tc>
          <w:tcPr>
            <w:tcW w:w="4221" w:type="dxa"/>
            <w:gridSpan w:val="4"/>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20" w:firstLineChars="200"/>
              <w:jc w:val="left"/>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一）有效削减和控制土壤中各类污染物浓度，提升生态环境承载力，保障地块后续开发建设，降低周边居民和敏感受体环境安全风险。使治理区域及周边环境质量得到切实改善，使广大人民群众的正常生活和健康安全得到切实维护。产出指标：1.开展全区环境保护科技工作。组织环境保护重大科学研究和技术工程示范，推动环境技术管理体系建设，组织协调环境保护科技成果的鉴定、交流与推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20" w:firstLineChars="200"/>
              <w:jc w:val="left"/>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（二）开展全区环境保护对外合作交流。组织协调国外环境保护项目、资金、技术的引进工作；组织协调、承办环境保护国际条约中有关本区的履约工作；参与协调处理涉外和跨区环境保护事务。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20" w:firstLineChars="20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三）组织、指导、协调和开展环境保护宣传教育工作。制定并组织实施全区环境保护宣传教育计划；组织开展生态文明建设和环境友好型社会建设的有关宣传教育工作；推动社会公众和社会组织参与环境保护，负责环境保护奖惩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20" w:firstLineChars="200"/>
              <w:jc w:val="left"/>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（四）监督、指导各乡、街和有关部门的环境保护工作；负责全区环境保护系统队伍的规范化、标准化建设。效益指标;指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default" w:ascii="宋体" w:hAnsi="宋体" w:eastAsia="宋体" w:cs="宋体"/>
                <w:i w:val="0"/>
                <w:caps w:val="0"/>
                <w:color w:val="333333"/>
                <w:spacing w:val="0"/>
                <w:kern w:val="0"/>
                <w:sz w:val="21"/>
                <w:szCs w:val="21"/>
                <w:lang w:val="en-US" w:eastAsia="zh-CN" w:bidi="ar"/>
              </w:rPr>
            </w:pPr>
          </w:p>
          <w:p>
            <w:pPr>
              <w:spacing w:line="360" w:lineRule="auto"/>
              <w:jc w:val="center"/>
              <w:rPr>
                <w:rFonts w:hint="default" w:eastAsia="宋体" w:cs="宋体"/>
                <w:color w:val="000000"/>
                <w:sz w:val="24"/>
                <w:lang w:val="en-US" w:eastAsia="zh-CN"/>
              </w:rPr>
            </w:pPr>
            <w:r>
              <w:rPr>
                <w:rFonts w:hint="eastAsia" w:ascii="宋体" w:hAnsi="宋体" w:eastAsia="宋体" w:cs="宋体"/>
                <w:i w:val="0"/>
                <w:caps w:val="0"/>
                <w:color w:val="333333"/>
                <w:spacing w:val="0"/>
                <w:kern w:val="0"/>
                <w:sz w:val="21"/>
                <w:szCs w:val="21"/>
                <w:lang w:val="en-US" w:eastAsia="zh-CN" w:bidi="ar"/>
              </w:rPr>
              <w:t xml:space="preserve"> </w:t>
            </w:r>
          </w:p>
        </w:tc>
        <w:tc>
          <w:tcPr>
            <w:tcW w:w="4446" w:type="dxa"/>
            <w:gridSpan w:val="4"/>
            <w:noWrap w:val="0"/>
            <w:vAlign w:val="center"/>
          </w:tcPr>
          <w:p>
            <w:pPr>
              <w:pStyle w:val="45"/>
              <w:spacing w:line="600" w:lineRule="exact"/>
              <w:ind w:left="0" w:leftChars="0" w:firstLine="0" w:firstLine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2020年工作任务完成情况</w:t>
            </w:r>
          </w:p>
          <w:p>
            <w:pPr>
              <w:overflowPunct w:val="0"/>
              <w:autoSpaceDE w:val="0"/>
              <w:autoSpaceDN w:val="0"/>
              <w:adjustRightInd w:val="0"/>
              <w:snapToGrid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（一）夏季攻势完成情况</w:t>
            </w:r>
          </w:p>
          <w:p>
            <w:pPr>
              <w:overflowPunct w:val="0"/>
              <w:autoSpaceDE w:val="0"/>
              <w:autoSpaceDN w:val="0"/>
              <w:adjustRightInd w:val="0"/>
              <w:snapToGrid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全市2020年污染防治攻坚战“夏季攻势”任务清单，涉及我区的有4个方面的内容，目前基本完成。突出环境问题方面，涉及我区的问题6个，5个已基本整改完成，1个达到序时进度。省级及以上工业园区水环境问题整治方面，大通湖区工业园雨污分流整改任务已完成并销号。“千吨万人”饮用水源地生态环境问题整治方面，涉及两个乡镇，北洲子镇鑫源自来水厂水源地及千山红镇种福自来水厂水源地共8个问题，已完成整改并销号。行政村生活污水治理方面，全区共计有4个行政村污水治理任务，已完成整改并销号。</w:t>
            </w:r>
          </w:p>
          <w:p>
            <w:pPr>
              <w:overflowPunct w:val="0"/>
              <w:autoSpaceDE w:val="0"/>
              <w:autoSpaceDN w:val="0"/>
              <w:adjustRightInd w:val="0"/>
              <w:snapToGrid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（二）大气污染防治工作</w:t>
            </w:r>
          </w:p>
          <w:p>
            <w:pPr>
              <w:overflowPunct w:val="0"/>
              <w:autoSpaceDE w:val="0"/>
              <w:autoSpaceDN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1、环境空气质量达标情况。1-10月，我区空气自动站考核天数305天，空气质量优良天数为299天，优良率为98％，高于84％目标值，pm2.5平均浓度30ug/m3，低于38ug/m3的目标要求。</w:t>
            </w:r>
          </w:p>
          <w:p>
            <w:pPr>
              <w:overflowPunct w:val="0"/>
              <w:autoSpaceDE w:val="0"/>
              <w:autoSpaceDN w:val="0"/>
              <w:adjustRightInd w:val="0"/>
              <w:snapToGrid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（三）水污染防治工作</w:t>
            </w:r>
          </w:p>
          <w:p>
            <w:pPr>
              <w:overflowPunct w:val="0"/>
              <w:autoSpaceDE w:val="0"/>
              <w:autoSpaceDN w:val="0"/>
              <w:adjustRightInd w:val="0"/>
              <w:snapToGrid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1、大通湖水质1-10月总磷均值0.1065mg/L，全年总体评价结果有望达到Ⅳ类。</w:t>
            </w:r>
          </w:p>
          <w:p>
            <w:pPr>
              <w:overflowPunct w:val="0"/>
              <w:autoSpaceDE w:val="0"/>
              <w:autoSpaceDN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2、大通湖10个水污染防治资金项目目前已有9个完成验收资料编制并报送至市生态环境局水科待组织审查，还有1个正着编制验收资料，12月31日前完成验收。</w:t>
            </w:r>
          </w:p>
          <w:p>
            <w:pPr>
              <w:overflowPunct w:val="0"/>
              <w:autoSpaceDE w:val="0"/>
              <w:autoSpaceDN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四）中央、省环保督察反馈问题整改情况：2017年中央环保督察反馈2个问题，已完成整改任务，销号资料已报送至市里；2018年中央环保督察“回头看”的任务，涉及我区的有6项，其中5项已完成整改并已向市里报送销号资料，1项达到序时进度（乡镇污水处理厂和管网的建设）；2018年省环保督察交办问题1个，为大通湖水环境总磷超标问题仍未得到根本解决，正在序时推进整改。</w:t>
            </w:r>
          </w:p>
          <w:p>
            <w:pPr>
              <w:overflowPunct w:val="0"/>
              <w:autoSpaceDE w:val="0"/>
              <w:autoSpaceDN w:val="0"/>
              <w:adjustRightInd w:val="0"/>
              <w:snapToGrid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（五）其他工作</w:t>
            </w:r>
          </w:p>
          <w:p>
            <w:pPr>
              <w:overflowPunct w:val="0"/>
              <w:autoSpaceDE w:val="0"/>
              <w:autoSpaceDN w:val="0"/>
              <w:adjustRightInd w:val="0"/>
              <w:snapToGrid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1、大通湖区1家固定污染源排污许可证清理整顿任务为众仁旺排污口在线监控安装联网，目前已完成在线安装、验收和联网。</w:t>
            </w:r>
          </w:p>
          <w:p>
            <w:pPr>
              <w:overflowPunct w:val="0"/>
              <w:autoSpaceDE w:val="0"/>
              <w:autoSpaceDN w:val="0"/>
              <w:adjustRightInd w:val="0"/>
              <w:snapToGrid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2、大通湖区强制清洁生产审核任务1个，即昌盛混凝土搅拌厂已完成清洁生产审核。</w:t>
            </w:r>
          </w:p>
          <w:p>
            <w:pPr>
              <w:overflowPunct w:val="0"/>
              <w:autoSpaceDE w:val="0"/>
              <w:autoSpaceDN w:val="0"/>
              <w:adjustRightInd w:val="0"/>
              <w:snapToGrid w:val="0"/>
              <w:spacing w:line="600" w:lineRule="exact"/>
              <w:ind w:firstLine="420" w:firstLineChars="20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3、非道路移动机械编码登记任务200台，已完成203台。</w:t>
            </w:r>
          </w:p>
          <w:p>
            <w:pPr>
              <w:pStyle w:val="6"/>
              <w:keepNext w:val="0"/>
              <w:keepLines w:val="0"/>
              <w:widowControl/>
              <w:suppressLineNumbers w:val="0"/>
              <w:spacing w:before="0" w:beforeAutospacing="0" w:after="0" w:afterAutospacing="0" w:line="252" w:lineRule="atLeast"/>
              <w:ind w:left="0" w:right="0" w:firstLine="192"/>
              <w:textAlignment w:val="center"/>
              <w:rPr>
                <w:rFonts w:hint="default" w:eastAsia="仿宋_GB2312"/>
                <w:sz w:val="21"/>
                <w:szCs w:val="21"/>
                <w:lang w:val="en-US" w:eastAsia="zh-CN"/>
              </w:rPr>
            </w:pPr>
          </w:p>
          <w:p>
            <w:pPr>
              <w:spacing w:line="360" w:lineRule="auto"/>
              <w:jc w:val="center"/>
              <w:rPr>
                <w:rFonts w:hint="eastAsia"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717" w:type="dxa"/>
            <w:gridSpan w:val="2"/>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部门职能职责</w:t>
            </w:r>
          </w:p>
        </w:tc>
        <w:tc>
          <w:tcPr>
            <w:tcW w:w="8667" w:type="dxa"/>
            <w:gridSpan w:val="8"/>
            <w:noWrap w:val="0"/>
            <w:vAlign w:val="center"/>
          </w:tcPr>
          <w:p>
            <w:pPr>
              <w:keepNext w:val="0"/>
              <w:keepLines w:val="0"/>
              <w:widowControl/>
              <w:suppressLineNumbers w:val="0"/>
              <w:ind w:firstLine="420" w:firstLineChars="200"/>
              <w:jc w:val="both"/>
              <w:textAlignment w:val="center"/>
              <w:rPr>
                <w:rFonts w:hint="eastAsia" w:ascii="Arial" w:hAnsi="Arial" w:eastAsia="宋体" w:cs="Arial"/>
                <w:i w:val="0"/>
                <w:color w:val="000000"/>
                <w:kern w:val="2"/>
                <w:sz w:val="18"/>
                <w:szCs w:val="18"/>
                <w:u w:val="none"/>
                <w:lang w:val="en-US" w:eastAsia="zh-CN" w:bidi="ar-SA"/>
              </w:rPr>
            </w:pPr>
            <w:r>
              <w:rPr>
                <w:rFonts w:hint="eastAsia" w:ascii="宋体" w:hAnsi="宋体" w:eastAsia="宋体" w:cs="宋体"/>
                <w:i w:val="0"/>
                <w:caps w:val="0"/>
                <w:color w:val="333333"/>
                <w:spacing w:val="0"/>
                <w:kern w:val="0"/>
                <w:sz w:val="21"/>
                <w:szCs w:val="21"/>
                <w:lang w:val="en-US" w:eastAsia="zh-CN" w:bidi="ar"/>
              </w:rPr>
              <w:t>益阳市生态环境局大通湖分局是益阳市生态环境局于2019年12月完成生态环境机构改革后的派出机构，在市生态环境局的领导下负责大通湖的生态环境保护工作，其主要职责职能是：</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 xml:space="preserve">(一) 会同同级有关部门拟订生态环境保护规划、规范、制度, 经批准后组织实施; 会同同级有关部门编制并监督实施重点区域、流域、饮用水水源地生态环境规划和水功能区划。 </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(二) 负责统筹协调和监督管理生态环境保护工作, 组织协调环境污染事故和生态破坏事件的调查处理, 指导协调突发生态环境事件的应急、预警工作, 参与实施生态环境损害赔偿制度。</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(三) 负责监督管理减排目标的落实, 根据上级核定污染物总量控制目标, 组织制定并监督实施本辖区污染物排放总量控制计划及相关措施, 监督实施排污许可制度, 监督检查污染物减排任务完成情况, 实施生态环境保护目标责任制, 组织协调应对气候变化和温室气体减排工作。</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(四) 负责环境污染防治的监督管理, 组织拟订本辖区大气、水、土壤、噪声、光、恶臭、固体废物、化学品、机动车等污染防治管理制度并监督实施; 会同有关部门监督管理饮用水水源地生态环境保护工作; 组织指导城乡生态环境综合整治工作, 监督农业面源污染治理工作; 监督指导区域大气环境保护工作, 组织实施区域大气污染联防联控协作机制。</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(五) 指导协调和监督生态保护修复工作, 监督管理对生态环境有影响的自然资源开发利用活动、重要生态环境建设和生态破坏恢复工作; 指导协调和监督各类自然保护地的生态环境保护工作; 监督野生动植物保护、湿地生态环境保护等工作; 指导协调和监督农村生态环境保护, 监督生物技术环境安全, 牵头生物物种(含遗传资源)工作, 组织协调生物多样性保护工作, 参与生态保护补偿工作。</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(六) 负责核与辐射安全的监督管理, 牵头核安全工作协调机制有关工作, 参与核事故应急处理, 负责辐射环境事故应急处理; 监督管理核设施和放射源安全, 监督管理核设施、核技术应用、电磁辐射、伴有放射性矿产资源开发利用活动中的污染防治; 对核材料管制和民用核安全设备的设计、制造、安装及无损检验活动实施监督管理。</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(七) 负责生态环境准入的监督管理, 组织实施生态环境准入清单; 按规定审批或审查开发建设区域、规划、项目环境影响评价文件。负责生态环境监测工作, 组织实施生态环境执法监测。</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(八) 协调配合做好中央和省生态环境保护督察相关工作; 指导、协调、督促生态环境保护督察反馈问题整改工作; 对同级有关部门(单位)贯彻落实生态环境保护决策部署情况、对生态环境保护督察反馈问题整改情况、对“党政同责”“一岗双责”落实情况进行督查督办, 对贯彻落实不到位、整改不力的提请问责。</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(九) 统一负责生态环境保护综合行政执法, 组织开展生态环境保护执法检查活动, 查处生态环境违法问题。</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(十) 组织指导和协调生态环境宣传教育工作, 推动社会组织和公众参与生态环境保护; 开展生态环境科技工作, 组织生态环境重大科学研究和技术工程示范。</w:t>
            </w:r>
            <w:r>
              <w:rPr>
                <w:rFonts w:hint="eastAsia" w:ascii="宋体" w:hAnsi="宋体" w:eastAsia="宋体" w:cs="宋体"/>
                <w:i w:val="0"/>
                <w:caps w:val="0"/>
                <w:color w:val="333333"/>
                <w:spacing w:val="0"/>
                <w:kern w:val="0"/>
                <w:sz w:val="21"/>
                <w:szCs w:val="21"/>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 xml:space="preserve">(十一) 完成市生态环境局和区县(市)党委、政府交办的其他任务。   </w:t>
            </w:r>
            <w:r>
              <w:rPr>
                <w:rStyle w:val="47"/>
                <w:rFonts w:eastAsia="宋体"/>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vMerge w:val="restart"/>
            <w:noWrap w:val="0"/>
            <w:vAlign w:val="center"/>
          </w:tcPr>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default" w:cs="宋体"/>
                <w:color w:val="000000"/>
                <w:sz w:val="24"/>
                <w:lang w:val="en-US" w:eastAsia="zh-CN"/>
              </w:rPr>
            </w:pPr>
            <w:r>
              <w:rPr>
                <w:rFonts w:hint="eastAsia" w:ascii="Times New Roman" w:hAnsi="Times New Roman" w:eastAsia="宋体" w:cs="宋体"/>
                <w:color w:val="000000"/>
                <w:sz w:val="24"/>
                <w:lang w:val="en-US" w:eastAsia="zh-CN"/>
              </w:rPr>
              <w:t>绩效指标</w:t>
            </w:r>
          </w:p>
        </w:tc>
        <w:tc>
          <w:tcPr>
            <w:tcW w:w="91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一级指标</w:t>
            </w:r>
          </w:p>
        </w:tc>
        <w:tc>
          <w:tcPr>
            <w:tcW w:w="1284"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二级指标</w:t>
            </w:r>
          </w:p>
        </w:tc>
        <w:tc>
          <w:tcPr>
            <w:tcW w:w="2937" w:type="dxa"/>
            <w:gridSpan w:val="3"/>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三级指标</w:t>
            </w:r>
          </w:p>
        </w:tc>
        <w:tc>
          <w:tcPr>
            <w:tcW w:w="1627"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年度指标值</w:t>
            </w:r>
          </w:p>
        </w:tc>
        <w:tc>
          <w:tcPr>
            <w:tcW w:w="15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实际完成值</w:t>
            </w:r>
          </w:p>
        </w:tc>
        <w:tc>
          <w:tcPr>
            <w:tcW w:w="1284"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偏差原因分析极改进措施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restart"/>
            <w:noWrap w:val="0"/>
            <w:vAlign w:val="center"/>
          </w:tcPr>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ascii="Times New Roman" w:hAnsi="Times New Roman" w:eastAsia="宋体" w:cs="宋体"/>
                <w:color w:val="000000"/>
                <w:sz w:val="24"/>
                <w:lang w:val="en-US" w:eastAsia="zh-CN"/>
              </w:rPr>
            </w:pPr>
            <w:r>
              <w:rPr>
                <w:rFonts w:hint="eastAsia" w:ascii="Times New Roman" w:hAnsi="Times New Roman" w:eastAsia="宋体" w:cs="宋体"/>
                <w:color w:val="000000"/>
                <w:sz w:val="24"/>
                <w:lang w:val="en-US" w:eastAsia="zh-CN"/>
              </w:rPr>
              <w:t>产生指标</w:t>
            </w:r>
          </w:p>
          <w:p>
            <w:pPr>
              <w:pStyle w:val="2"/>
              <w:rPr>
                <w:rFonts w:hint="default" w:cs="宋体"/>
                <w:color w:val="000000"/>
                <w:sz w:val="24"/>
                <w:lang w:val="en-US" w:eastAsia="zh-CN"/>
              </w:rPr>
            </w:pPr>
            <w:r>
              <w:rPr>
                <w:rFonts w:hint="eastAsia" w:cs="宋体"/>
                <w:color w:val="000000"/>
                <w:sz w:val="24"/>
                <w:lang w:val="en-US" w:eastAsia="zh-CN"/>
              </w:rPr>
              <w:t xml:space="preserve">                        </w:t>
            </w:r>
          </w:p>
          <w:p>
            <w:pPr>
              <w:pStyle w:val="2"/>
              <w:rPr>
                <w:rFonts w:hint="default" w:cs="宋体"/>
                <w:color w:val="000000"/>
                <w:sz w:val="24"/>
                <w:lang w:val="en-US" w:eastAsia="zh-CN"/>
              </w:rPr>
            </w:pPr>
            <w:r>
              <w:rPr>
                <w:rFonts w:hint="eastAsia" w:cs="宋体"/>
                <w:color w:val="000000"/>
                <w:sz w:val="24"/>
                <w:lang w:val="en-US" w:eastAsia="zh-CN"/>
              </w:rPr>
              <w:t xml:space="preserve">      </w:t>
            </w:r>
          </w:p>
          <w:p>
            <w:pPr>
              <w:pStyle w:val="2"/>
              <w:rPr>
                <w:rFonts w:hint="eastAsia" w:cs="宋体"/>
                <w:color w:val="000000"/>
                <w:sz w:val="24"/>
                <w:lang w:val="en-US" w:eastAsia="zh-CN"/>
              </w:rPr>
            </w:pPr>
          </w:p>
          <w:p>
            <w:pPr>
              <w:pStyle w:val="2"/>
              <w:rPr>
                <w:rFonts w:hint="default" w:cs="宋体"/>
                <w:color w:val="000000"/>
                <w:sz w:val="24"/>
                <w:lang w:val="en-US" w:eastAsia="zh-CN"/>
              </w:rPr>
            </w:pPr>
            <w:r>
              <w:rPr>
                <w:rFonts w:hint="eastAsia" w:cs="宋体"/>
                <w:color w:val="000000"/>
                <w:sz w:val="24"/>
                <w:lang w:val="en-US" w:eastAsia="zh-CN"/>
              </w:rPr>
              <w:t xml:space="preserve">       </w:t>
            </w:r>
          </w:p>
          <w:p>
            <w:pPr>
              <w:pStyle w:val="2"/>
              <w:rPr>
                <w:rFonts w:hint="eastAsia" w:cs="宋体"/>
                <w:color w:val="000000"/>
                <w:sz w:val="24"/>
                <w:lang w:val="en-US" w:eastAsia="zh-CN"/>
              </w:rPr>
            </w:pPr>
          </w:p>
          <w:p>
            <w:pPr>
              <w:pStyle w:val="2"/>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r>
              <w:rPr>
                <w:rFonts w:hint="eastAsia" w:cs="宋体"/>
                <w:color w:val="000000"/>
                <w:sz w:val="24"/>
                <w:lang w:val="en-US" w:eastAsia="zh-CN"/>
              </w:rPr>
              <w:t>效益指标</w:t>
            </w: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eastAsia" w:cs="宋体"/>
                <w:color w:val="000000"/>
                <w:sz w:val="24"/>
                <w:lang w:val="en-US" w:eastAsia="zh-CN"/>
              </w:rPr>
            </w:pPr>
          </w:p>
          <w:p>
            <w:pPr>
              <w:pStyle w:val="2"/>
              <w:ind w:left="0" w:leftChars="0" w:firstLine="0" w:firstLineChars="0"/>
              <w:jc w:val="center"/>
              <w:rPr>
                <w:rFonts w:hint="default" w:cs="宋体"/>
                <w:color w:val="000000"/>
                <w:sz w:val="24"/>
                <w:lang w:val="en-US" w:eastAsia="zh-CN"/>
              </w:rPr>
            </w:pPr>
            <w:r>
              <w:rPr>
                <w:rFonts w:hint="eastAsia" w:cs="宋体"/>
                <w:color w:val="000000"/>
                <w:sz w:val="24"/>
                <w:lang w:val="en-US" w:eastAsia="zh-CN"/>
              </w:rPr>
              <w:t>满意度指标</w:t>
            </w:r>
          </w:p>
        </w:tc>
        <w:tc>
          <w:tcPr>
            <w:tcW w:w="1284"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数量指标</w:t>
            </w:r>
          </w:p>
        </w:tc>
        <w:tc>
          <w:tcPr>
            <w:tcW w:w="2937" w:type="dxa"/>
            <w:gridSpan w:val="3"/>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三级监测站数量</w:t>
            </w:r>
          </w:p>
        </w:tc>
        <w:tc>
          <w:tcPr>
            <w:tcW w:w="1627"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1个</w:t>
            </w:r>
          </w:p>
        </w:tc>
        <w:tc>
          <w:tcPr>
            <w:tcW w:w="15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1个</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.农村千吨万人饮用水源水质监测因子</w:t>
            </w:r>
          </w:p>
        </w:tc>
        <w:tc>
          <w:tcPr>
            <w:tcW w:w="1627" w:type="dxa"/>
            <w:gridSpan w:val="2"/>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39项，4次/每年</w:t>
            </w:r>
          </w:p>
        </w:tc>
        <w:tc>
          <w:tcPr>
            <w:tcW w:w="15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39项，4次/每年</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污染源执法监督监测</w:t>
            </w:r>
          </w:p>
        </w:tc>
        <w:tc>
          <w:tcPr>
            <w:tcW w:w="1627"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20项，4次/每年</w:t>
            </w:r>
          </w:p>
        </w:tc>
        <w:tc>
          <w:tcPr>
            <w:tcW w:w="15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20项，4次/每年</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入河口排污监测因子</w:t>
            </w:r>
          </w:p>
        </w:tc>
        <w:tc>
          <w:tcPr>
            <w:tcW w:w="1627"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10项，1次/每年</w:t>
            </w:r>
          </w:p>
        </w:tc>
        <w:tc>
          <w:tcPr>
            <w:tcW w:w="15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10项，1次/每年</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地下水水质试点监测因子</w:t>
            </w:r>
          </w:p>
        </w:tc>
        <w:tc>
          <w:tcPr>
            <w:tcW w:w="1627"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39项，4次/每年</w:t>
            </w:r>
          </w:p>
        </w:tc>
        <w:tc>
          <w:tcPr>
            <w:tcW w:w="15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39项，4次/每年</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乡镇污水处理厂监测因子</w:t>
            </w:r>
          </w:p>
        </w:tc>
        <w:tc>
          <w:tcPr>
            <w:tcW w:w="1627"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20项，4次/每年</w:t>
            </w:r>
          </w:p>
        </w:tc>
        <w:tc>
          <w:tcPr>
            <w:tcW w:w="15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20项，4次/每年</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restart"/>
            <w:noWrap w:val="0"/>
            <w:vAlign w:val="center"/>
          </w:tcPr>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eastAsia" w:cs="宋体"/>
                <w:color w:val="000000"/>
                <w:sz w:val="24"/>
                <w:lang w:val="en-US" w:eastAsia="zh-CN"/>
              </w:rPr>
            </w:pPr>
          </w:p>
          <w:p>
            <w:pPr>
              <w:spacing w:line="360" w:lineRule="auto"/>
              <w:jc w:val="center"/>
              <w:rPr>
                <w:rFonts w:hint="default" w:cs="宋体"/>
                <w:color w:val="000000"/>
                <w:sz w:val="24"/>
                <w:lang w:val="en-US" w:eastAsia="zh-CN"/>
              </w:rPr>
            </w:pPr>
            <w:r>
              <w:rPr>
                <w:rFonts w:hint="eastAsia" w:cs="宋体"/>
                <w:color w:val="000000"/>
                <w:sz w:val="24"/>
                <w:lang w:val="en-US" w:eastAsia="zh-CN"/>
              </w:rPr>
              <w:t>质量指标</w:t>
            </w: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入河口排污监测因子率</w:t>
            </w:r>
          </w:p>
        </w:tc>
        <w:tc>
          <w:tcPr>
            <w:tcW w:w="1627"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c>
          <w:tcPr>
            <w:tcW w:w="15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c>
          <w:tcPr>
            <w:tcW w:w="1284" w:type="dxa"/>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地下水水质试点监测因子率</w:t>
            </w:r>
          </w:p>
        </w:tc>
        <w:tc>
          <w:tcPr>
            <w:tcW w:w="1627"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c>
          <w:tcPr>
            <w:tcW w:w="15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c>
          <w:tcPr>
            <w:tcW w:w="1284" w:type="dxa"/>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.乡镇污水处理厂监测因子率</w:t>
            </w:r>
          </w:p>
        </w:tc>
        <w:tc>
          <w:tcPr>
            <w:tcW w:w="1627" w:type="dxa"/>
            <w:gridSpan w:val="2"/>
            <w:noWrap w:val="0"/>
            <w:vAlign w:val="center"/>
          </w:tcPr>
          <w:p>
            <w:pPr>
              <w:spacing w:line="360" w:lineRule="auto"/>
              <w:jc w:val="center"/>
              <w:rPr>
                <w:rFonts w:hint="eastAsia" w:ascii="宋体" w:hAnsi="宋体" w:eastAsia="宋体" w:cs="宋体"/>
                <w:i w:val="0"/>
                <w:color w:val="000000"/>
                <w:kern w:val="0"/>
                <w:sz w:val="18"/>
                <w:szCs w:val="18"/>
                <w:u w:val="none"/>
                <w:lang w:val="en-US" w:eastAsia="zh-CN" w:bidi="ar"/>
              </w:rPr>
            </w:pPr>
            <w:r>
              <w:rPr>
                <w:rFonts w:hint="eastAsia" w:cs="宋体"/>
                <w:color w:val="000000"/>
                <w:sz w:val="24"/>
                <w:lang w:val="en-US" w:eastAsia="zh-CN"/>
              </w:rPr>
              <w:t>100%</w:t>
            </w:r>
          </w:p>
        </w:tc>
        <w:tc>
          <w:tcPr>
            <w:tcW w:w="1535" w:type="dxa"/>
            <w:noWrap w:val="0"/>
            <w:vAlign w:val="center"/>
          </w:tcPr>
          <w:p>
            <w:pPr>
              <w:spacing w:line="360" w:lineRule="auto"/>
              <w:jc w:val="center"/>
              <w:rPr>
                <w:rFonts w:hint="default" w:ascii="仿宋_GB2312" w:eastAsia="仿宋_GB2312" w:cs="仿宋_GB2312"/>
                <w:sz w:val="19"/>
                <w:szCs w:val="19"/>
                <w:lang w:val="en-US" w:eastAsia="zh-CN"/>
              </w:rPr>
            </w:pPr>
            <w:r>
              <w:rPr>
                <w:rFonts w:hint="eastAsia" w:cs="宋体"/>
                <w:color w:val="000000"/>
                <w:sz w:val="24"/>
                <w:lang w:val="en-US" w:eastAsia="zh-CN"/>
              </w:rPr>
              <w:t>100%</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农村千吨万人饮用水源水质监测因子</w:t>
            </w:r>
          </w:p>
        </w:tc>
        <w:tc>
          <w:tcPr>
            <w:tcW w:w="1627" w:type="dxa"/>
            <w:gridSpan w:val="2"/>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100%</w:t>
            </w:r>
          </w:p>
        </w:tc>
        <w:tc>
          <w:tcPr>
            <w:tcW w:w="1535" w:type="dxa"/>
            <w:noWrap w:val="0"/>
            <w:vAlign w:val="center"/>
          </w:tcPr>
          <w:p>
            <w:pPr>
              <w:spacing w:line="360" w:lineRule="auto"/>
              <w:jc w:val="center"/>
              <w:rPr>
                <w:rFonts w:hint="default" w:ascii="仿宋_GB2312" w:eastAsia="仿宋_GB2312" w:cs="仿宋_GB2312"/>
                <w:sz w:val="19"/>
                <w:szCs w:val="19"/>
                <w:lang w:val="en-US" w:eastAsia="zh-CN"/>
              </w:rPr>
            </w:pPr>
            <w:r>
              <w:rPr>
                <w:rFonts w:hint="eastAsia" w:cs="宋体"/>
                <w:color w:val="000000"/>
                <w:sz w:val="24"/>
                <w:lang w:val="en-US" w:eastAsia="zh-CN"/>
              </w:rPr>
              <w:t>100%</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污染源执法监督检查率</w:t>
            </w:r>
          </w:p>
        </w:tc>
        <w:tc>
          <w:tcPr>
            <w:tcW w:w="1627"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c>
          <w:tcPr>
            <w:tcW w:w="15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时效指标</w:t>
            </w:r>
          </w:p>
        </w:tc>
        <w:tc>
          <w:tcPr>
            <w:tcW w:w="2937" w:type="dxa"/>
            <w:gridSpan w:val="3"/>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三级监测站建设时间</w:t>
            </w:r>
          </w:p>
        </w:tc>
        <w:tc>
          <w:tcPr>
            <w:tcW w:w="1627" w:type="dxa"/>
            <w:gridSpan w:val="2"/>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2020年1月-12月</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2020年1月-12月</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农村千吨万人饮用水源水质监测因子</w:t>
            </w:r>
          </w:p>
        </w:tc>
        <w:tc>
          <w:tcPr>
            <w:tcW w:w="1627" w:type="dxa"/>
            <w:gridSpan w:val="2"/>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每个季度一次</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每个季度一次</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污染源执法监督监测</w:t>
            </w:r>
          </w:p>
        </w:tc>
        <w:tc>
          <w:tcPr>
            <w:tcW w:w="1627" w:type="dxa"/>
            <w:gridSpan w:val="2"/>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每个季度一次</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每个季度一次</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入河口排污监测因子</w:t>
            </w:r>
          </w:p>
        </w:tc>
        <w:tc>
          <w:tcPr>
            <w:tcW w:w="1627" w:type="dxa"/>
            <w:gridSpan w:val="2"/>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1次/每年</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1次/每年</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地下水水质试点监测因子</w:t>
            </w:r>
          </w:p>
        </w:tc>
        <w:tc>
          <w:tcPr>
            <w:tcW w:w="1627" w:type="dxa"/>
            <w:gridSpan w:val="2"/>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每个季度一次</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每个季度一次</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成本指标</w:t>
            </w:r>
          </w:p>
        </w:tc>
        <w:tc>
          <w:tcPr>
            <w:tcW w:w="2937" w:type="dxa"/>
            <w:gridSpan w:val="3"/>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生环委办办公室工作人员</w:t>
            </w:r>
          </w:p>
        </w:tc>
        <w:tc>
          <w:tcPr>
            <w:tcW w:w="1627" w:type="dxa"/>
            <w:gridSpan w:val="2"/>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管理经费2万元/人/年</w:t>
            </w:r>
          </w:p>
        </w:tc>
        <w:tc>
          <w:tcPr>
            <w:tcW w:w="15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管理经费2万元/人/年</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经济效益指标</w:t>
            </w:r>
          </w:p>
        </w:tc>
        <w:tc>
          <w:tcPr>
            <w:tcW w:w="2937" w:type="dxa"/>
            <w:gridSpan w:val="3"/>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带动区内人员政治、经济、文化、社会、生态文明的建设和有效发展</w:t>
            </w:r>
          </w:p>
        </w:tc>
        <w:tc>
          <w:tcPr>
            <w:tcW w:w="1627" w:type="dxa"/>
            <w:gridSpan w:val="2"/>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社会效益指标</w:t>
            </w: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保证区内的社会治理治安</w:t>
            </w:r>
          </w:p>
        </w:tc>
        <w:tc>
          <w:tcPr>
            <w:tcW w:w="1627" w:type="dxa"/>
            <w:gridSpan w:val="2"/>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default" w:cs="宋体"/>
                <w:color w:val="000000"/>
                <w:sz w:val="24"/>
                <w:lang w:val="en-US" w:eastAsia="zh-CN"/>
              </w:rPr>
            </w:pP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保障区内的生命财产安全</w:t>
            </w:r>
          </w:p>
        </w:tc>
        <w:tc>
          <w:tcPr>
            <w:tcW w:w="1627" w:type="dxa"/>
            <w:gridSpan w:val="2"/>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生态效益指标</w:t>
            </w: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维护区内人员的生产生活环境</w:t>
            </w:r>
          </w:p>
        </w:tc>
        <w:tc>
          <w:tcPr>
            <w:tcW w:w="1627" w:type="dxa"/>
            <w:gridSpan w:val="2"/>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可持续影响指标</w:t>
            </w: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促进经济文化可持续发展长期有效</w:t>
            </w:r>
          </w:p>
        </w:tc>
        <w:tc>
          <w:tcPr>
            <w:tcW w:w="1627" w:type="dxa"/>
            <w:gridSpan w:val="2"/>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促进经济文化可持续发展长期有效</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促进经济文化可持续发展长期有效</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促进生态文明环境可持续发展长期有效</w:t>
            </w:r>
          </w:p>
        </w:tc>
        <w:tc>
          <w:tcPr>
            <w:tcW w:w="1627" w:type="dxa"/>
            <w:gridSpan w:val="2"/>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促进生态文明环境可持续发展长期有效</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促进生态文明环境可持续发展长期有效</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服务对象满意度指标</w:t>
            </w: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公众服务满意率</w:t>
            </w:r>
          </w:p>
        </w:tc>
        <w:tc>
          <w:tcPr>
            <w:tcW w:w="1627" w:type="dxa"/>
            <w:gridSpan w:val="2"/>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4"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01" w:type="dxa"/>
            <w:vMerge w:val="continue"/>
            <w:noWrap w:val="0"/>
            <w:vAlign w:val="center"/>
          </w:tcPr>
          <w:p>
            <w:pPr>
              <w:spacing w:line="360" w:lineRule="auto"/>
              <w:jc w:val="center"/>
              <w:rPr>
                <w:rFonts w:hint="eastAsia" w:cs="宋体"/>
                <w:color w:val="000000"/>
                <w:sz w:val="24"/>
                <w:lang w:val="en-US" w:eastAsia="zh-CN"/>
              </w:rPr>
            </w:pPr>
          </w:p>
        </w:tc>
        <w:tc>
          <w:tcPr>
            <w:tcW w:w="916" w:type="dxa"/>
            <w:vMerge w:val="continue"/>
            <w:noWrap w:val="0"/>
            <w:vAlign w:val="center"/>
          </w:tcPr>
          <w:p>
            <w:pPr>
              <w:spacing w:line="360" w:lineRule="auto"/>
              <w:jc w:val="center"/>
              <w:rPr>
                <w:rFonts w:hint="eastAsia" w:cs="宋体"/>
                <w:color w:val="000000"/>
                <w:sz w:val="24"/>
                <w:lang w:val="en-US" w:eastAsia="zh-CN"/>
              </w:rPr>
            </w:pPr>
          </w:p>
        </w:tc>
        <w:tc>
          <w:tcPr>
            <w:tcW w:w="1284" w:type="dxa"/>
            <w:vMerge w:val="continue"/>
            <w:noWrap w:val="0"/>
            <w:vAlign w:val="center"/>
          </w:tcPr>
          <w:p>
            <w:pPr>
              <w:spacing w:line="360" w:lineRule="auto"/>
              <w:jc w:val="center"/>
              <w:rPr>
                <w:rFonts w:hint="eastAsia" w:cs="宋体"/>
                <w:color w:val="000000"/>
                <w:sz w:val="24"/>
                <w:lang w:val="en-US" w:eastAsia="zh-CN"/>
              </w:rPr>
            </w:pPr>
          </w:p>
        </w:tc>
        <w:tc>
          <w:tcPr>
            <w:tcW w:w="2937" w:type="dxa"/>
            <w:gridSpan w:val="3"/>
            <w:noWrap w:val="0"/>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政府机构人员满意率</w:t>
            </w:r>
          </w:p>
        </w:tc>
        <w:tc>
          <w:tcPr>
            <w:tcW w:w="1627" w:type="dxa"/>
            <w:gridSpan w:val="2"/>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535" w:type="dxa"/>
            <w:noWrap w:val="0"/>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4" w:type="dxa"/>
            <w:noWrap w:val="0"/>
            <w:vAlign w:val="center"/>
          </w:tcPr>
          <w:p>
            <w:pPr>
              <w:spacing w:line="360" w:lineRule="auto"/>
              <w:jc w:val="center"/>
              <w:rPr>
                <w:rFonts w:hint="eastAsia" w:cs="宋体"/>
                <w:color w:val="000000"/>
                <w:sz w:val="24"/>
                <w:lang w:val="en-US" w:eastAsia="zh-CN"/>
              </w:rPr>
            </w:pPr>
          </w:p>
        </w:tc>
      </w:tr>
    </w:tbl>
    <w:p>
      <w:pPr>
        <w:widowControl/>
        <w:rPr>
          <w:rFonts w:eastAsia="黑体"/>
          <w:color w:val="000000"/>
          <w:kern w:val="0"/>
          <w:sz w:val="32"/>
          <w:szCs w:val="32"/>
        </w:rPr>
      </w:pPr>
      <w:r>
        <w:rPr>
          <w:rFonts w:hAnsi="黑体" w:eastAsia="黑体"/>
          <w:color w:val="000000"/>
          <w:kern w:val="0"/>
          <w:sz w:val="32"/>
          <w:szCs w:val="32"/>
        </w:rPr>
        <w:t>附件</w:t>
      </w:r>
      <w:r>
        <w:rPr>
          <w:rFonts w:hint="eastAsia" w:hAnsi="黑体" w:eastAsia="黑体"/>
          <w:color w:val="000000"/>
          <w:kern w:val="0"/>
          <w:sz w:val="32"/>
          <w:szCs w:val="32"/>
          <w:lang w:val="en-US" w:eastAsia="zh-CN"/>
        </w:rPr>
        <w:t>4</w:t>
      </w:r>
    </w:p>
    <w:p>
      <w:pPr>
        <w:spacing w:line="360" w:lineRule="auto"/>
        <w:jc w:val="center"/>
        <w:rPr>
          <w:rFonts w:hint="eastAsia" w:ascii="方正大标宋简体" w:hAnsi="Times New Roman" w:eastAsia="方正大标宋简体" w:cs="仿宋_GB2312"/>
          <w:color w:val="000000"/>
          <w:sz w:val="44"/>
          <w:szCs w:val="44"/>
          <w:lang w:val="en-US" w:eastAsia="zh-CN"/>
        </w:rPr>
      </w:pPr>
      <w:r>
        <w:rPr>
          <w:rFonts w:hint="eastAsia" w:ascii="方正大标宋简体" w:hAnsi="Times New Roman" w:eastAsia="方正大标宋简体" w:cs="仿宋_GB2312"/>
          <w:color w:val="000000"/>
          <w:sz w:val="44"/>
          <w:szCs w:val="44"/>
          <w:lang w:val="en-US" w:eastAsia="zh-CN"/>
        </w:rPr>
        <w:t>2020年部门整体支出绩效评价基础数据表</w:t>
      </w:r>
    </w:p>
    <w:tbl>
      <w:tblPr>
        <w:tblStyle w:val="8"/>
        <w:tblW w:w="10115"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财政供养人员情况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2020年编制人数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w:t>
            </w:r>
            <w:r>
              <w:rPr>
                <w:rFonts w:hint="eastAsia" w:cs="宋体"/>
                <w:color w:val="000000"/>
                <w:sz w:val="24"/>
                <w:lang w:val="en-US" w:eastAsia="zh-CN"/>
              </w:rPr>
              <w:br w:type="textWrapping"/>
            </w:r>
            <w:r>
              <w:rPr>
                <w:rFonts w:hint="eastAsia" w:cs="宋体"/>
                <w:color w:val="000000"/>
                <w:sz w:val="24"/>
                <w:lang w:val="en-US" w:eastAsia="zh-CN"/>
              </w:rPr>
              <w:t>实际在职人数</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变动数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15</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15</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上年预算数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本年预算数</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9</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9</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项目支出安排情况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项目支出预算总额</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实际项目支出总额</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309.41</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264.83</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预算完成情况</w:t>
            </w: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2020年预算总额</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2020年决算总额</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309.41</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264.83</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预算调整情况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年初预算数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年中预算调整</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95</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214.41</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结转结余变动情况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上年结转结余总额</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本年结转结余总额</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44.58</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“三公经费”预算数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“三公经费”实际支出</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9</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10.92</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政府采购执行情况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政府采购预算数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实际政府采购金额</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45.26</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45.26</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固定资产总额</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实际在用固定资产总额</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24.9</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24.9</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内部控制制度完成情况（是/否）</w:t>
            </w: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预算业务管理</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收支业务管理</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政府采购业务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国有资产业务管理</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建设项目业务管理</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合同业务管理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r>
    </w:tbl>
    <w:p>
      <w:pPr>
        <w:spacing w:line="360" w:lineRule="auto"/>
        <w:rPr>
          <w:rFonts w:hAnsi="黑体" w:eastAsia="黑体"/>
          <w:color w:val="000000"/>
          <w:kern w:val="0"/>
          <w:sz w:val="32"/>
          <w:szCs w:val="32"/>
        </w:rPr>
      </w:pPr>
    </w:p>
    <w:p>
      <w:pPr>
        <w:pStyle w:val="2"/>
      </w:pPr>
    </w:p>
    <w:p>
      <w:pPr>
        <w:spacing w:line="360" w:lineRule="auto"/>
        <w:rPr>
          <w:rFonts w:hint="eastAsia" w:eastAsia="黑体"/>
          <w:color w:val="000000"/>
          <w:kern w:val="0"/>
          <w:sz w:val="32"/>
          <w:szCs w:val="32"/>
          <w:lang w:val="en-US"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5</w:t>
      </w:r>
    </w:p>
    <w:p>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20</w:t>
      </w:r>
      <w:r>
        <w:rPr>
          <w:rFonts w:hint="eastAsia" w:ascii="方正大标宋简体" w:eastAsia="方正大标宋简体" w:cs="仿宋_GB2312"/>
          <w:color w:val="000000"/>
          <w:sz w:val="44"/>
          <w:szCs w:val="44"/>
        </w:rPr>
        <w:t>年部门整体支出绩效自评指标计分表</w:t>
      </w:r>
    </w:p>
    <w:tbl>
      <w:tblPr>
        <w:tblStyle w:val="8"/>
        <w:tblW w:w="10578" w:type="dxa"/>
        <w:jc w:val="center"/>
        <w:tblLayout w:type="fixed"/>
        <w:tblCellMar>
          <w:top w:w="0" w:type="dxa"/>
          <w:left w:w="28" w:type="dxa"/>
          <w:bottom w:w="0" w:type="dxa"/>
          <w:right w:w="28" w:type="dxa"/>
        </w:tblCellMar>
      </w:tblPr>
      <w:tblGrid>
        <w:gridCol w:w="724"/>
        <w:gridCol w:w="547"/>
        <w:gridCol w:w="689"/>
        <w:gridCol w:w="547"/>
        <w:gridCol w:w="5"/>
        <w:gridCol w:w="948"/>
        <w:gridCol w:w="535"/>
        <w:gridCol w:w="2688"/>
        <w:gridCol w:w="594"/>
        <w:gridCol w:w="2742"/>
        <w:gridCol w:w="559"/>
      </w:tblGrid>
      <w:tr>
        <w:tblPrEx>
          <w:tblCellMar>
            <w:top w:w="0" w:type="dxa"/>
            <w:left w:w="28" w:type="dxa"/>
            <w:bottom w:w="0" w:type="dxa"/>
            <w:right w:w="28" w:type="dxa"/>
          </w:tblCellMar>
        </w:tblPrEx>
        <w:trPr>
          <w:trHeight w:val="719" w:hRule="atLeast"/>
          <w:tblHeade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一级指标</w:t>
            </w:r>
          </w:p>
        </w:tc>
        <w:tc>
          <w:tcPr>
            <w:tcW w:w="54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689"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二级指标</w:t>
            </w:r>
          </w:p>
        </w:tc>
        <w:tc>
          <w:tcPr>
            <w:tcW w:w="54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953"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三级</w:t>
            </w:r>
          </w:p>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w:t>
            </w:r>
          </w:p>
        </w:tc>
        <w:tc>
          <w:tcPr>
            <w:tcW w:w="535"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2688"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评价标准</w:t>
            </w:r>
          </w:p>
        </w:tc>
        <w:tc>
          <w:tcPr>
            <w:tcW w:w="3336"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指标说明</w:t>
            </w:r>
          </w:p>
        </w:tc>
        <w:tc>
          <w:tcPr>
            <w:tcW w:w="559"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得分</w:t>
            </w:r>
          </w:p>
        </w:tc>
      </w:tr>
      <w:tr>
        <w:tblPrEx>
          <w:tblCellMar>
            <w:top w:w="0" w:type="dxa"/>
            <w:left w:w="28" w:type="dxa"/>
            <w:bottom w:w="0" w:type="dxa"/>
            <w:right w:w="28" w:type="dxa"/>
          </w:tblCellMar>
        </w:tblPrEx>
        <w:trPr>
          <w:trHeight w:val="1983" w:hRule="atLeast"/>
          <w:jc w:val="center"/>
        </w:trPr>
        <w:tc>
          <w:tcPr>
            <w:tcW w:w="724" w:type="dxa"/>
            <w:vMerge w:val="restart"/>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投</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入</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w:t>
            </w:r>
            <w:r>
              <w:rPr>
                <w:rFonts w:hint="eastAsia" w:cs="宋体"/>
                <w:color w:val="000000"/>
                <w:kern w:val="0"/>
                <w:sz w:val="24"/>
              </w:rPr>
              <w:t>1</w:t>
            </w:r>
            <w:r>
              <w:rPr>
                <w:rFonts w:hint="eastAsia" w:cs="宋体"/>
                <w:color w:val="000000"/>
                <w:kern w:val="0"/>
                <w:sz w:val="24"/>
                <w:lang w:val="en-US" w:eastAsia="zh-CN"/>
              </w:rPr>
              <w:t>5分)</w:t>
            </w:r>
          </w:p>
        </w:tc>
        <w:tc>
          <w:tcPr>
            <w:tcW w:w="689" w:type="dxa"/>
            <w:vMerge w:val="restart"/>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预算配置</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688" w:type="dxa"/>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以100%为标准。在职人员控制率≦100%，计7分；每超过一个百分点扣0.2分，扣完为止。</w:t>
            </w:r>
          </w:p>
        </w:tc>
        <w:tc>
          <w:tcPr>
            <w:tcW w:w="3336" w:type="dxa"/>
            <w:gridSpan w:val="2"/>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在职人员控制率=（在职人员数/编制数）×100%，在职人员数：部门（单位）实际在职人数，以财政分局确定的部门决算编制口径为准。</w:t>
            </w:r>
            <w:r>
              <w:rPr>
                <w:rFonts w:hint="eastAsia" w:cs="宋体"/>
                <w:color w:val="000000"/>
                <w:kern w:val="0"/>
                <w:sz w:val="24"/>
              </w:rPr>
              <w:br w:type="textWrapping"/>
            </w:r>
            <w:r>
              <w:rPr>
                <w:rFonts w:hint="eastAsia" w:cs="宋体"/>
                <w:color w:val="000000"/>
                <w:kern w:val="0"/>
                <w:sz w:val="24"/>
              </w:rPr>
              <w:t>编制数：机构编制部门核定批复的部门（单位）的人员编制数。</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default" w:eastAsia="宋体" w:cs="宋体"/>
                <w:color w:val="000000"/>
                <w:kern w:val="0"/>
                <w:sz w:val="24"/>
                <w:lang w:val="en-US" w:eastAsia="zh-CN"/>
              </w:rPr>
            </w:pPr>
            <w:r>
              <w:rPr>
                <w:rFonts w:hint="eastAsia" w:cs="宋体"/>
                <w:color w:val="000000"/>
                <w:kern w:val="0"/>
                <w:sz w:val="24"/>
                <w:lang w:val="en-US" w:eastAsia="zh-CN"/>
              </w:rPr>
              <w:t>7</w:t>
            </w:r>
          </w:p>
        </w:tc>
      </w:tr>
      <w:tr>
        <w:tblPrEx>
          <w:tblCellMar>
            <w:top w:w="0" w:type="dxa"/>
            <w:left w:w="28" w:type="dxa"/>
            <w:bottom w:w="0" w:type="dxa"/>
            <w:right w:w="28" w:type="dxa"/>
          </w:tblCellMar>
        </w:tblPrEx>
        <w:trPr>
          <w:trHeight w:val="1183"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688"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“三公经费”变动率≦0,计8分；“三公经费”＞0，每超过一个百分点扣0.8分，扣完为止。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“三公经费”变动率=[（本年度“三公经费”预算数-上年度“三公经费”预算数）/上年度“三公经费”预算数]×100%</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default" w:eastAsia="宋体" w:cs="宋体"/>
                <w:color w:val="000000"/>
                <w:kern w:val="0"/>
                <w:sz w:val="24"/>
                <w:lang w:val="en-US" w:eastAsia="zh-CN"/>
              </w:rPr>
            </w:pPr>
            <w:r>
              <w:rPr>
                <w:rFonts w:hint="eastAsia" w:cs="宋体"/>
                <w:color w:val="000000"/>
                <w:kern w:val="0"/>
                <w:sz w:val="24"/>
                <w:lang w:val="en-US" w:eastAsia="zh-CN"/>
              </w:rPr>
              <w:t>0</w:t>
            </w:r>
          </w:p>
        </w:tc>
      </w:tr>
      <w:tr>
        <w:tblPrEx>
          <w:tblCellMar>
            <w:top w:w="0" w:type="dxa"/>
            <w:left w:w="28" w:type="dxa"/>
            <w:bottom w:w="0" w:type="dxa"/>
            <w:right w:w="28" w:type="dxa"/>
          </w:tblCellMar>
        </w:tblPrEx>
        <w:trPr>
          <w:trHeight w:val="111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nil"/>
              <w:left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预算执行</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688"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100%计满分，每低于5%扣2分，扣完为止。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预算完成率=（上年结转+年初预算+本年追加预算-年末结余/上年结转+年初预算+本年追加预算）×100%。</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688"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预算控制率=0，计5分；0-10%（含），计4分；10-20%（含），计3分；20-30%（含），计2分；大于30%不得分</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预算控制率=（本年追加预算/年初预算）×100%。</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default"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142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新建楼堂馆所面积控制率</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688"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100%以下（含）计满分，每超出5%扣2分，扣完为止。没有楼梯馆所项目的部门按满分计算</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楼堂馆所面积控制率=实际建设面积/批准建设面积×100%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新建楼堂馆所投资概算控制率</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688"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楼堂馆所投资预算控制率=实际投资金额/批准投资金额×100%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预算管理</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688"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公用经费控制率=（实际支出公用经费总额/预算安排公用经费总额）×100%。</w:t>
            </w:r>
            <w:r>
              <w:rPr>
                <w:rFonts w:hint="eastAsia" w:cs="宋体"/>
                <w:color w:val="000000"/>
                <w:kern w:val="0"/>
                <w:sz w:val="24"/>
              </w:rPr>
              <w:br w:type="textWrapping"/>
            </w:r>
            <w:r>
              <w:rPr>
                <w:rFonts w:hint="eastAsia" w:cs="宋体"/>
                <w:color w:val="000000"/>
                <w:kern w:val="0"/>
                <w:sz w:val="24"/>
              </w:rPr>
              <w:t>公用经费支出是指部门基本支出中的一般商品和服务支出。</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7</w:t>
            </w:r>
          </w:p>
        </w:tc>
      </w:tr>
      <w:tr>
        <w:tblPrEx>
          <w:tblCellMar>
            <w:top w:w="0" w:type="dxa"/>
            <w:left w:w="28" w:type="dxa"/>
            <w:bottom w:w="0" w:type="dxa"/>
            <w:right w:w="28" w:type="dxa"/>
          </w:tblCellMar>
        </w:tblPrEx>
        <w:trPr>
          <w:trHeight w:val="93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688"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“三公经费”控制率=（“三公经费”实际支出数/“三公经费”预算安排数）×100%。</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default" w:eastAsia="宋体" w:cs="宋体"/>
                <w:color w:val="000000"/>
                <w:kern w:val="0"/>
                <w:sz w:val="24"/>
                <w:lang w:val="en-US" w:eastAsia="zh-CN"/>
              </w:rPr>
            </w:pPr>
            <w:r>
              <w:rPr>
                <w:rFonts w:hint="eastAsia" w:cs="宋体"/>
                <w:color w:val="000000"/>
                <w:kern w:val="0"/>
                <w:sz w:val="24"/>
                <w:lang w:val="en-US" w:eastAsia="zh-CN"/>
              </w:rPr>
              <w:t>0</w:t>
            </w:r>
          </w:p>
        </w:tc>
      </w:tr>
      <w:tr>
        <w:tblPrEx>
          <w:tblCellMar>
            <w:top w:w="0" w:type="dxa"/>
            <w:left w:w="28" w:type="dxa"/>
            <w:bottom w:w="0" w:type="dxa"/>
            <w:right w:w="28" w:type="dxa"/>
          </w:tblCellMar>
        </w:tblPrEx>
        <w:trPr>
          <w:trHeight w:val="709" w:hRule="atLeast"/>
          <w:jc w:val="center"/>
        </w:trPr>
        <w:tc>
          <w:tcPr>
            <w:tcW w:w="724" w:type="dxa"/>
            <w:vMerge w:val="restart"/>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70" w:lineRule="exact"/>
              <w:jc w:val="center"/>
              <w:rPr>
                <w:rFonts w:hint="eastAsia" w:cs="宋体"/>
                <w:color w:val="000000"/>
                <w:kern w:val="0"/>
                <w:sz w:val="24"/>
              </w:rPr>
            </w:pP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预算管理</w:t>
            </w: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管理制度健全性</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688"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每出现一例不符合要求的扣2分，扣完为止。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①有内部财务管理制度、会计核算制度等管理制度；</w:t>
            </w:r>
            <w:r>
              <w:rPr>
                <w:rFonts w:hint="eastAsia" w:cs="宋体"/>
                <w:color w:val="000000"/>
                <w:kern w:val="0"/>
                <w:sz w:val="24"/>
              </w:rPr>
              <w:br w:type="textWrapping"/>
            </w:r>
            <w:r>
              <w:rPr>
                <w:rFonts w:hint="eastAsia" w:cs="宋体"/>
                <w:color w:val="000000"/>
                <w:kern w:val="0"/>
                <w:sz w:val="24"/>
              </w:rPr>
              <w:t>②有本部门厉行节约制度；</w:t>
            </w:r>
            <w:r>
              <w:rPr>
                <w:rFonts w:hint="eastAsia" w:cs="宋体"/>
                <w:color w:val="000000"/>
                <w:kern w:val="0"/>
                <w:sz w:val="24"/>
              </w:rPr>
              <w:br w:type="textWrapping"/>
            </w:r>
            <w:r>
              <w:rPr>
                <w:rFonts w:hint="eastAsia" w:cs="宋体"/>
                <w:color w:val="000000"/>
                <w:kern w:val="0"/>
                <w:sz w:val="24"/>
              </w:rPr>
              <w:t>③相关管理制度合法、合规、完整；④相关管理制度得到有效执行。</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资金使用合规性</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688"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br w:type="textWrapping"/>
            </w: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预决算信息公开性</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w:t>
            </w:r>
            <w:r>
              <w:rPr>
                <w:rFonts w:hint="eastAsia" w:cs="宋体"/>
                <w:color w:val="000000"/>
                <w:kern w:val="0"/>
                <w:sz w:val="24"/>
                <w:lang w:val="en-US" w:eastAsia="zh-CN"/>
              </w:rPr>
              <w:t>分）</w:t>
            </w:r>
          </w:p>
        </w:tc>
        <w:tc>
          <w:tcPr>
            <w:tcW w:w="2688"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①按规定内容公开预决算信息；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②按规定时限公开预决算信息；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预决算信息是指与部门预算、执行、决算、监督、绩效等管理相关的信息。</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2</w:t>
            </w:r>
          </w:p>
        </w:tc>
      </w:tr>
      <w:tr>
        <w:tblPrEx>
          <w:tblCellMar>
            <w:top w:w="0" w:type="dxa"/>
            <w:left w:w="28" w:type="dxa"/>
            <w:bottom w:w="0" w:type="dxa"/>
            <w:right w:w="28" w:type="dxa"/>
          </w:tblCellMar>
        </w:tblPrEx>
        <w:trPr>
          <w:trHeight w:val="90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产</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出</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及</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效</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率</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35</w:t>
            </w:r>
            <w:r>
              <w:rPr>
                <w:rFonts w:hint="eastAsia" w:cs="宋体"/>
                <w:color w:val="000000"/>
                <w:kern w:val="0"/>
                <w:sz w:val="24"/>
                <w:lang w:val="en-US" w:eastAsia="zh-CN"/>
              </w:rPr>
              <w:t>分）</w:t>
            </w:r>
          </w:p>
        </w:tc>
        <w:tc>
          <w:tcPr>
            <w:tcW w:w="689"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职责履行</w:t>
            </w:r>
          </w:p>
        </w:tc>
        <w:tc>
          <w:tcPr>
            <w:tcW w:w="54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953" w:type="dxa"/>
            <w:gridSpan w:val="2"/>
            <w:tcBorders>
              <w:top w:val="nil"/>
              <w:left w:val="nil"/>
              <w:bottom w:val="nil"/>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目标任务实际完成率</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688"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该项得分=（年度综合目标管理考核得分/总分）*8</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根据区年度综合目标管理考核得分折算。</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履职 效益</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经济效益</w:t>
            </w:r>
          </w:p>
        </w:tc>
        <w:tc>
          <w:tcPr>
            <w:tcW w:w="535" w:type="dxa"/>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人）</w:t>
            </w:r>
          </w:p>
        </w:tc>
        <w:tc>
          <w:tcPr>
            <w:tcW w:w="6024" w:type="dxa"/>
            <w:gridSpan w:val="3"/>
            <w:vMerge w:val="restart"/>
            <w:tcBorders>
              <w:top w:val="single" w:color="auto" w:sz="4" w:space="0"/>
              <w:left w:val="single" w:color="auto" w:sz="4" w:space="0"/>
              <w:bottom w:val="nil"/>
              <w:right w:val="single" w:color="000000"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此三项指标为设置部门整体支出绩效评价指标时必须考虑的要素，可根据部门实际情况有选择的进行设置，并将其细化为相应的个性化指标。</w:t>
            </w:r>
          </w:p>
        </w:tc>
        <w:tc>
          <w:tcPr>
            <w:tcW w:w="559" w:type="dxa"/>
            <w:vMerge w:val="restart"/>
            <w:tcBorders>
              <w:top w:val="nil"/>
              <w:left w:val="nil"/>
              <w:right w:val="single" w:color="auto" w:sz="4" w:space="0"/>
            </w:tcBorders>
            <w:noWrap w:val="0"/>
            <w:vAlign w:val="center"/>
          </w:tcPr>
          <w:p>
            <w:pPr>
              <w:overflowPunct w:val="0"/>
              <w:autoSpaceDE w:val="0"/>
              <w:autoSpaceDN w:val="0"/>
              <w:spacing w:line="24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15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社会效益</w:t>
            </w:r>
          </w:p>
        </w:tc>
        <w:tc>
          <w:tcPr>
            <w:tcW w:w="535"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24" w:type="dxa"/>
            <w:gridSpan w:val="3"/>
            <w:vMerge w:val="continue"/>
            <w:tcBorders>
              <w:top w:val="single" w:color="auto" w:sz="4" w:space="0"/>
              <w:left w:val="single" w:color="auto" w:sz="4" w:space="0"/>
              <w:bottom w:val="nil"/>
              <w:right w:val="single" w:color="000000" w:sz="4" w:space="0"/>
            </w:tcBorders>
            <w:noWrap w:val="0"/>
            <w:vAlign w:val="center"/>
          </w:tcPr>
          <w:p>
            <w:pPr>
              <w:overflowPunct w:val="0"/>
              <w:autoSpaceDE w:val="0"/>
              <w:autoSpaceDN w:val="0"/>
              <w:spacing w:line="270" w:lineRule="exact"/>
              <w:ind w:firstLine="240" w:firstLineChars="100"/>
              <w:jc w:val="center"/>
              <w:rPr>
                <w:rFonts w:hint="eastAsia" w:cs="宋体"/>
                <w:color w:val="000000"/>
                <w:sz w:val="24"/>
              </w:rPr>
            </w:pPr>
          </w:p>
        </w:tc>
        <w:tc>
          <w:tcPr>
            <w:tcW w:w="559" w:type="dxa"/>
            <w:vMerge w:val="continue"/>
            <w:tcBorders>
              <w:left w:val="nil"/>
              <w:right w:val="single" w:color="auto" w:sz="4" w:space="0"/>
            </w:tcBorders>
            <w:noWrap w:val="0"/>
            <w:vAlign w:val="center"/>
          </w:tcPr>
          <w:p>
            <w:pPr>
              <w:overflowPunct w:val="0"/>
              <w:autoSpaceDE w:val="0"/>
              <w:autoSpaceDN w:val="0"/>
              <w:spacing w:line="240" w:lineRule="exact"/>
              <w:ind w:firstLine="240" w:firstLineChars="100"/>
              <w:jc w:val="center"/>
              <w:rPr>
                <w:rFonts w:hint="eastAsia" w:cs="宋体"/>
                <w:color w:val="000000"/>
                <w:kern w:val="0"/>
                <w:sz w:val="24"/>
              </w:rPr>
            </w:pP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生态效益</w:t>
            </w:r>
          </w:p>
        </w:tc>
        <w:tc>
          <w:tcPr>
            <w:tcW w:w="535" w:type="dxa"/>
            <w:tcBorders>
              <w:top w:val="single" w:color="auto" w:sz="4" w:space="0"/>
              <w:left w:val="single" w:color="auto" w:sz="4" w:space="0"/>
              <w:bottom w:val="nil"/>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24" w:type="dxa"/>
            <w:gridSpan w:val="3"/>
            <w:vMerge w:val="continue"/>
            <w:tcBorders>
              <w:top w:val="single" w:color="auto" w:sz="4" w:space="0"/>
              <w:left w:val="single" w:color="auto" w:sz="4" w:space="0"/>
              <w:bottom w:val="nil"/>
              <w:right w:val="single" w:color="000000" w:sz="4" w:space="0"/>
            </w:tcBorders>
            <w:noWrap w:val="0"/>
            <w:vAlign w:val="center"/>
          </w:tcPr>
          <w:p>
            <w:pPr>
              <w:overflowPunct w:val="0"/>
              <w:autoSpaceDE w:val="0"/>
              <w:autoSpaceDN w:val="0"/>
              <w:spacing w:line="270" w:lineRule="exact"/>
              <w:ind w:firstLine="240" w:firstLineChars="100"/>
              <w:jc w:val="center"/>
              <w:rPr>
                <w:rFonts w:hint="eastAsia" w:cs="宋体"/>
                <w:color w:val="000000"/>
                <w:sz w:val="24"/>
              </w:rPr>
            </w:pPr>
          </w:p>
        </w:tc>
        <w:tc>
          <w:tcPr>
            <w:tcW w:w="559" w:type="dxa"/>
            <w:vMerge w:val="continue"/>
            <w:tcBorders>
              <w:left w:val="nil"/>
              <w:bottom w:val="nil"/>
              <w:right w:val="single" w:color="auto" w:sz="4" w:space="0"/>
            </w:tcBorders>
            <w:noWrap w:val="0"/>
            <w:vAlign w:val="center"/>
          </w:tcPr>
          <w:p>
            <w:pPr>
              <w:overflowPunct w:val="0"/>
              <w:autoSpaceDE w:val="0"/>
              <w:autoSpaceDN w:val="0"/>
              <w:spacing w:line="240" w:lineRule="exact"/>
              <w:ind w:firstLine="240" w:firstLineChars="100"/>
              <w:jc w:val="center"/>
              <w:rPr>
                <w:rFonts w:hint="eastAsia" w:cs="宋体"/>
                <w:color w:val="000000"/>
                <w:sz w:val="24"/>
              </w:rPr>
            </w:pPr>
          </w:p>
        </w:tc>
      </w:tr>
      <w:tr>
        <w:tblPrEx>
          <w:tblCellMar>
            <w:top w:w="0" w:type="dxa"/>
            <w:left w:w="28" w:type="dxa"/>
            <w:bottom w:w="0" w:type="dxa"/>
            <w:right w:w="28" w:type="dxa"/>
          </w:tblCellMar>
        </w:tblPrEx>
        <w:trPr>
          <w:trHeight w:val="157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12</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行政效能</w:t>
            </w:r>
          </w:p>
        </w:tc>
        <w:tc>
          <w:tcPr>
            <w:tcW w:w="535"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282"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促进部门改进文风会风，加强经费及资产管理，推动网上办事，提高行政效率，降低行政成本效果较好的计6分；一般3分；无效果或者效果不明显0分。</w:t>
            </w:r>
          </w:p>
        </w:tc>
        <w:tc>
          <w:tcPr>
            <w:tcW w:w="2742"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根据部门自评材料评定。</w:t>
            </w:r>
          </w:p>
        </w:tc>
        <w:tc>
          <w:tcPr>
            <w:tcW w:w="559"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社会公众或服务对象满意度</w:t>
            </w:r>
          </w:p>
        </w:tc>
        <w:tc>
          <w:tcPr>
            <w:tcW w:w="535"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282"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90%（含）以上计6分；</w:t>
            </w:r>
            <w:r>
              <w:rPr>
                <w:rFonts w:hint="eastAsia" w:cs="宋体"/>
                <w:color w:val="000000"/>
                <w:kern w:val="0"/>
                <w:sz w:val="24"/>
              </w:rPr>
              <w:br w:type="textWrapping"/>
            </w:r>
            <w:r>
              <w:rPr>
                <w:rFonts w:hint="eastAsia" w:cs="宋体"/>
                <w:color w:val="000000"/>
                <w:kern w:val="0"/>
                <w:sz w:val="24"/>
              </w:rPr>
              <w:t>80%（含）-90%，计4分；</w:t>
            </w:r>
            <w:r>
              <w:rPr>
                <w:rFonts w:hint="eastAsia" w:cs="宋体"/>
                <w:color w:val="000000"/>
                <w:kern w:val="0"/>
                <w:sz w:val="24"/>
              </w:rPr>
              <w:br w:type="textWrapping"/>
            </w:r>
            <w:r>
              <w:rPr>
                <w:rFonts w:hint="eastAsia" w:cs="宋体"/>
                <w:color w:val="000000"/>
                <w:kern w:val="0"/>
                <w:sz w:val="24"/>
              </w:rPr>
              <w:t>70%（含）-80%，计2分；</w:t>
            </w:r>
            <w:r>
              <w:rPr>
                <w:rFonts w:hint="eastAsia" w:cs="宋体"/>
                <w:color w:val="000000"/>
                <w:kern w:val="0"/>
                <w:sz w:val="24"/>
              </w:rPr>
              <w:br w:type="textWrapping"/>
            </w:r>
            <w:r>
              <w:rPr>
                <w:rFonts w:hint="eastAsia" w:cs="宋体"/>
                <w:color w:val="000000"/>
                <w:kern w:val="0"/>
                <w:sz w:val="24"/>
              </w:rPr>
              <w:t>低于70%计0分。</w:t>
            </w:r>
          </w:p>
        </w:tc>
        <w:tc>
          <w:tcPr>
            <w:tcW w:w="2742"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社会公众或服务对象是指部门（单位）履行职责而影响到的部门、群体或个人，一般采取社会调查的方式。</w:t>
            </w:r>
          </w:p>
        </w:tc>
        <w:tc>
          <w:tcPr>
            <w:tcW w:w="559"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2512" w:type="dxa"/>
            <w:gridSpan w:val="5"/>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exact"/>
              <w:jc w:val="center"/>
              <w:rPr>
                <w:rFonts w:hint="eastAsia" w:cs="宋体"/>
                <w:color w:val="000000"/>
                <w:kern w:val="0"/>
                <w:sz w:val="24"/>
              </w:rPr>
            </w:pPr>
            <w:r>
              <w:rPr>
                <w:rFonts w:hint="eastAsia" w:cs="宋体"/>
                <w:color w:val="000000"/>
                <w:sz w:val="24"/>
              </w:rPr>
              <w:t>合计</w:t>
            </w:r>
          </w:p>
        </w:tc>
        <w:tc>
          <w:tcPr>
            <w:tcW w:w="8066" w:type="dxa"/>
            <w:gridSpan w:val="6"/>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84</w:t>
            </w:r>
          </w:p>
        </w:tc>
      </w:tr>
    </w:tbl>
    <w:p>
      <w:pPr>
        <w:overflowPunct w:val="0"/>
        <w:autoSpaceDE w:val="0"/>
        <w:autoSpaceDN w:val="0"/>
        <w:spacing w:line="592" w:lineRule="exact"/>
        <w:rPr>
          <w:rFonts w:hAnsi="黑体" w:eastAsia="黑体"/>
          <w:color w:val="000000"/>
          <w:sz w:val="32"/>
          <w:szCs w:val="32"/>
        </w:rPr>
      </w:pPr>
    </w:p>
    <w:p>
      <w:pPr>
        <w:overflowPunct w:val="0"/>
        <w:autoSpaceDE w:val="0"/>
        <w:autoSpaceDN w:val="0"/>
        <w:spacing w:line="592" w:lineRule="exact"/>
        <w:rPr>
          <w:rFonts w:hAnsi="黑体" w:eastAsia="黑体"/>
          <w:color w:val="000000"/>
          <w:sz w:val="32"/>
          <w:szCs w:val="32"/>
        </w:rPr>
      </w:pPr>
    </w:p>
    <w:p>
      <w:pPr>
        <w:overflowPunct w:val="0"/>
        <w:autoSpaceDE w:val="0"/>
        <w:autoSpaceDN w:val="0"/>
        <w:spacing w:line="592" w:lineRule="exact"/>
        <w:rPr>
          <w:rFonts w:hint="eastAsia" w:eastAsia="黑体"/>
          <w:color w:val="000000"/>
          <w:sz w:val="32"/>
          <w:szCs w:val="32"/>
          <w:lang w:val="en-US" w:eastAsia="zh-CN"/>
        </w:rPr>
      </w:pPr>
      <w:r>
        <w:rPr>
          <w:rFonts w:hAnsi="黑体" w:eastAsia="黑体"/>
          <w:color w:val="000000"/>
          <w:sz w:val="32"/>
          <w:szCs w:val="32"/>
        </w:rPr>
        <w:t>附件</w:t>
      </w:r>
      <w:r>
        <w:rPr>
          <w:rFonts w:hint="eastAsia" w:hAnsi="黑体" w:eastAsia="黑体"/>
          <w:color w:val="000000"/>
          <w:sz w:val="32"/>
          <w:szCs w:val="32"/>
          <w:lang w:val="en-US" w:eastAsia="zh-CN"/>
        </w:rPr>
        <w:t>6</w:t>
      </w:r>
    </w:p>
    <w:p>
      <w:pPr>
        <w:overflowPunct w:val="0"/>
        <w:autoSpaceDE w:val="0"/>
        <w:autoSpaceDN w:val="0"/>
        <w:spacing w:line="592" w:lineRule="exact"/>
        <w:jc w:val="center"/>
        <w:rPr>
          <w:rFonts w:hint="default" w:ascii="方正大标宋简体" w:hAnsi="Times New Roman" w:eastAsia="方正大标宋简体" w:cs="仿宋_GB2312"/>
          <w:bCs/>
          <w:color w:val="000000"/>
          <w:sz w:val="44"/>
          <w:szCs w:val="44"/>
          <w:lang w:val="en-US" w:eastAsia="zh-CN"/>
        </w:rPr>
      </w:pPr>
      <w:r>
        <w:rPr>
          <w:rFonts w:hint="eastAsia" w:ascii="方正大标宋简体" w:hAnsi="Times New Roman" w:eastAsia="方正大标宋简体" w:cs="仿宋_GB2312"/>
          <w:bCs/>
          <w:color w:val="000000"/>
          <w:sz w:val="44"/>
          <w:szCs w:val="44"/>
          <w:lang w:val="en-US" w:eastAsia="zh-CN"/>
        </w:rPr>
        <w:t>益阳市</w:t>
      </w:r>
      <w:r>
        <w:rPr>
          <w:rFonts w:hint="eastAsia" w:ascii="方正大标宋简体" w:eastAsia="方正大标宋简体" w:cs="仿宋_GB2312"/>
          <w:bCs/>
          <w:color w:val="000000"/>
          <w:sz w:val="44"/>
          <w:szCs w:val="44"/>
          <w:lang w:val="en-US" w:eastAsia="zh-CN"/>
        </w:rPr>
        <w:t>生态</w:t>
      </w:r>
      <w:r>
        <w:rPr>
          <w:rFonts w:hint="eastAsia" w:ascii="方正大标宋简体" w:hAnsi="Times New Roman" w:eastAsia="方正大标宋简体" w:cs="仿宋_GB2312"/>
          <w:bCs/>
          <w:color w:val="000000"/>
          <w:sz w:val="44"/>
          <w:szCs w:val="44"/>
          <w:lang w:val="en-US" w:eastAsia="zh-CN"/>
        </w:rPr>
        <w:t>环境局大通湖分局</w:t>
      </w:r>
    </w:p>
    <w:p>
      <w:pPr>
        <w:overflowPunct w:val="0"/>
        <w:autoSpaceDE w:val="0"/>
        <w:autoSpaceDN w:val="0"/>
        <w:spacing w:line="592" w:lineRule="exact"/>
        <w:jc w:val="center"/>
        <w:rPr>
          <w:rFonts w:hint="eastAsia" w:ascii="方正大标宋简体" w:hAnsi="Times New Roman" w:eastAsia="方正大标宋简体" w:cs="仿宋_GB2312"/>
          <w:bCs/>
          <w:color w:val="000000"/>
          <w:sz w:val="44"/>
          <w:szCs w:val="44"/>
          <w:lang w:val="en-US" w:eastAsia="zh-CN"/>
        </w:rPr>
      </w:pPr>
      <w:r>
        <w:rPr>
          <w:rFonts w:hint="eastAsia" w:ascii="方正大标宋简体" w:hAnsi="Times New Roman" w:eastAsia="方正大标宋简体" w:cs="仿宋_GB2312"/>
          <w:bCs/>
          <w:color w:val="000000"/>
          <w:sz w:val="44"/>
          <w:szCs w:val="44"/>
          <w:lang w:val="en-US" w:eastAsia="zh-CN"/>
        </w:rPr>
        <w:t>部门整体支出绩效评价报告</w:t>
      </w:r>
    </w:p>
    <w:p>
      <w:pPr>
        <w:numPr>
          <w:ilvl w:val="0"/>
          <w:numId w:val="0"/>
        </w:numPr>
        <w:overflowPunct w:val="0"/>
        <w:autoSpaceDE w:val="0"/>
        <w:autoSpaceDN w:val="0"/>
        <w:spacing w:line="592"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val="en-US" w:eastAsia="zh-CN"/>
        </w:rPr>
        <w:t>一、单位</w:t>
      </w:r>
      <w:r>
        <w:rPr>
          <w:rFonts w:hint="eastAsia" w:ascii="黑体" w:hAnsi="黑体" w:eastAsia="黑体" w:cs="仿宋_GB2312"/>
          <w:bCs/>
          <w:color w:val="000000"/>
          <w:sz w:val="32"/>
          <w:szCs w:val="32"/>
        </w:rPr>
        <w:t>基本情况</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益阳市生态</w:t>
      </w:r>
      <w:bookmarkStart w:id="1" w:name="_GoBack"/>
      <w:bookmarkEnd w:id="1"/>
      <w:r>
        <w:rPr>
          <w:rFonts w:hint="eastAsia" w:ascii="仿宋" w:hAnsi="仿宋" w:eastAsia="仿宋" w:cs="仿宋"/>
          <w:color w:val="000000"/>
          <w:sz w:val="32"/>
          <w:szCs w:val="32"/>
          <w:lang w:eastAsia="zh-CN"/>
        </w:rPr>
        <w:t>环境局大通湖分局于</w:t>
      </w:r>
      <w:r>
        <w:rPr>
          <w:rFonts w:hint="eastAsia" w:ascii="仿宋" w:hAnsi="仿宋" w:eastAsia="仿宋" w:cs="仿宋"/>
          <w:color w:val="000000"/>
          <w:sz w:val="32"/>
          <w:szCs w:val="32"/>
          <w:lang w:val="en-US" w:eastAsia="zh-CN"/>
        </w:rPr>
        <w:t>2019年4月成立，</w:t>
      </w:r>
      <w:r>
        <w:rPr>
          <w:rFonts w:hint="eastAsia" w:ascii="仿宋" w:hAnsi="仿宋" w:eastAsia="仿宋" w:cs="仿宋"/>
          <w:color w:val="000000"/>
          <w:sz w:val="32"/>
          <w:szCs w:val="32"/>
          <w:lang w:eastAsia="zh-CN"/>
        </w:rPr>
        <w:t>其</w:t>
      </w:r>
      <w:r>
        <w:rPr>
          <w:rFonts w:hint="eastAsia" w:ascii="仿宋" w:hAnsi="仿宋" w:eastAsia="仿宋" w:cs="仿宋"/>
          <w:color w:val="000000"/>
          <w:sz w:val="32"/>
          <w:szCs w:val="32"/>
        </w:rPr>
        <w:t>主要承担</w:t>
      </w:r>
      <w:r>
        <w:rPr>
          <w:rFonts w:hint="eastAsia" w:ascii="仿宋" w:hAnsi="仿宋" w:eastAsia="仿宋" w:cs="仿宋"/>
          <w:color w:val="000000"/>
          <w:sz w:val="32"/>
          <w:szCs w:val="32"/>
          <w:lang w:eastAsia="zh-CN"/>
        </w:rPr>
        <w:t>全区环境保护工作，内设股室和二级机构</w:t>
      </w:r>
      <w:r>
        <w:rPr>
          <w:rFonts w:hint="eastAsia" w:ascii="仿宋" w:hAnsi="仿宋" w:eastAsia="仿宋" w:cs="仿宋"/>
          <w:color w:val="000000"/>
          <w:sz w:val="32"/>
          <w:szCs w:val="32"/>
          <w:lang w:val="en-US" w:eastAsia="zh-CN"/>
        </w:rPr>
        <w:t>7各。</w:t>
      </w:r>
      <w:r>
        <w:rPr>
          <w:rFonts w:hint="eastAsia" w:ascii="仿宋" w:hAnsi="仿宋" w:eastAsia="仿宋" w:cs="仿宋"/>
          <w:color w:val="000000"/>
          <w:sz w:val="32"/>
          <w:szCs w:val="32"/>
        </w:rPr>
        <w:t>现有工作人员</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人，在编行政人员</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人，在编事业人员</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设局长1名（正科级领导</w:t>
      </w:r>
      <w:r>
        <w:rPr>
          <w:rFonts w:hint="eastAsia" w:ascii="仿宋" w:hAnsi="仿宋" w:eastAsia="仿宋" w:cs="仿宋"/>
          <w:color w:val="000000"/>
          <w:sz w:val="32"/>
          <w:szCs w:val="32"/>
          <w:lang w:eastAsia="zh-CN"/>
        </w:rPr>
        <w:t>职数</w:t>
      </w:r>
      <w:r>
        <w:rPr>
          <w:rFonts w:hint="eastAsia" w:ascii="仿宋" w:hAnsi="仿宋" w:eastAsia="仿宋" w:cs="仿宋"/>
          <w:color w:val="000000"/>
          <w:sz w:val="32"/>
          <w:szCs w:val="32"/>
        </w:rPr>
        <w:t>），副局长2名（副科级领导职数）。</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内</w:t>
      </w:r>
      <w:r>
        <w:rPr>
          <w:rFonts w:hint="eastAsia" w:ascii="仿宋" w:hAnsi="仿宋" w:eastAsia="仿宋" w:cs="仿宋"/>
          <w:color w:val="000000"/>
          <w:sz w:val="32"/>
          <w:szCs w:val="32"/>
          <w:lang w:eastAsia="zh-CN"/>
        </w:rPr>
        <w:t>设</w:t>
      </w:r>
      <w:r>
        <w:rPr>
          <w:rFonts w:hint="eastAsia" w:ascii="仿宋" w:hAnsi="仿宋" w:eastAsia="仿宋" w:cs="仿宋"/>
          <w:color w:val="000000"/>
          <w:sz w:val="32"/>
          <w:szCs w:val="32"/>
        </w:rPr>
        <w:t>机构包括：</w:t>
      </w:r>
      <w:r>
        <w:rPr>
          <w:rFonts w:hint="eastAsia" w:ascii="仿宋" w:hAnsi="仿宋" w:eastAsia="仿宋" w:cs="仿宋"/>
          <w:color w:val="000000"/>
          <w:sz w:val="32"/>
          <w:szCs w:val="32"/>
          <w:lang w:eastAsia="zh-CN"/>
        </w:rPr>
        <w:t>七个</w:t>
      </w:r>
      <w:r>
        <w:rPr>
          <w:rFonts w:hint="eastAsia" w:ascii="仿宋" w:hAnsi="仿宋" w:eastAsia="仿宋" w:cs="仿宋"/>
          <w:color w:val="000000"/>
          <w:sz w:val="32"/>
          <w:szCs w:val="32"/>
        </w:rPr>
        <w:t>股室和二级机构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办公室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综合协调股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法规与宣传教育股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污染防治股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环境影响评价与排放管理股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生态环境保护综合行政执法大队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生态环境监测站。</w:t>
      </w:r>
    </w:p>
    <w:p>
      <w:pPr>
        <w:numPr>
          <w:ilvl w:val="0"/>
          <w:numId w:val="0"/>
        </w:numPr>
        <w:overflowPunct w:val="0"/>
        <w:autoSpaceDE w:val="0"/>
        <w:autoSpaceDN w:val="0"/>
        <w:spacing w:line="592" w:lineRule="exact"/>
        <w:ind w:firstLine="640" w:firstLineChars="200"/>
        <w:rPr>
          <w:rFonts w:hint="eastAsia" w:ascii="黑体" w:hAnsi="黑体" w:eastAsia="黑体" w:cs="仿宋_GB2312"/>
          <w:bCs/>
          <w:color w:val="000000"/>
          <w:sz w:val="32"/>
          <w:szCs w:val="32"/>
          <w:lang w:val="en-US" w:eastAsia="zh-CN"/>
        </w:rPr>
      </w:pPr>
      <w:r>
        <w:rPr>
          <w:rFonts w:hint="eastAsia" w:ascii="黑体" w:hAnsi="黑体" w:eastAsia="黑体" w:cs="仿宋_GB2312"/>
          <w:bCs/>
          <w:color w:val="000000"/>
          <w:sz w:val="32"/>
          <w:szCs w:val="32"/>
          <w:lang w:val="en-US" w:eastAsia="zh-CN"/>
        </w:rPr>
        <w:t>二、单位收支情况</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lang w:eastAsia="zh-CN"/>
        </w:rPr>
        <w:t>年我局部门决算收支完成情况。全年收入合计为</w:t>
      </w:r>
      <w:r>
        <w:rPr>
          <w:rFonts w:hint="eastAsia" w:ascii="仿宋" w:hAnsi="仿宋" w:eastAsia="仿宋" w:cs="仿宋"/>
          <w:color w:val="000000"/>
          <w:sz w:val="32"/>
          <w:szCs w:val="32"/>
          <w:lang w:val="en-US" w:eastAsia="zh-CN"/>
        </w:rPr>
        <w:t>309.41万</w:t>
      </w:r>
      <w:r>
        <w:rPr>
          <w:rFonts w:hint="eastAsia" w:ascii="仿宋" w:hAnsi="仿宋" w:eastAsia="仿宋" w:cs="仿宋"/>
          <w:color w:val="000000"/>
          <w:sz w:val="32"/>
          <w:szCs w:val="32"/>
          <w:lang w:eastAsia="zh-CN"/>
        </w:rPr>
        <w:t>元，</w:t>
      </w:r>
      <w:r>
        <w:rPr>
          <w:rFonts w:hint="eastAsia" w:ascii="仿宋" w:hAnsi="仿宋" w:eastAsia="仿宋" w:cs="仿宋"/>
          <w:color w:val="000000"/>
          <w:sz w:val="32"/>
          <w:szCs w:val="32"/>
          <w:lang w:val="en-US" w:eastAsia="zh-CN"/>
        </w:rPr>
        <w:t>其中</w:t>
      </w:r>
      <w:r>
        <w:rPr>
          <w:rFonts w:hint="eastAsia" w:ascii="仿宋" w:hAnsi="仿宋" w:eastAsia="仿宋" w:cs="仿宋"/>
          <w:color w:val="000000"/>
          <w:sz w:val="32"/>
          <w:szCs w:val="32"/>
          <w:lang w:eastAsia="zh-CN"/>
        </w:rPr>
        <w:t>财政拨款收入</w:t>
      </w:r>
      <w:r>
        <w:rPr>
          <w:rFonts w:hint="eastAsia" w:ascii="仿宋" w:hAnsi="仿宋" w:eastAsia="仿宋" w:cs="仿宋"/>
          <w:color w:val="000000"/>
          <w:sz w:val="32"/>
          <w:szCs w:val="32"/>
          <w:lang w:val="en-US" w:eastAsia="zh-CN"/>
        </w:rPr>
        <w:t>280.73万元，其他收入28.68万元。</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全年支出合计为</w:t>
      </w:r>
      <w:r>
        <w:rPr>
          <w:rFonts w:hint="eastAsia" w:ascii="仿宋" w:hAnsi="仿宋" w:eastAsia="仿宋" w:cs="仿宋"/>
          <w:color w:val="000000"/>
          <w:sz w:val="32"/>
          <w:szCs w:val="32"/>
          <w:lang w:val="en-US" w:eastAsia="zh-CN"/>
        </w:rPr>
        <w:t>264.83万</w:t>
      </w:r>
      <w:r>
        <w:rPr>
          <w:rFonts w:hint="eastAsia" w:ascii="仿宋" w:hAnsi="仿宋" w:eastAsia="仿宋" w:cs="仿宋"/>
          <w:color w:val="000000"/>
          <w:sz w:val="32"/>
          <w:szCs w:val="32"/>
          <w:lang w:eastAsia="zh-CN"/>
        </w:rPr>
        <w:t>元，其中项目支出</w:t>
      </w:r>
      <w:r>
        <w:rPr>
          <w:rFonts w:hint="eastAsia" w:ascii="仿宋" w:hAnsi="仿宋" w:eastAsia="仿宋" w:cs="仿宋"/>
          <w:color w:val="000000"/>
          <w:sz w:val="32"/>
          <w:szCs w:val="32"/>
          <w:lang w:val="en-US" w:eastAsia="zh-CN"/>
        </w:rPr>
        <w:t>141.91万</w:t>
      </w:r>
      <w:r>
        <w:rPr>
          <w:rFonts w:hint="eastAsia" w:ascii="仿宋" w:hAnsi="仿宋" w:eastAsia="仿宋" w:cs="仿宋"/>
          <w:color w:val="000000"/>
          <w:sz w:val="32"/>
          <w:szCs w:val="32"/>
          <w:lang w:eastAsia="zh-CN"/>
        </w:rPr>
        <w:t>元，其中基本支出</w:t>
      </w:r>
      <w:r>
        <w:rPr>
          <w:rFonts w:hint="eastAsia" w:ascii="仿宋" w:hAnsi="仿宋" w:eastAsia="仿宋" w:cs="仿宋"/>
          <w:color w:val="000000"/>
          <w:sz w:val="32"/>
          <w:szCs w:val="32"/>
          <w:lang w:val="en-US" w:eastAsia="zh-CN"/>
        </w:rPr>
        <w:t>122.92万</w:t>
      </w:r>
      <w:r>
        <w:rPr>
          <w:rFonts w:hint="eastAsia" w:ascii="仿宋" w:hAnsi="仿宋" w:eastAsia="仿宋" w:cs="仿宋"/>
          <w:color w:val="000000"/>
          <w:sz w:val="32"/>
          <w:szCs w:val="32"/>
          <w:lang w:eastAsia="zh-CN"/>
        </w:rPr>
        <w:t>元</w:t>
      </w:r>
      <w:r>
        <w:rPr>
          <w:rFonts w:hint="eastAsia" w:ascii="仿宋" w:hAnsi="仿宋" w:eastAsia="仿宋" w:cs="仿宋"/>
          <w:color w:val="000000"/>
          <w:sz w:val="32"/>
          <w:szCs w:val="32"/>
          <w:lang w:val="en-US" w:eastAsia="zh-CN"/>
        </w:rPr>
        <w:t>,当年年终结转结余44.58万元，年初预算完成率100%。</w:t>
      </w:r>
      <w:r>
        <w:rPr>
          <w:rFonts w:hint="eastAsia" w:ascii="仿宋" w:hAnsi="仿宋" w:eastAsia="仿宋" w:cs="仿宋"/>
          <w:color w:val="000000"/>
          <w:sz w:val="32"/>
          <w:szCs w:val="32"/>
          <w:lang w:eastAsia="zh-CN"/>
        </w:rPr>
        <w:t>基本支出是为保障单位正常运转、完成日常工作任务而发生的各项支出，包括人员经费和日常公用经费。项目支出是为完成特定工作任务发生的专项支出。</w:t>
      </w:r>
    </w:p>
    <w:p>
      <w:pPr>
        <w:numPr>
          <w:ilvl w:val="0"/>
          <w:numId w:val="0"/>
        </w:numPr>
        <w:overflowPunct w:val="0"/>
        <w:autoSpaceDE w:val="0"/>
        <w:autoSpaceDN w:val="0"/>
        <w:spacing w:line="592" w:lineRule="exact"/>
        <w:ind w:firstLine="640" w:firstLineChars="200"/>
        <w:rPr>
          <w:rFonts w:hint="eastAsia" w:ascii="黑体" w:hAnsi="黑体" w:eastAsia="黑体" w:cs="仿宋_GB2312"/>
          <w:bCs/>
          <w:color w:val="000000"/>
          <w:sz w:val="32"/>
          <w:szCs w:val="32"/>
          <w:lang w:val="en-US" w:eastAsia="zh-CN"/>
        </w:rPr>
      </w:pPr>
      <w:r>
        <w:rPr>
          <w:rFonts w:hint="eastAsia" w:ascii="黑体" w:hAnsi="黑体" w:eastAsia="黑体" w:cs="仿宋_GB2312"/>
          <w:bCs/>
          <w:color w:val="000000"/>
          <w:sz w:val="32"/>
          <w:szCs w:val="32"/>
          <w:lang w:val="en-US" w:eastAsia="zh-CN"/>
        </w:rPr>
        <w:t>三、部门整体支出绩效目标</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lang w:eastAsia="zh-CN"/>
        </w:rPr>
        <w:t>年我局在省、市各部门和区委、区管委的正确领导下，在全体干部职工的共同努力下，按照省、市、区的全面部署，我局认真组织实施，全面发动，分级负责，全面完成了各项工作目标任务。通过加强预算收支管理，不断建立健全内部管理制度，梳理内部管理流程，部门整体支出管理情况得到提升。根据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lang w:eastAsia="zh-CN"/>
        </w:rPr>
        <w:t>年度部门整体支出状况的概述和分析，部门整体支出绩效情况如下：</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市委市政府绩效考核的个性指标：基本完成，属于一类单位</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2、 </w:t>
      </w:r>
      <w:r>
        <w:rPr>
          <w:rFonts w:hint="eastAsia" w:ascii="仿宋" w:hAnsi="仿宋" w:eastAsia="仿宋" w:cs="仿宋"/>
          <w:color w:val="000000"/>
          <w:sz w:val="32"/>
          <w:szCs w:val="32"/>
          <w:lang w:eastAsia="zh-CN"/>
        </w:rPr>
        <w:t>在职人员控制率：财政供养人员编制</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lang w:eastAsia="zh-CN"/>
        </w:rPr>
        <w:t>名，截止201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年末实有在职人员</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名，控制率为</w:t>
      </w:r>
      <w:r>
        <w:rPr>
          <w:rFonts w:hint="eastAsia" w:ascii="仿宋" w:hAnsi="仿宋" w:eastAsia="仿宋" w:cs="仿宋"/>
          <w:color w:val="000000"/>
          <w:sz w:val="32"/>
          <w:szCs w:val="32"/>
          <w:lang w:val="en-US" w:eastAsia="zh-CN"/>
        </w:rPr>
        <w:t>166</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“三公经费”变动率：201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年预算金额为</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万元,20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lang w:eastAsia="zh-CN"/>
        </w:rPr>
        <w:t>年预算金额为</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万元,无变动；</w:t>
      </w:r>
      <w:r>
        <w:rPr>
          <w:rFonts w:hint="eastAsia" w:ascii="仿宋" w:hAnsi="仿宋" w:eastAsia="仿宋" w:cs="仿宋"/>
          <w:color w:val="000000"/>
          <w:sz w:val="32"/>
          <w:szCs w:val="32"/>
          <w:lang w:val="en-US" w:eastAsia="zh-CN"/>
        </w:rPr>
        <w:t>变动率为0</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预算完成率：</w:t>
      </w:r>
      <w:r>
        <w:rPr>
          <w:rFonts w:hint="eastAsia" w:ascii="仿宋" w:hAnsi="仿宋" w:eastAsia="仿宋" w:cs="仿宋"/>
          <w:color w:val="000000"/>
          <w:sz w:val="32"/>
          <w:szCs w:val="32"/>
          <w:lang w:val="en-US" w:eastAsia="zh-CN"/>
        </w:rPr>
        <w:t>2020年年</w:t>
      </w:r>
      <w:r>
        <w:rPr>
          <w:rFonts w:hint="eastAsia" w:ascii="仿宋" w:hAnsi="仿宋" w:eastAsia="仿宋" w:cs="仿宋"/>
          <w:color w:val="000000"/>
          <w:sz w:val="32"/>
          <w:szCs w:val="32"/>
          <w:lang w:eastAsia="zh-CN"/>
        </w:rPr>
        <w:t>预算数为</w:t>
      </w:r>
      <w:r>
        <w:rPr>
          <w:rFonts w:hint="eastAsia" w:ascii="仿宋" w:hAnsi="仿宋" w:eastAsia="仿宋" w:cs="仿宋"/>
          <w:color w:val="000000"/>
          <w:sz w:val="32"/>
          <w:szCs w:val="32"/>
          <w:lang w:val="en-US" w:eastAsia="zh-CN"/>
        </w:rPr>
        <w:t>95万</w:t>
      </w:r>
      <w:r>
        <w:rPr>
          <w:rFonts w:hint="eastAsia" w:ascii="仿宋" w:hAnsi="仿宋" w:eastAsia="仿宋" w:cs="仿宋"/>
          <w:color w:val="000000"/>
          <w:sz w:val="32"/>
          <w:szCs w:val="32"/>
          <w:lang w:eastAsia="zh-CN"/>
        </w:rPr>
        <w:t>元,本年决算数为</w:t>
      </w:r>
      <w:r>
        <w:rPr>
          <w:rFonts w:hint="eastAsia" w:ascii="仿宋" w:hAnsi="仿宋" w:eastAsia="仿宋" w:cs="仿宋"/>
          <w:color w:val="000000"/>
          <w:sz w:val="32"/>
          <w:szCs w:val="32"/>
          <w:lang w:val="en-US" w:eastAsia="zh-CN"/>
        </w:rPr>
        <w:t>264.83万</w:t>
      </w:r>
      <w:r>
        <w:rPr>
          <w:rFonts w:hint="eastAsia" w:ascii="仿宋" w:hAnsi="仿宋" w:eastAsia="仿宋" w:cs="仿宋"/>
          <w:color w:val="000000"/>
          <w:sz w:val="32"/>
          <w:szCs w:val="32"/>
          <w:lang w:eastAsia="zh-CN"/>
        </w:rPr>
        <w:t>元,完成率为</w:t>
      </w:r>
      <w:r>
        <w:rPr>
          <w:rFonts w:hint="eastAsia" w:ascii="仿宋" w:hAnsi="仿宋" w:eastAsia="仿宋" w:cs="仿宋"/>
          <w:color w:val="000000"/>
          <w:sz w:val="32"/>
          <w:szCs w:val="32"/>
          <w:lang w:val="en-US" w:eastAsia="zh-CN"/>
        </w:rPr>
        <w:t>278.76</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预算控制率：年初预算为</w:t>
      </w:r>
      <w:r>
        <w:rPr>
          <w:rFonts w:hint="eastAsia" w:ascii="仿宋" w:hAnsi="仿宋" w:eastAsia="仿宋" w:cs="仿宋"/>
          <w:color w:val="000000"/>
          <w:sz w:val="32"/>
          <w:szCs w:val="32"/>
          <w:lang w:val="en-US" w:eastAsia="zh-CN"/>
        </w:rPr>
        <w:t>95万</w:t>
      </w:r>
      <w:r>
        <w:rPr>
          <w:rFonts w:hint="eastAsia" w:ascii="仿宋" w:hAnsi="仿宋" w:eastAsia="仿宋" w:cs="仿宋"/>
          <w:color w:val="000000"/>
          <w:sz w:val="32"/>
          <w:szCs w:val="32"/>
          <w:lang w:eastAsia="zh-CN"/>
        </w:rPr>
        <w:t>元,追加预算为</w:t>
      </w:r>
      <w:r>
        <w:rPr>
          <w:rFonts w:hint="eastAsia" w:ascii="仿宋" w:hAnsi="仿宋" w:eastAsia="仿宋" w:cs="仿宋"/>
          <w:color w:val="000000"/>
          <w:sz w:val="32"/>
          <w:szCs w:val="32"/>
          <w:lang w:val="en-US" w:eastAsia="zh-CN"/>
        </w:rPr>
        <w:t>214.41万</w:t>
      </w:r>
      <w:r>
        <w:rPr>
          <w:rFonts w:hint="eastAsia" w:ascii="仿宋" w:hAnsi="仿宋" w:eastAsia="仿宋" w:cs="仿宋"/>
          <w:color w:val="000000"/>
          <w:sz w:val="32"/>
          <w:szCs w:val="32"/>
          <w:lang w:eastAsia="zh-CN"/>
        </w:rPr>
        <w:t>元, 预算调整率为</w:t>
      </w:r>
      <w:r>
        <w:rPr>
          <w:rFonts w:hint="eastAsia" w:ascii="仿宋" w:hAnsi="仿宋" w:eastAsia="仿宋" w:cs="仿宋"/>
          <w:color w:val="000000"/>
          <w:sz w:val="32"/>
          <w:szCs w:val="32"/>
          <w:lang w:val="en-US" w:eastAsia="zh-CN"/>
        </w:rPr>
        <w:t>225.69</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新建楼堂馆所: 没有新建楼堂馆所的建设项目；</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公用经费控制率：实际支出公用经费总额</w:t>
      </w:r>
      <w:r>
        <w:rPr>
          <w:rFonts w:hint="eastAsia" w:ascii="仿宋" w:hAnsi="仿宋" w:eastAsia="仿宋" w:cs="仿宋"/>
          <w:color w:val="000000"/>
          <w:sz w:val="32"/>
          <w:szCs w:val="32"/>
          <w:lang w:val="en-US" w:eastAsia="zh-CN"/>
        </w:rPr>
        <w:t>65.73万</w:t>
      </w:r>
      <w:r>
        <w:rPr>
          <w:rFonts w:hint="eastAsia" w:ascii="仿宋" w:hAnsi="仿宋" w:eastAsia="仿宋" w:cs="仿宋"/>
          <w:color w:val="000000"/>
          <w:sz w:val="32"/>
          <w:szCs w:val="32"/>
          <w:lang w:eastAsia="zh-CN"/>
        </w:rPr>
        <w:t>元，预算安排公用经费总额为</w:t>
      </w:r>
      <w:r>
        <w:rPr>
          <w:rFonts w:hint="eastAsia" w:ascii="仿宋" w:hAnsi="仿宋" w:eastAsia="仿宋" w:cs="仿宋"/>
          <w:color w:val="000000"/>
          <w:sz w:val="32"/>
          <w:szCs w:val="32"/>
          <w:lang w:val="en-US" w:eastAsia="zh-CN"/>
        </w:rPr>
        <w:t>95万</w:t>
      </w:r>
      <w:r>
        <w:rPr>
          <w:rFonts w:hint="eastAsia" w:ascii="仿宋" w:hAnsi="仿宋" w:eastAsia="仿宋" w:cs="仿宋"/>
          <w:color w:val="000000"/>
          <w:sz w:val="32"/>
          <w:szCs w:val="32"/>
          <w:lang w:eastAsia="zh-CN"/>
        </w:rPr>
        <w:t>元,控制率为</w:t>
      </w:r>
      <w:r>
        <w:rPr>
          <w:rFonts w:hint="eastAsia" w:ascii="仿宋" w:hAnsi="仿宋" w:eastAsia="仿宋" w:cs="仿宋"/>
          <w:color w:val="000000"/>
          <w:sz w:val="32"/>
          <w:szCs w:val="32"/>
          <w:lang w:val="en-US" w:eastAsia="zh-CN"/>
        </w:rPr>
        <w:t>69.18</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eastAsia="zh-CN"/>
        </w:rPr>
        <w:t>预决算公开：坚持“三公经费”在局务会公开，并张榜公示</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存量资金管理按时缴纳到国库</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lang w:eastAsia="zh-CN"/>
        </w:rPr>
        <w:t>资产管理：建立健全固定资产管理制度，完善资产手续</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lang w:eastAsia="zh-CN"/>
        </w:rPr>
        <w:t>三公经费控制：“三公经费”实际支出数</w:t>
      </w:r>
      <w:r>
        <w:rPr>
          <w:rFonts w:hint="eastAsia" w:ascii="仿宋" w:hAnsi="仿宋" w:eastAsia="仿宋" w:cs="仿宋"/>
          <w:color w:val="000000"/>
          <w:sz w:val="32"/>
          <w:szCs w:val="32"/>
          <w:lang w:val="en-US" w:eastAsia="zh-CN"/>
        </w:rPr>
        <w:t>10.92万元</w:t>
      </w:r>
      <w:r>
        <w:rPr>
          <w:rFonts w:hint="eastAsia" w:ascii="仿宋" w:hAnsi="仿宋" w:eastAsia="仿宋" w:cs="仿宋"/>
          <w:color w:val="000000"/>
          <w:sz w:val="32"/>
          <w:szCs w:val="32"/>
          <w:lang w:eastAsia="zh-CN"/>
        </w:rPr>
        <w:t>“三公经费”预算安排数为</w:t>
      </w:r>
      <w:r>
        <w:rPr>
          <w:rFonts w:hint="eastAsia" w:ascii="仿宋" w:hAnsi="仿宋" w:eastAsia="仿宋" w:cs="仿宋"/>
          <w:color w:val="000000"/>
          <w:sz w:val="32"/>
          <w:szCs w:val="32"/>
          <w:lang w:val="en-US" w:eastAsia="zh-CN"/>
        </w:rPr>
        <w:t>9万</w:t>
      </w:r>
      <w:r>
        <w:rPr>
          <w:rFonts w:hint="eastAsia" w:ascii="仿宋" w:hAnsi="仿宋" w:eastAsia="仿宋" w:cs="仿宋"/>
          <w:color w:val="000000"/>
          <w:sz w:val="32"/>
          <w:szCs w:val="32"/>
          <w:lang w:eastAsia="zh-CN"/>
        </w:rPr>
        <w:t>元，控制率为</w:t>
      </w:r>
      <w:r>
        <w:rPr>
          <w:rFonts w:hint="eastAsia" w:ascii="仿宋" w:hAnsi="仿宋" w:eastAsia="仿宋" w:cs="仿宋"/>
          <w:color w:val="000000"/>
          <w:sz w:val="32"/>
          <w:szCs w:val="32"/>
          <w:lang w:val="en-US" w:eastAsia="zh-CN"/>
        </w:rPr>
        <w:t>121.33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lang w:eastAsia="zh-CN"/>
        </w:rPr>
        <w:t>内部管理制度建设等的设定及完成情况：建立健全公务接待、财务管理、工程项目审计管理、廉洁从审等制度。</w:t>
      </w:r>
    </w:p>
    <w:p>
      <w:pPr>
        <w:numPr>
          <w:ilvl w:val="0"/>
          <w:numId w:val="0"/>
        </w:numPr>
        <w:overflowPunct w:val="0"/>
        <w:autoSpaceDE w:val="0"/>
        <w:autoSpaceDN w:val="0"/>
        <w:spacing w:line="592" w:lineRule="exact"/>
        <w:ind w:firstLine="640" w:firstLineChars="200"/>
        <w:rPr>
          <w:rFonts w:hint="eastAsia" w:ascii="黑体" w:hAnsi="黑体" w:eastAsia="黑体" w:cs="仿宋_GB2312"/>
          <w:bCs/>
          <w:color w:val="000000"/>
          <w:sz w:val="32"/>
          <w:szCs w:val="32"/>
          <w:lang w:val="en-US" w:eastAsia="zh-CN"/>
        </w:rPr>
      </w:pPr>
      <w:r>
        <w:rPr>
          <w:rFonts w:hint="eastAsia" w:ascii="黑体" w:hAnsi="黑体" w:eastAsia="黑体" w:cs="仿宋_GB2312"/>
          <w:bCs/>
          <w:color w:val="000000"/>
          <w:sz w:val="32"/>
          <w:szCs w:val="32"/>
          <w:lang w:val="en-US" w:eastAsia="zh-CN"/>
        </w:rPr>
        <w:t>四、绩效评价工作情况</w:t>
      </w:r>
    </w:p>
    <w:p>
      <w:pPr>
        <w:pStyle w:val="2"/>
        <w:rPr>
          <w:rFonts w:hint="eastAsia" w:ascii="仿宋" w:hAnsi="仿宋" w:eastAsia="仿宋" w:cs="仿宋"/>
          <w:sz w:val="32"/>
          <w:szCs w:val="32"/>
        </w:rPr>
      </w:pPr>
      <w:r>
        <w:rPr>
          <w:rFonts w:hint="eastAsia" w:ascii="仿宋" w:hAnsi="仿宋" w:eastAsia="仿宋" w:cs="仿宋"/>
          <w:sz w:val="32"/>
          <w:szCs w:val="32"/>
        </w:rPr>
        <w:t>（一）绩效评价目的</w:t>
      </w:r>
    </w:p>
    <w:p>
      <w:pPr>
        <w:pStyle w:val="2"/>
        <w:rPr>
          <w:rFonts w:hint="eastAsia" w:ascii="仿宋" w:hAnsi="仿宋" w:eastAsia="仿宋" w:cs="仿宋"/>
          <w:sz w:val="32"/>
          <w:szCs w:val="32"/>
        </w:rPr>
      </w:pPr>
      <w:r>
        <w:rPr>
          <w:rFonts w:hint="eastAsia" w:ascii="仿宋" w:hAnsi="仿宋" w:eastAsia="仿宋" w:cs="仿宋"/>
          <w:sz w:val="32"/>
          <w:szCs w:val="32"/>
        </w:rPr>
        <w:t>本次绩效评价的目的是为了全面分析和综合评价我</w:t>
      </w:r>
      <w:r>
        <w:rPr>
          <w:rFonts w:hint="eastAsia" w:ascii="仿宋" w:hAnsi="仿宋" w:eastAsia="仿宋" w:cs="仿宋"/>
          <w:sz w:val="32"/>
          <w:szCs w:val="32"/>
          <w:lang w:val="en-US" w:eastAsia="zh-CN"/>
        </w:rPr>
        <w:t>单位</w:t>
      </w:r>
      <w:r>
        <w:rPr>
          <w:rFonts w:hint="eastAsia" w:ascii="仿宋" w:hAnsi="仿宋" w:eastAsia="仿宋" w:cs="仿宋"/>
          <w:sz w:val="32"/>
          <w:szCs w:val="32"/>
        </w:rPr>
        <w:t>财政预算资金的使用管理情况，为切实提高财政资金使用效益，强化预算支出的责任和效率提供参考依据。</w:t>
      </w:r>
    </w:p>
    <w:p>
      <w:pPr>
        <w:pStyle w:val="2"/>
        <w:rPr>
          <w:rFonts w:hint="eastAsia" w:ascii="仿宋" w:hAnsi="仿宋" w:eastAsia="仿宋" w:cs="仿宋"/>
          <w:sz w:val="32"/>
          <w:szCs w:val="32"/>
        </w:rPr>
      </w:pPr>
      <w:r>
        <w:rPr>
          <w:rFonts w:hint="eastAsia" w:ascii="仿宋" w:hAnsi="仿宋" w:eastAsia="仿宋" w:cs="仿宋"/>
          <w:sz w:val="32"/>
          <w:szCs w:val="32"/>
        </w:rPr>
        <w:t>（二）绩效评价工作过程，主要包括前期准备、组织实施和分析评价等内容</w:t>
      </w:r>
    </w:p>
    <w:p>
      <w:pPr>
        <w:pStyle w:val="2"/>
        <w:rPr>
          <w:rFonts w:hint="eastAsia"/>
        </w:rPr>
      </w:pPr>
      <w:r>
        <w:rPr>
          <w:rFonts w:hint="eastAsia" w:ascii="仿宋" w:hAnsi="仿宋" w:eastAsia="仿宋" w:cs="仿宋"/>
          <w:sz w:val="32"/>
          <w:szCs w:val="32"/>
        </w:rPr>
        <w:t>我们按照区财政局绩效评价规程要求，制定了详细的工作方案，明确科室责任，确定评价指标细则,按照要求展开自评工作，查阅相关文件资料和财务凭证，对收集资料进行定量定性分析，综合评议后形成评价结论，出具绩效评价报告。</w:t>
      </w:r>
    </w:p>
    <w:p>
      <w:pPr>
        <w:numPr>
          <w:ilvl w:val="0"/>
          <w:numId w:val="0"/>
        </w:numPr>
        <w:overflowPunct w:val="0"/>
        <w:autoSpaceDE w:val="0"/>
        <w:autoSpaceDN w:val="0"/>
        <w:spacing w:line="592" w:lineRule="exact"/>
        <w:ind w:firstLine="640" w:firstLineChars="200"/>
        <w:rPr>
          <w:rFonts w:hint="eastAsia" w:ascii="黑体" w:hAnsi="黑体" w:eastAsia="黑体" w:cs="仿宋_GB2312"/>
          <w:bCs/>
          <w:color w:val="000000"/>
          <w:sz w:val="32"/>
          <w:szCs w:val="32"/>
          <w:lang w:val="en-US" w:eastAsia="zh-CN"/>
        </w:rPr>
      </w:pPr>
      <w:r>
        <w:rPr>
          <w:rFonts w:hint="eastAsia" w:ascii="黑体" w:hAnsi="黑体" w:eastAsia="黑体" w:cs="仿宋_GB2312"/>
          <w:bCs/>
          <w:color w:val="000000"/>
          <w:sz w:val="32"/>
          <w:szCs w:val="32"/>
          <w:lang w:val="en-US" w:eastAsia="zh-CN"/>
        </w:rPr>
        <w:t>五、主要绩效及评价结论</w:t>
      </w:r>
    </w:p>
    <w:p>
      <w:pPr>
        <w:overflowPunct w:val="0"/>
        <w:autoSpaceDE w:val="0"/>
        <w:autoSpaceDN w:val="0"/>
        <w:spacing w:line="580" w:lineRule="exact"/>
        <w:ind w:firstLine="640" w:firstLineChars="200"/>
        <w:rPr>
          <w:rFonts w:ascii="黑体" w:hAnsi="黑体" w:eastAsia="黑体" w:cs="黑体"/>
          <w:sz w:val="32"/>
          <w:szCs w:val="32"/>
        </w:rPr>
      </w:pPr>
      <w:r>
        <w:rPr>
          <w:rFonts w:hint="eastAsia" w:ascii="仿宋" w:hAnsi="仿宋" w:eastAsia="仿宋" w:cs="仿宋"/>
          <w:color w:val="222222"/>
          <w:kern w:val="0"/>
          <w:sz w:val="32"/>
          <w:szCs w:val="32"/>
          <w:shd w:val="clear" w:color="auto" w:fill="FFFFFF"/>
          <w:lang w:val="en-US" w:eastAsia="zh-CN" w:bidi="ar"/>
        </w:rPr>
        <w:t>（</w:t>
      </w:r>
      <w:r>
        <w:rPr>
          <w:rFonts w:hint="eastAsia" w:ascii="Times New Roman" w:hAnsi="Times New Roman" w:eastAsia="黑体" w:cs="黑体"/>
          <w:snapToGrid w:val="0"/>
          <w:kern w:val="0"/>
          <w:sz w:val="32"/>
          <w:szCs w:val="32"/>
        </w:rPr>
        <w:t>一</w:t>
      </w:r>
      <w:r>
        <w:rPr>
          <w:rFonts w:hint="eastAsia" w:eastAsia="黑体" w:cs="黑体"/>
          <w:snapToGrid w:val="0"/>
          <w:kern w:val="0"/>
          <w:sz w:val="32"/>
          <w:szCs w:val="32"/>
          <w:lang w:eastAsia="zh-CN"/>
        </w:rPr>
        <w:t>）</w:t>
      </w:r>
      <w:r>
        <w:rPr>
          <w:rFonts w:hint="eastAsia" w:ascii="黑体" w:hAnsi="黑体" w:eastAsia="黑体" w:cs="Times New Roman"/>
          <w:sz w:val="32"/>
          <w:szCs w:val="32"/>
        </w:rPr>
        <w:t>筹备召开了202</w:t>
      </w:r>
      <w:r>
        <w:rPr>
          <w:rFonts w:hint="eastAsia" w:ascii="黑体" w:hAnsi="黑体" w:eastAsia="黑体" w:cs="Times New Roman"/>
          <w:sz w:val="32"/>
          <w:szCs w:val="32"/>
          <w:lang w:val="en-US" w:eastAsia="zh-CN"/>
        </w:rPr>
        <w:t>0</w:t>
      </w:r>
      <w:r>
        <w:rPr>
          <w:rFonts w:hint="eastAsia" w:ascii="黑体" w:hAnsi="黑体" w:eastAsia="黑体" w:cs="Times New Roman"/>
          <w:sz w:val="32"/>
          <w:szCs w:val="32"/>
        </w:rPr>
        <w:t>年区生态环境保护委员会</w:t>
      </w:r>
      <w:r>
        <w:rPr>
          <w:rFonts w:hint="eastAsia" w:ascii="黑体" w:hAnsi="黑体" w:eastAsia="黑体" w:cs="Times New Roman"/>
          <w:sz w:val="32"/>
          <w:szCs w:val="32"/>
          <w:lang w:eastAsia="zh-CN"/>
        </w:rPr>
        <w:t>多次</w:t>
      </w:r>
      <w:r>
        <w:rPr>
          <w:rFonts w:hint="eastAsia" w:ascii="黑体" w:hAnsi="黑体" w:eastAsia="黑体" w:cs="Times New Roman"/>
          <w:sz w:val="32"/>
          <w:szCs w:val="32"/>
        </w:rPr>
        <w:t>例会</w:t>
      </w:r>
    </w:p>
    <w:p>
      <w:pPr>
        <w:spacing w:line="58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传达学习了《湖南省生态环境保护工作责任规定》、《湖南省生态环境保护督查工作实施办法》、《湖南省重大生态环境问题（事情）责任追究办法》文件精神，起草了《关于建立“大环保”工作机制的实施方案》、《2020年大通湖水环境综合治理工作方案》、《大通湖区贯彻落实湖南省第四环境保护督察组督察反馈意见整改方案》等文件。</w:t>
      </w:r>
    </w:p>
    <w:p>
      <w:pPr>
        <w:spacing w:line="580" w:lineRule="exact"/>
        <w:ind w:firstLine="640" w:firstLineChars="200"/>
        <w:jc w:val="left"/>
        <w:rPr>
          <w:rFonts w:ascii="Times New Roman" w:hAnsi="Times New Roman" w:eastAsia="仿宋_GB2312" w:cs="Times New Roman"/>
          <w:sz w:val="32"/>
          <w:szCs w:val="32"/>
        </w:rPr>
      </w:pPr>
      <w:r>
        <w:rPr>
          <w:rFonts w:hint="eastAsia" w:ascii="黑体" w:hAnsi="黑体" w:eastAsia="黑体" w:cs="Times New Roman"/>
          <w:sz w:val="32"/>
          <w:szCs w:val="32"/>
          <w:lang w:val="en-US" w:eastAsia="zh-CN"/>
        </w:rPr>
        <w:t xml:space="preserve">  （二）</w:t>
      </w:r>
      <w:r>
        <w:rPr>
          <w:rFonts w:hint="eastAsia" w:ascii="黑体" w:hAnsi="黑体" w:eastAsia="黑体" w:cs="Times New Roman"/>
          <w:sz w:val="32"/>
          <w:szCs w:val="32"/>
        </w:rPr>
        <w:t>蓝天保</w:t>
      </w:r>
      <w:r>
        <w:rPr>
          <w:rFonts w:hint="eastAsia" w:ascii="Times New Roman" w:hAnsi="Times New Roman" w:eastAsia="黑体" w:cs="Times New Roman"/>
          <w:sz w:val="32"/>
          <w:szCs w:val="32"/>
        </w:rPr>
        <w:t>卫战</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加强了涉气企业和领域的执法监察。辖区内三家粘土砖厂已全部关停；对工业园尚雅汽配公司予以行政处罚，并将相关负责人移送行政拘留。</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2月，我区空气自动监测站考核天</w:t>
      </w:r>
      <w:r>
        <w:rPr>
          <w:rFonts w:hint="eastAsia" w:ascii="仿宋_GB2312" w:hAnsi="Times New Roman" w:eastAsia="仿宋_GB2312" w:cs="Times New Roman"/>
          <w:sz w:val="32"/>
          <w:szCs w:val="32"/>
          <w:lang w:val="en-US" w:eastAsia="zh-CN"/>
        </w:rPr>
        <w:t>365</w:t>
      </w:r>
      <w:r>
        <w:rPr>
          <w:rFonts w:hint="eastAsia" w:ascii="仿宋_GB2312" w:hAnsi="Times New Roman" w:eastAsia="仿宋_GB2312" w:cs="Times New Roman"/>
          <w:sz w:val="32"/>
          <w:szCs w:val="32"/>
        </w:rPr>
        <w:t>天，空气质量优良天数为</w:t>
      </w:r>
      <w:r>
        <w:rPr>
          <w:rFonts w:hint="eastAsia" w:ascii="仿宋_GB2312" w:hAnsi="Times New Roman" w:eastAsia="仿宋_GB2312" w:cs="Times New Roman"/>
          <w:sz w:val="32"/>
          <w:szCs w:val="32"/>
          <w:lang w:val="en-US" w:eastAsia="zh-CN"/>
        </w:rPr>
        <w:t>309</w:t>
      </w:r>
      <w:r>
        <w:rPr>
          <w:rFonts w:hint="eastAsia" w:ascii="仿宋_GB2312" w:hAnsi="Times New Roman" w:eastAsia="仿宋_GB2312" w:cs="Times New Roman"/>
          <w:sz w:val="32"/>
          <w:szCs w:val="32"/>
        </w:rPr>
        <w:t>天，优良率为84.7 %，</w:t>
      </w:r>
      <w:r>
        <w:rPr>
          <w:rFonts w:hint="eastAsia" w:ascii="仿宋_GB2312" w:hAnsi="Times New Roman" w:eastAsia="仿宋_GB2312" w:cs="Times New Roman"/>
          <w:color w:val="000000"/>
          <w:sz w:val="32"/>
          <w:szCs w:val="32"/>
        </w:rPr>
        <w:t>PM2.5平均浓度52微克/立方米</w:t>
      </w:r>
      <w:r>
        <w:rPr>
          <w:rFonts w:hint="eastAsia" w:ascii="仿宋_GB2312" w:hAnsi="Times New Roman" w:eastAsia="仿宋_GB2312" w:cs="Times New Roman"/>
          <w:sz w:val="32"/>
          <w:szCs w:val="32"/>
        </w:rPr>
        <w:t>。</w:t>
      </w:r>
    </w:p>
    <w:p>
      <w:pPr>
        <w:spacing w:line="580" w:lineRule="exact"/>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eastAsia="仿宋_GB2312" w:cs="Times New Roman"/>
          <w:sz w:val="32"/>
          <w:szCs w:val="32"/>
          <w:lang w:val="en-US" w:eastAsia="zh-CN"/>
        </w:rPr>
        <w:t>（</w:t>
      </w:r>
      <w:r>
        <w:rPr>
          <w:rFonts w:hint="eastAsia" w:ascii="黑体" w:hAnsi="黑体" w:eastAsia="黑体" w:cs="Times New Roman"/>
          <w:sz w:val="32"/>
          <w:szCs w:val="32"/>
        </w:rPr>
        <w:t>三</w:t>
      </w:r>
      <w:r>
        <w:rPr>
          <w:rFonts w:hint="eastAsia" w:ascii="黑体" w:hAnsi="黑体" w:eastAsia="黑体" w:cs="Times New Roman"/>
          <w:sz w:val="32"/>
          <w:szCs w:val="32"/>
          <w:lang w:eastAsia="zh-CN"/>
        </w:rPr>
        <w:t>）</w:t>
      </w:r>
      <w:r>
        <w:rPr>
          <w:rFonts w:hint="eastAsia" w:ascii="黑体" w:hAnsi="黑体" w:eastAsia="黑体" w:cs="Times New Roman"/>
          <w:sz w:val="32"/>
          <w:szCs w:val="32"/>
        </w:rPr>
        <w:t>碧水保卫战</w:t>
      </w:r>
    </w:p>
    <w:p>
      <w:pPr>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一是</w:t>
      </w:r>
      <w:r>
        <w:rPr>
          <w:rFonts w:hint="eastAsia" w:ascii="仿宋_GB2312" w:hAnsi="Times New Roman" w:eastAsia="仿宋_GB2312" w:cs="Times New Roman"/>
          <w:sz w:val="32"/>
          <w:szCs w:val="32"/>
        </w:rPr>
        <w:t>开展大通湖水质自动监测站水质比对监测以及数据统计工作，大通湖国控断面水质一月为</w:t>
      </w:r>
      <w:r>
        <w:rPr>
          <w:rFonts w:hint="eastAsia" w:ascii="仿宋_GB2312" w:hAnsi="宋体" w:eastAsia="仿宋_GB2312" w:cs="Times New Roman"/>
          <w:sz w:val="32"/>
          <w:szCs w:val="32"/>
        </w:rPr>
        <w:t>Ⅴ</w:t>
      </w:r>
      <w:r>
        <w:rPr>
          <w:rFonts w:hint="eastAsia" w:ascii="仿宋_GB2312" w:hAnsi="Times New Roman" w:eastAsia="仿宋_GB2312" w:cs="Times New Roman"/>
          <w:sz w:val="32"/>
          <w:szCs w:val="32"/>
        </w:rPr>
        <w:t>类（总磷浓度0.182mg/L），二月为</w:t>
      </w:r>
      <w:r>
        <w:rPr>
          <w:rFonts w:hint="eastAsia" w:ascii="仿宋_GB2312" w:hAnsi="宋体" w:eastAsia="仿宋_GB2312" w:cs="Times New Roman"/>
          <w:sz w:val="32"/>
          <w:szCs w:val="32"/>
        </w:rPr>
        <w:t>Ⅳ类（总磷浓度0.091</w:t>
      </w:r>
      <w:r>
        <w:rPr>
          <w:rFonts w:hint="eastAsia" w:ascii="仿宋_GB2312" w:hAnsi="Times New Roman" w:eastAsia="仿宋_GB2312" w:cs="Times New Roman"/>
          <w:sz w:val="32"/>
          <w:szCs w:val="32"/>
        </w:rPr>
        <w:t xml:space="preserve"> mg/L</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完成了202年</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rPr>
        <w:t>度大通湖农村千吨万人地下水饮用水源地监测，202</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年大通湖区域污水处理厂监督性监测，完成大通湖辖区内水域功能区监测以及数据汇总；与湖南省生态环境监测中心和湖南力合科技股份有限公司一同完成大通湖水质浊度与总磷关系科研工作。</w:t>
      </w:r>
      <w:r>
        <w:rPr>
          <w:rFonts w:hint="eastAsia" w:ascii="仿宋_GB2312" w:hAnsi="Times New Roman" w:eastAsia="仿宋_GB2312" w:cs="Times New Roman"/>
          <w:b/>
          <w:sz w:val="32"/>
          <w:szCs w:val="32"/>
        </w:rPr>
        <w:t>二是</w:t>
      </w:r>
      <w:r>
        <w:rPr>
          <w:rFonts w:hint="eastAsia" w:ascii="仿宋_GB2312" w:hAnsi="Times New Roman" w:eastAsia="仿宋_GB2312" w:cs="Times New Roman"/>
          <w:sz w:val="32"/>
          <w:szCs w:val="32"/>
        </w:rPr>
        <w:t>以大通湖治理为契机，狠抓立项争资。202</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年已包装大通湖流域治理项目4个，已完成可行性研究报告编制，正进行项目立项等工作。</w:t>
      </w:r>
      <w:r>
        <w:rPr>
          <w:rFonts w:hint="eastAsia" w:ascii="仿宋_GB2312" w:hAnsi="Times New Roman" w:eastAsia="仿宋_GB2312" w:cs="Times New Roman"/>
          <w:b/>
          <w:bCs/>
          <w:kern w:val="0"/>
          <w:sz w:val="32"/>
          <w:szCs w:val="32"/>
        </w:rPr>
        <w:t>三是</w:t>
      </w:r>
      <w:r>
        <w:rPr>
          <w:rFonts w:hint="eastAsia" w:ascii="仿宋_GB2312" w:hAnsi="Times New Roman" w:eastAsia="仿宋_GB2312" w:cs="Times New Roman"/>
          <w:kern w:val="0"/>
          <w:sz w:val="32"/>
          <w:szCs w:val="32"/>
        </w:rPr>
        <w:t>加强对涉水企业的监管，出动执法人员42人次，进行环境监察14次。</w:t>
      </w:r>
    </w:p>
    <w:p>
      <w:pPr>
        <w:overflowPunct w:val="0"/>
        <w:autoSpaceDE w:val="0"/>
        <w:autoSpaceDN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w:t>
      </w:r>
      <w:r>
        <w:rPr>
          <w:rFonts w:hint="eastAsia" w:ascii="黑体" w:hAnsi="黑体" w:eastAsia="黑体" w:cs="Times New Roman"/>
          <w:sz w:val="32"/>
          <w:szCs w:val="32"/>
          <w:lang w:val="en-US" w:eastAsia="zh-CN"/>
        </w:rPr>
        <w:t>四</w:t>
      </w:r>
      <w:r>
        <w:rPr>
          <w:rFonts w:hint="eastAsia" w:ascii="黑体" w:hAnsi="黑体" w:eastAsia="黑体" w:cs="Times New Roman"/>
          <w:sz w:val="32"/>
          <w:szCs w:val="32"/>
          <w:lang w:eastAsia="zh-CN"/>
        </w:rPr>
        <w:t>）</w:t>
      </w:r>
      <w:r>
        <w:rPr>
          <w:rFonts w:hint="eastAsia" w:ascii="黑体" w:hAnsi="黑体" w:eastAsia="黑体" w:cs="Times New Roman"/>
          <w:sz w:val="32"/>
          <w:szCs w:val="32"/>
        </w:rPr>
        <w:t>净土保卫战</w:t>
      </w:r>
    </w:p>
    <w:p>
      <w:pPr>
        <w:spacing w:line="580" w:lineRule="exact"/>
        <w:ind w:firstLine="640" w:firstLineChars="200"/>
        <w:rPr>
          <w:rFonts w:hint="eastAsia" w:ascii="仿宋" w:hAnsi="仿宋" w:eastAsia="仿宋" w:cs="仿宋"/>
          <w:kern w:val="2"/>
          <w:sz w:val="32"/>
          <w:szCs w:val="32"/>
          <w:lang w:val="en-US" w:eastAsia="zh-CN" w:bidi="ar-SA"/>
        </w:rPr>
      </w:pPr>
      <w:r>
        <w:rPr>
          <w:rFonts w:hint="eastAsia" w:ascii="仿宋_GB2312" w:hAnsi="Times New Roman" w:eastAsia="仿宋_GB2312" w:cs="Times New Roman"/>
          <w:sz w:val="32"/>
          <w:szCs w:val="32"/>
        </w:rPr>
        <w:t>我</w:t>
      </w:r>
      <w:r>
        <w:rPr>
          <w:rFonts w:hint="eastAsia" w:ascii="仿宋" w:hAnsi="仿宋" w:eastAsia="仿宋" w:cs="仿宋"/>
          <w:kern w:val="2"/>
          <w:sz w:val="32"/>
          <w:szCs w:val="32"/>
          <w:lang w:val="en-US" w:eastAsia="zh-CN" w:bidi="ar-SA"/>
        </w:rPr>
        <w:t>区目前没有污染地块，净土保卫战的工作重点放在固废监管和严把涉土污染企业进口关上，按“三线一单”要求，确保污染地块“零”增长目标。农村生活污水治理方面，按照《益阳市2020年各市州农村治理任务拟分配表》要求，会同各镇、农居办拟定2020年治理任务，分别是金盆镇金桥社区、千山红镇桥北社区、河坝镇金山社区和北洲子镇宏发社区。督促企业做好一般固废与危废的暂存、转移、处理工作。</w:t>
      </w:r>
    </w:p>
    <w:p>
      <w:pPr>
        <w:widowControl/>
        <w:wordWrap w:val="0"/>
        <w:ind w:firstLine="643" w:firstLineChars="200"/>
        <w:rPr>
          <w:rFonts w:hint="eastAsia" w:ascii="仿宋" w:hAnsi="仿宋" w:eastAsia="仿宋" w:cs="仿宋"/>
          <w:b/>
          <w:bCs/>
          <w:kern w:val="0"/>
          <w:sz w:val="32"/>
          <w:szCs w:val="32"/>
        </w:rPr>
      </w:pPr>
      <w:bookmarkStart w:id="0" w:name="_Toc390113232"/>
      <w:r>
        <w:rPr>
          <w:rFonts w:hint="eastAsia" w:ascii="仿宋" w:hAnsi="仿宋" w:eastAsia="仿宋" w:cs="仿宋"/>
          <w:b/>
          <w:bCs/>
          <w:kern w:val="0"/>
          <w:sz w:val="32"/>
          <w:szCs w:val="32"/>
          <w:lang w:val="en-US" w:eastAsia="zh-CN"/>
        </w:rPr>
        <w:t>六</w:t>
      </w:r>
      <w:r>
        <w:rPr>
          <w:rFonts w:hint="eastAsia" w:ascii="仿宋" w:hAnsi="仿宋" w:eastAsia="仿宋" w:cs="仿宋"/>
          <w:b/>
          <w:bCs/>
          <w:kern w:val="0"/>
          <w:sz w:val="32"/>
          <w:szCs w:val="32"/>
        </w:rPr>
        <w:t>、存在的主要问题</w:t>
      </w:r>
    </w:p>
    <w:p>
      <w:pPr>
        <w:widowControl/>
        <w:wordWrap w:val="0"/>
        <w:ind w:firstLine="643" w:firstLineChars="200"/>
        <w:rPr>
          <w:rFonts w:hint="eastAsia" w:ascii="仿宋" w:hAnsi="仿宋" w:eastAsia="仿宋" w:cs="仿宋"/>
          <w:kern w:val="0"/>
          <w:sz w:val="32"/>
          <w:szCs w:val="32"/>
          <w:lang w:eastAsia="zh-CN"/>
        </w:rPr>
      </w:pPr>
      <w:r>
        <w:rPr>
          <w:rFonts w:hint="eastAsia" w:ascii="仿宋" w:hAnsi="仿宋" w:eastAsia="仿宋" w:cs="仿宋"/>
          <w:b/>
          <w:color w:val="000000"/>
          <w:kern w:val="0"/>
          <w:sz w:val="32"/>
          <w:szCs w:val="32"/>
          <w:lang w:val="en-US" w:eastAsia="zh-CN"/>
        </w:rPr>
        <w:t>1、预算编制不合理。</w:t>
      </w:r>
      <w:r>
        <w:rPr>
          <w:rFonts w:hint="eastAsia" w:ascii="仿宋" w:hAnsi="仿宋" w:eastAsia="仿宋" w:cs="仿宋"/>
          <w:kern w:val="0"/>
          <w:sz w:val="32"/>
          <w:szCs w:val="32"/>
        </w:rPr>
        <w:t>年初预算与</w:t>
      </w:r>
      <w:r>
        <w:rPr>
          <w:rFonts w:hint="eastAsia" w:ascii="仿宋" w:hAnsi="仿宋" w:eastAsia="仿宋" w:cs="仿宋"/>
          <w:kern w:val="0"/>
          <w:sz w:val="32"/>
          <w:szCs w:val="32"/>
          <w:lang w:val="en-US" w:eastAsia="zh-CN"/>
        </w:rPr>
        <w:t>年底</w:t>
      </w:r>
      <w:r>
        <w:rPr>
          <w:rFonts w:hint="eastAsia" w:ascii="仿宋" w:hAnsi="仿宋" w:eastAsia="仿宋" w:cs="仿宋"/>
          <w:kern w:val="0"/>
          <w:sz w:val="32"/>
          <w:szCs w:val="32"/>
        </w:rPr>
        <w:t>决算偏差太大</w:t>
      </w:r>
      <w:r>
        <w:rPr>
          <w:rFonts w:hint="eastAsia" w:ascii="仿宋" w:hAnsi="仿宋" w:eastAsia="仿宋" w:cs="仿宋"/>
          <w:kern w:val="0"/>
          <w:sz w:val="32"/>
          <w:szCs w:val="32"/>
          <w:lang w:eastAsia="zh-CN"/>
        </w:rPr>
        <w:t>。</w:t>
      </w:r>
    </w:p>
    <w:p>
      <w:pPr>
        <w:widowControl/>
        <w:wordWrap w:val="0"/>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专项资金使用上存在挤占现象。</w:t>
      </w:r>
      <w:r>
        <w:rPr>
          <w:rFonts w:hint="eastAsia" w:ascii="仿宋" w:hAnsi="仿宋" w:eastAsia="仿宋" w:cs="仿宋"/>
          <w:kern w:val="0"/>
          <w:sz w:val="32"/>
          <w:szCs w:val="32"/>
        </w:rPr>
        <w:t>由于单位编制预算时存在不合理的限制，导致人员基本支出和业务开展支出存在严重不足，挤占了专项资金，一定程度上影响了事业的发展。</w:t>
      </w:r>
    </w:p>
    <w:p>
      <w:pPr>
        <w:widowControl/>
        <w:wordWrap w:val="0"/>
        <w:ind w:firstLine="640"/>
        <w:rPr>
          <w:rFonts w:hint="eastAsia" w:ascii="仿宋" w:hAnsi="仿宋" w:eastAsia="仿宋" w:cs="仿宋"/>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多项科目无法纳入预算，影响工作开展。</w:t>
      </w:r>
      <w:r>
        <w:rPr>
          <w:rFonts w:hint="eastAsia" w:ascii="仿宋" w:hAnsi="仿宋" w:eastAsia="仿宋" w:cs="仿宋"/>
          <w:kern w:val="0"/>
          <w:sz w:val="32"/>
          <w:szCs w:val="32"/>
        </w:rPr>
        <w:t>因收入来源有限，编制完人员预算后，基本无剩余资金编制其他必要支出科目，致使一些基本支出科目无法纳入预算编制，同时也使单个科目经费支出无法严格按照预算执行。</w:t>
      </w:r>
    </w:p>
    <w:p>
      <w:pPr>
        <w:ind w:firstLine="643"/>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七</w:t>
      </w:r>
      <w:r>
        <w:rPr>
          <w:rFonts w:hint="eastAsia" w:ascii="仿宋" w:hAnsi="仿宋" w:eastAsia="仿宋" w:cs="仿宋"/>
          <w:b/>
          <w:bCs/>
          <w:kern w:val="0"/>
          <w:sz w:val="32"/>
          <w:szCs w:val="32"/>
        </w:rPr>
        <w:t>、改进措施和有关建议</w:t>
      </w:r>
      <w:bookmarkEnd w:id="0"/>
    </w:p>
    <w:p>
      <w:pPr>
        <w:ind w:firstLine="643"/>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1、</w:t>
      </w:r>
      <w:r>
        <w:rPr>
          <w:rFonts w:hint="eastAsia" w:ascii="仿宋" w:hAnsi="仿宋" w:eastAsia="仿宋" w:cs="仿宋"/>
          <w:b/>
          <w:bCs/>
          <w:kern w:val="0"/>
          <w:sz w:val="32"/>
          <w:szCs w:val="32"/>
        </w:rPr>
        <w:t>科学合理编制预算，严格执行预算</w:t>
      </w:r>
    </w:p>
    <w:p>
      <w:pPr>
        <w:spacing w:line="600" w:lineRule="exact"/>
        <w:ind w:firstLine="640"/>
        <w:textAlignment w:val="baseline"/>
        <w:rPr>
          <w:rFonts w:hint="eastAsia" w:ascii="仿宋" w:hAnsi="仿宋" w:eastAsia="仿宋" w:cs="仿宋"/>
          <w:sz w:val="32"/>
          <w:szCs w:val="32"/>
        </w:rPr>
      </w:pPr>
      <w:r>
        <w:rPr>
          <w:rFonts w:hint="eastAsia" w:ascii="仿宋" w:hAnsi="仿宋" w:eastAsia="仿宋" w:cs="仿宋"/>
          <w:sz w:val="32"/>
          <w:szCs w:val="32"/>
        </w:rPr>
        <w:t>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pPr>
        <w:widowControl/>
        <w:tabs>
          <w:tab w:val="left" w:pos="284"/>
        </w:tabs>
        <w:wordWrap w:val="0"/>
        <w:ind w:firstLine="643"/>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应严格落实专项资金使用管理规定，做到专款专用。</w:t>
      </w:r>
      <w:r>
        <w:rPr>
          <w:rFonts w:hint="eastAsia" w:ascii="仿宋" w:hAnsi="仿宋" w:eastAsia="仿宋" w:cs="仿宋"/>
          <w:kern w:val="0"/>
          <w:sz w:val="32"/>
          <w:szCs w:val="32"/>
        </w:rPr>
        <w:t>同时财政部门应及时与各单位、各部门衔接，根据各单位的实际情况调增专项资金的预算安排，调增人员基本支出的预算安排。</w:t>
      </w:r>
    </w:p>
    <w:p>
      <w:pPr>
        <w:widowControl/>
        <w:tabs>
          <w:tab w:val="left" w:pos="284"/>
        </w:tabs>
        <w:wordWrap w:val="0"/>
        <w:ind w:firstLine="643"/>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应根据人员情况、业务开展需要，逐项做出预算计划，不留缺口，不留空项。</w:t>
      </w:r>
    </w:p>
    <w:p>
      <w:pPr>
        <w:pStyle w:val="2"/>
        <w:rPr>
          <w:rFonts w:hint="eastAsia" w:ascii="仿宋" w:hAnsi="仿宋" w:eastAsia="仿宋" w:cs="仿宋"/>
          <w:b/>
          <w:bCs/>
          <w:kern w:val="0"/>
          <w:sz w:val="32"/>
          <w:szCs w:val="32"/>
        </w:rPr>
      </w:pPr>
    </w:p>
    <w:p>
      <w:pPr>
        <w:pStyle w:val="2"/>
        <w:rPr>
          <w:rFonts w:hint="eastAsia" w:ascii="仿宋" w:hAnsi="仿宋" w:eastAsia="仿宋" w:cs="仿宋"/>
          <w:b/>
          <w:bCs/>
          <w:kern w:val="0"/>
          <w:sz w:val="32"/>
          <w:szCs w:val="32"/>
        </w:rPr>
      </w:pPr>
    </w:p>
    <w:p>
      <w:pPr>
        <w:pStyle w:val="2"/>
        <w:rPr>
          <w:rFonts w:hint="eastAsia" w:ascii="仿宋" w:hAnsi="仿宋" w:eastAsia="仿宋" w:cs="仿宋"/>
          <w:b/>
          <w:bCs/>
          <w:kern w:val="0"/>
          <w:sz w:val="32"/>
          <w:szCs w:val="32"/>
        </w:rPr>
      </w:pPr>
    </w:p>
    <w:p>
      <w:pPr>
        <w:pStyle w:val="2"/>
        <w:rPr>
          <w:rFonts w:hint="eastAsia" w:ascii="仿宋" w:hAnsi="仿宋" w:eastAsia="仿宋" w:cs="仿宋"/>
          <w:b/>
          <w:bCs/>
          <w:kern w:val="0"/>
          <w:sz w:val="32"/>
          <w:szCs w:val="32"/>
        </w:rPr>
      </w:pPr>
    </w:p>
    <w:p>
      <w:pPr>
        <w:pStyle w:val="2"/>
        <w:keepNext w:val="0"/>
        <w:keepLines w:val="0"/>
        <w:pageBreakBefore w:val="0"/>
        <w:kinsoku/>
        <w:wordWrap/>
        <w:topLinePunct w:val="0"/>
        <w:bidi w:val="0"/>
        <w:adjustRightInd/>
        <w:snapToGrid/>
        <w:spacing w:line="560" w:lineRule="exact"/>
        <w:jc w:val="right"/>
        <w:rPr>
          <w:rFonts w:hint="eastAsia" w:ascii="Times New Roman" w:hAnsi="Times New Roman" w:eastAsia="仿宋_GB2312" w:cs="仿宋_GB2312"/>
          <w:color w:val="000000"/>
          <w:spacing w:val="0"/>
          <w:kern w:val="2"/>
          <w:sz w:val="32"/>
          <w:szCs w:val="32"/>
          <w:lang w:val="en-US" w:eastAsia="zh-CN" w:bidi="ar-SA"/>
        </w:rPr>
      </w:pP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lang w:val="en-US" w:eastAsia="zh-CN" w:bidi="ar-SA"/>
        </w:rPr>
        <w:t xml:space="preserve">  益阳市生态环境局大通湖分局</w:t>
      </w:r>
    </w:p>
    <w:p>
      <w:pPr>
        <w:pStyle w:val="2"/>
        <w:keepNext w:val="0"/>
        <w:keepLines w:val="0"/>
        <w:pageBreakBefore w:val="0"/>
        <w:kinsoku/>
        <w:wordWrap/>
        <w:topLinePunct w:val="0"/>
        <w:bidi w:val="0"/>
        <w:adjustRightInd/>
        <w:snapToGrid/>
        <w:spacing w:line="560" w:lineRule="exact"/>
        <w:jc w:val="center"/>
      </w:pPr>
      <w:r>
        <w:rPr>
          <w:rFonts w:hint="eastAsia" w:eastAsia="仿宋_GB2312" w:cs="仿宋_GB2312"/>
          <w:color w:val="000000"/>
          <w:spacing w:val="0"/>
          <w:kern w:val="2"/>
          <w:sz w:val="32"/>
          <w:szCs w:val="32"/>
          <w:lang w:val="en-US" w:eastAsia="zh-CN" w:bidi="ar-SA"/>
        </w:rPr>
        <w:t xml:space="preserve">                     </w:t>
      </w:r>
      <w:r>
        <w:rPr>
          <w:rFonts w:hint="eastAsia" w:ascii="Times New Roman" w:hAnsi="Times New Roman" w:eastAsia="仿宋_GB2312" w:cs="仿宋_GB2312"/>
          <w:color w:val="000000"/>
          <w:spacing w:val="0"/>
          <w:kern w:val="2"/>
          <w:sz w:val="32"/>
          <w:szCs w:val="32"/>
          <w:lang w:val="en-US" w:eastAsia="zh-CN" w:bidi="ar-SA"/>
        </w:rPr>
        <w:t>2021年</w:t>
      </w:r>
      <w:r>
        <w:rPr>
          <w:rFonts w:hint="eastAsia" w:eastAsia="仿宋_GB2312" w:cs="仿宋_GB2312"/>
          <w:color w:val="000000"/>
          <w:spacing w:val="0"/>
          <w:kern w:val="2"/>
          <w:sz w:val="32"/>
          <w:szCs w:val="32"/>
          <w:lang w:val="en-US" w:eastAsia="zh-CN" w:bidi="ar-SA"/>
        </w:rPr>
        <w:t>11</w:t>
      </w:r>
      <w:r>
        <w:rPr>
          <w:rFonts w:hint="eastAsia" w:ascii="Times New Roman" w:hAnsi="Times New Roman" w:eastAsia="仿宋_GB2312" w:cs="仿宋_GB2312"/>
          <w:color w:val="000000"/>
          <w:spacing w:val="0"/>
          <w:kern w:val="2"/>
          <w:sz w:val="32"/>
          <w:szCs w:val="32"/>
          <w:lang w:val="en-US" w:eastAsia="zh-CN" w:bidi="ar-SA"/>
        </w:rPr>
        <w:t>月</w:t>
      </w:r>
      <w:r>
        <w:rPr>
          <w:rFonts w:hint="eastAsia" w:eastAsia="仿宋_GB2312" w:cs="仿宋_GB2312"/>
          <w:color w:val="000000"/>
          <w:spacing w:val="0"/>
          <w:kern w:val="2"/>
          <w:sz w:val="32"/>
          <w:szCs w:val="32"/>
          <w:lang w:val="en-US" w:eastAsia="zh-CN" w:bidi="ar-SA"/>
        </w:rPr>
        <w:t>25</w:t>
      </w:r>
      <w:r>
        <w:rPr>
          <w:rFonts w:hint="eastAsia" w:ascii="Times New Roman" w:hAnsi="Times New Roman" w:eastAsia="仿宋_GB2312" w:cs="仿宋_GB2312"/>
          <w:color w:val="000000"/>
          <w:spacing w:val="0"/>
          <w:kern w:val="2"/>
          <w:sz w:val="32"/>
          <w:szCs w:val="32"/>
          <w:lang w:val="en-US" w:eastAsia="zh-CN" w:bidi="ar-SA"/>
        </w:rPr>
        <w:t>日</w:t>
      </w:r>
    </w:p>
    <w:p>
      <w:pPr>
        <w:pStyle w:val="2"/>
        <w:ind w:left="0" w:leftChars="0" w:firstLine="0" w:firstLineChars="0"/>
        <w:rPr>
          <w:rFonts w:hint="default" w:ascii="仿宋" w:hAnsi="仿宋" w:eastAsia="仿宋" w:cs="仿宋"/>
          <w:b/>
          <w:bCs/>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B2E64"/>
    <w:rsid w:val="0C930F7E"/>
    <w:rsid w:val="0FE32A42"/>
    <w:rsid w:val="128E455F"/>
    <w:rsid w:val="13B0379E"/>
    <w:rsid w:val="1A8A15FB"/>
    <w:rsid w:val="25783D36"/>
    <w:rsid w:val="25987B6A"/>
    <w:rsid w:val="2C2C7215"/>
    <w:rsid w:val="2EA06582"/>
    <w:rsid w:val="3B4D36D4"/>
    <w:rsid w:val="3BAF757B"/>
    <w:rsid w:val="3D317DE3"/>
    <w:rsid w:val="3D9331DF"/>
    <w:rsid w:val="3DEA60A6"/>
    <w:rsid w:val="41FA00D2"/>
    <w:rsid w:val="420712A8"/>
    <w:rsid w:val="434F2086"/>
    <w:rsid w:val="450C4FFD"/>
    <w:rsid w:val="462163CC"/>
    <w:rsid w:val="46CA483E"/>
    <w:rsid w:val="476976D1"/>
    <w:rsid w:val="4A481C3E"/>
    <w:rsid w:val="522D542A"/>
    <w:rsid w:val="52561A9B"/>
    <w:rsid w:val="527A4052"/>
    <w:rsid w:val="547D6EDD"/>
    <w:rsid w:val="580C099A"/>
    <w:rsid w:val="5A7B2EA3"/>
    <w:rsid w:val="5E70658A"/>
    <w:rsid w:val="5FA70511"/>
    <w:rsid w:val="640B4918"/>
    <w:rsid w:val="674E32CC"/>
    <w:rsid w:val="67AE62A2"/>
    <w:rsid w:val="6C9D77E7"/>
    <w:rsid w:val="6D374C03"/>
    <w:rsid w:val="7349234C"/>
    <w:rsid w:val="75AD516A"/>
    <w:rsid w:val="75ED61DD"/>
    <w:rsid w:val="786E77C9"/>
    <w:rsid w:val="798C5D2E"/>
    <w:rsid w:val="7BCF32C6"/>
    <w:rsid w:val="7E234B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新正文"/>
    <w:basedOn w:val="1"/>
    <w:qFormat/>
    <w:uiPriority w:val="99"/>
    <w:pPr>
      <w:spacing w:line="600" w:lineRule="exact"/>
      <w:ind w:firstLine="880"/>
      <w:contextualSpacing/>
    </w:pPr>
    <w:rPr>
      <w:rFonts w:ascii="Times New Roman" w:hAnsi="Times New Roman"/>
    </w:rPr>
  </w:style>
  <w:style w:type="paragraph" w:styleId="4">
    <w:name w:val="Body Text"/>
    <w:basedOn w:val="1"/>
    <w:unhideWhenUsed/>
    <w:qFormat/>
    <w:uiPriority w:val="99"/>
    <w:pPr>
      <w:spacing w:after="120"/>
    </w:pPr>
  </w:style>
  <w:style w:type="paragraph" w:styleId="5">
    <w:name w:val="toc 1"/>
    <w:basedOn w:val="1"/>
    <w:next w:val="1"/>
    <w:qFormat/>
    <w:uiPriority w:val="0"/>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qFormat/>
    <w:uiPriority w:val="0"/>
    <w:pPr>
      <w:spacing w:after="0"/>
      <w:ind w:firstLine="420" w:firstLineChars="100"/>
    </w:pPr>
    <w:rPr>
      <w:rFonts w:ascii="Times New Roman" w:hAnsi="Times New Roman"/>
      <w:kern w:val="0"/>
      <w:sz w:val="20"/>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color w:val="0069C5"/>
      <w:u w:val="none"/>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000000"/>
      <w:u w:val="none"/>
    </w:rPr>
  </w:style>
  <w:style w:type="character" w:styleId="17">
    <w:name w:val="HTML Code"/>
    <w:basedOn w:val="10"/>
    <w:qFormat/>
    <w:uiPriority w:val="0"/>
    <w:rPr>
      <w:rFonts w:hint="default" w:ascii="Consolas" w:hAnsi="Consolas" w:eastAsia="Consolas" w:cs="Consolas"/>
      <w:color w:val="C7254E"/>
      <w:sz w:val="21"/>
      <w:szCs w:val="21"/>
      <w:shd w:val="clear" w:fill="F9F2F4"/>
    </w:rPr>
  </w:style>
  <w:style w:type="character" w:styleId="18">
    <w:name w:val="HTML Cite"/>
    <w:basedOn w:val="10"/>
    <w:qFormat/>
    <w:uiPriority w:val="0"/>
  </w:style>
  <w:style w:type="character" w:styleId="19">
    <w:name w:val="HTML Keyboard"/>
    <w:basedOn w:val="10"/>
    <w:qFormat/>
    <w:uiPriority w:val="0"/>
    <w:rPr>
      <w:rFonts w:ascii="Consolas" w:hAnsi="Consolas" w:eastAsia="Consolas" w:cs="Consolas"/>
      <w:color w:val="FFFFFF"/>
      <w:sz w:val="21"/>
      <w:szCs w:val="21"/>
      <w:shd w:val="clear" w:fill="333333"/>
    </w:rPr>
  </w:style>
  <w:style w:type="character" w:styleId="20">
    <w:name w:val="HTML Sample"/>
    <w:basedOn w:val="10"/>
    <w:qFormat/>
    <w:uiPriority w:val="0"/>
    <w:rPr>
      <w:rFonts w:hint="default" w:ascii="Consolas" w:hAnsi="Consolas" w:eastAsia="Consolas" w:cs="Consolas"/>
      <w:sz w:val="21"/>
      <w:szCs w:val="21"/>
    </w:rPr>
  </w:style>
  <w:style w:type="character" w:customStyle="1" w:styleId="21">
    <w:name w:val="focus-area"/>
    <w:basedOn w:val="10"/>
    <w:qFormat/>
    <w:uiPriority w:val="0"/>
    <w:rPr>
      <w:rFonts w:ascii="微软雅黑" w:hAnsi="微软雅黑" w:eastAsia="微软雅黑" w:cs="微软雅黑"/>
      <w:color w:val="FFFFFF"/>
      <w:sz w:val="20"/>
      <w:szCs w:val="20"/>
    </w:rPr>
  </w:style>
  <w:style w:type="character" w:customStyle="1" w:styleId="22">
    <w:name w:val="hover19"/>
    <w:basedOn w:val="10"/>
    <w:qFormat/>
    <w:uiPriority w:val="0"/>
  </w:style>
  <w:style w:type="character" w:customStyle="1" w:styleId="23">
    <w:name w:val="on3"/>
    <w:basedOn w:val="10"/>
    <w:qFormat/>
    <w:uiPriority w:val="0"/>
    <w:rPr>
      <w:shd w:val="clear" w:fill="FCFCFC"/>
    </w:rPr>
  </w:style>
  <w:style w:type="character" w:customStyle="1" w:styleId="24">
    <w:name w:val="on4"/>
    <w:basedOn w:val="10"/>
    <w:qFormat/>
    <w:uiPriority w:val="0"/>
  </w:style>
  <w:style w:type="character" w:customStyle="1" w:styleId="25">
    <w:name w:val="next4"/>
    <w:basedOn w:val="10"/>
    <w:qFormat/>
    <w:uiPriority w:val="0"/>
  </w:style>
  <w:style w:type="character" w:customStyle="1" w:styleId="26">
    <w:name w:val="protection-tab-icon"/>
    <w:basedOn w:val="10"/>
    <w:qFormat/>
    <w:uiPriority w:val="0"/>
  </w:style>
  <w:style w:type="character" w:customStyle="1" w:styleId="27">
    <w:name w:val="sp3"/>
    <w:basedOn w:val="10"/>
    <w:qFormat/>
    <w:uiPriority w:val="0"/>
  </w:style>
  <w:style w:type="character" w:customStyle="1" w:styleId="28">
    <w:name w:val="sp4"/>
    <w:basedOn w:val="10"/>
    <w:qFormat/>
    <w:uiPriority w:val="0"/>
  </w:style>
  <w:style w:type="character" w:customStyle="1" w:styleId="29">
    <w:name w:val="sp6"/>
    <w:basedOn w:val="10"/>
    <w:qFormat/>
    <w:uiPriority w:val="0"/>
  </w:style>
  <w:style w:type="character" w:customStyle="1" w:styleId="30">
    <w:name w:val="sp5"/>
    <w:basedOn w:val="10"/>
    <w:qFormat/>
    <w:uiPriority w:val="0"/>
  </w:style>
  <w:style w:type="character" w:customStyle="1" w:styleId="31">
    <w:name w:val="sp7"/>
    <w:basedOn w:val="10"/>
    <w:qFormat/>
    <w:uiPriority w:val="0"/>
  </w:style>
  <w:style w:type="character" w:customStyle="1" w:styleId="32">
    <w:name w:val="sp1"/>
    <w:basedOn w:val="10"/>
    <w:qFormat/>
    <w:uiPriority w:val="0"/>
  </w:style>
  <w:style w:type="character" w:customStyle="1" w:styleId="33">
    <w:name w:val="sp2"/>
    <w:basedOn w:val="10"/>
    <w:qFormat/>
    <w:uiPriority w:val="0"/>
  </w:style>
  <w:style w:type="character" w:customStyle="1" w:styleId="34">
    <w:name w:val="s3"/>
    <w:basedOn w:val="10"/>
    <w:qFormat/>
    <w:uiPriority w:val="0"/>
  </w:style>
  <w:style w:type="character" w:customStyle="1" w:styleId="35">
    <w:name w:val="last5"/>
    <w:basedOn w:val="10"/>
    <w:qFormat/>
    <w:uiPriority w:val="0"/>
  </w:style>
  <w:style w:type="character" w:customStyle="1" w:styleId="36">
    <w:name w:val="last6"/>
    <w:basedOn w:val="10"/>
    <w:qFormat/>
    <w:uiPriority w:val="0"/>
  </w:style>
  <w:style w:type="character" w:customStyle="1" w:styleId="37">
    <w:name w:val="time2"/>
    <w:basedOn w:val="10"/>
    <w:qFormat/>
    <w:uiPriority w:val="0"/>
    <w:rPr>
      <w:rFonts w:ascii="Arial" w:hAnsi="Arial" w:cs="Arial"/>
      <w:color w:val="999999"/>
      <w:sz w:val="16"/>
      <w:szCs w:val="16"/>
    </w:rPr>
  </w:style>
  <w:style w:type="character" w:customStyle="1" w:styleId="38">
    <w:name w:val="after2"/>
    <w:basedOn w:val="10"/>
    <w:qFormat/>
    <w:uiPriority w:val="0"/>
  </w:style>
  <w:style w:type="character" w:customStyle="1" w:styleId="39">
    <w:name w:val="select2-selection__rendered"/>
    <w:basedOn w:val="10"/>
    <w:qFormat/>
    <w:uiPriority w:val="0"/>
    <w:rPr>
      <w:sz w:val="14"/>
      <w:szCs w:val="14"/>
    </w:rPr>
  </w:style>
  <w:style w:type="character" w:customStyle="1" w:styleId="40">
    <w:name w:val="active4"/>
    <w:basedOn w:val="10"/>
    <w:qFormat/>
    <w:uiPriority w:val="0"/>
    <w:rPr>
      <w:color w:val="FFFFFF"/>
      <w:shd w:val="clear" w:fill="0069AE"/>
    </w:rPr>
  </w:style>
  <w:style w:type="character" w:customStyle="1" w:styleId="41">
    <w:name w:val="active5"/>
    <w:basedOn w:val="10"/>
    <w:qFormat/>
    <w:uiPriority w:val="0"/>
    <w:rPr>
      <w:shd w:val="clear" w:fill="20A0E4"/>
    </w:rPr>
  </w:style>
  <w:style w:type="character" w:customStyle="1" w:styleId="42">
    <w:name w:val="box6"/>
    <w:basedOn w:val="10"/>
    <w:qFormat/>
    <w:uiPriority w:val="0"/>
    <w:rPr>
      <w:rFonts w:ascii="微软雅黑" w:hAnsi="微软雅黑" w:eastAsia="微软雅黑" w:cs="微软雅黑"/>
      <w:sz w:val="16"/>
      <w:szCs w:val="16"/>
    </w:rPr>
  </w:style>
  <w:style w:type="character" w:customStyle="1" w:styleId="43">
    <w:name w:val="bsharetext"/>
    <w:basedOn w:val="10"/>
    <w:qFormat/>
    <w:uiPriority w:val="0"/>
  </w:style>
  <w:style w:type="character" w:customStyle="1" w:styleId="44">
    <w:name w:val="hover78"/>
    <w:basedOn w:val="10"/>
    <w:qFormat/>
    <w:uiPriority w:val="0"/>
    <w:rPr>
      <w:color w:val="000000"/>
      <w:shd w:val="clear" w:fill="FFFFFF"/>
    </w:rPr>
  </w:style>
  <w:style w:type="paragraph" w:customStyle="1" w:styleId="45">
    <w:name w:val="_Style 1"/>
    <w:basedOn w:val="1"/>
    <w:qFormat/>
    <w:uiPriority w:val="0"/>
    <w:pPr>
      <w:spacing w:line="481" w:lineRule="atLeast"/>
      <w:ind w:firstLine="623"/>
      <w:textAlignment w:val="baseline"/>
    </w:pPr>
    <w:rPr>
      <w:rFonts w:ascii="Times New Roman" w:hAnsi="Times New Roman" w:eastAsia="仿宋_GB2312"/>
      <w:color w:val="000000"/>
      <w:sz w:val="31"/>
    </w:rPr>
  </w:style>
  <w:style w:type="character" w:customStyle="1" w:styleId="46">
    <w:name w:val="font01"/>
    <w:basedOn w:val="10"/>
    <w:qFormat/>
    <w:uiPriority w:val="0"/>
    <w:rPr>
      <w:rFonts w:hint="eastAsia" w:ascii="宋体" w:hAnsi="宋体" w:eastAsia="宋体" w:cs="宋体"/>
      <w:color w:val="000000"/>
      <w:sz w:val="18"/>
      <w:szCs w:val="18"/>
      <w:u w:val="none"/>
    </w:rPr>
  </w:style>
  <w:style w:type="character" w:customStyle="1" w:styleId="47">
    <w:name w:val="font11"/>
    <w:basedOn w:val="10"/>
    <w:qFormat/>
    <w:uiPriority w:val="0"/>
    <w:rPr>
      <w:rFonts w:hint="default" w:ascii="Arial" w:hAnsi="Arial" w:cs="Arial"/>
      <w:color w:val="000000"/>
      <w:sz w:val="18"/>
      <w:szCs w:val="18"/>
      <w:u w:val="none"/>
    </w:rPr>
  </w:style>
  <w:style w:type="paragraph" w:styleId="4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固</cp:lastModifiedBy>
  <cp:lastPrinted>2021-11-25T07:00:24Z</cp:lastPrinted>
  <dcterms:modified xsi:type="dcterms:W3CDTF">2021-11-25T07:06:08Z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ED61C0461E1D4EDBA370CEB9D614009A</vt:lpwstr>
  </property>
</Properties>
</file>