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before="156" w:beforeLines="50" w:after="156" w:afterLines="50" w:line="592" w:lineRule="exact"/>
        <w:jc w:val="center"/>
        <w:rPr>
          <w:rFonts w:hint="eastAsia" w:ascii="方正大标宋简体" w:hAnsi="Calibri" w:eastAsia="方正大标宋简体" w:cs="Times New Roman"/>
          <w:color w:val="000000"/>
          <w:kern w:val="0"/>
          <w:sz w:val="44"/>
          <w:szCs w:val="44"/>
          <w:lang w:eastAsia="zh-CN"/>
        </w:rPr>
      </w:pPr>
      <w:bookmarkStart w:id="0" w:name="_GoBack"/>
      <w:bookmarkEnd w:id="0"/>
      <w:r>
        <w:rPr>
          <w:rFonts w:hint="eastAsia" w:ascii="方正大标宋简体" w:hAnsi="Calibri" w:eastAsia="方正大标宋简体" w:cs="Times New Roman"/>
          <w:color w:val="000000"/>
          <w:kern w:val="0"/>
          <w:sz w:val="44"/>
          <w:szCs w:val="44"/>
        </w:rPr>
        <w:t>2022年大通湖流域水环境治理任务</w:t>
      </w:r>
      <w:r>
        <w:rPr>
          <w:rFonts w:hint="eastAsia" w:ascii="方正大标宋简体" w:hAnsi="Calibri" w:eastAsia="方正大标宋简体" w:cs="Times New Roman"/>
          <w:color w:val="000000"/>
          <w:kern w:val="0"/>
          <w:sz w:val="44"/>
          <w:szCs w:val="44"/>
          <w:lang w:val="en-US" w:eastAsia="zh-CN"/>
        </w:rPr>
        <w:t>进展</w:t>
      </w:r>
    </w:p>
    <w:tbl>
      <w:tblPr>
        <w:tblStyle w:val="3"/>
        <w:tblW w:w="14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64"/>
        <w:gridCol w:w="4851"/>
        <w:gridCol w:w="1566"/>
        <w:gridCol w:w="2045"/>
        <w:gridCol w:w="57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550" w:type="dxa"/>
            <w:vMerge w:val="restart"/>
            <w:noWrap/>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64" w:type="dxa"/>
            <w:vMerge w:val="restart"/>
            <w:noWrap w:val="0"/>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任务来源</w:t>
            </w:r>
          </w:p>
        </w:tc>
        <w:tc>
          <w:tcPr>
            <w:tcW w:w="4851" w:type="dxa"/>
            <w:vMerge w:val="restart"/>
            <w:noWrap/>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具体内容</w:t>
            </w:r>
          </w:p>
        </w:tc>
        <w:tc>
          <w:tcPr>
            <w:tcW w:w="3611" w:type="dxa"/>
            <w:gridSpan w:val="2"/>
            <w:noWrap w:val="0"/>
            <w:vAlign w:val="center"/>
          </w:tcPr>
          <w:p>
            <w:pPr>
              <w:overflowPunct w:val="0"/>
              <w:autoSpaceDE w:val="0"/>
              <w:autoSpaceDN w:val="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责任单位</w:t>
            </w:r>
          </w:p>
        </w:tc>
        <w:tc>
          <w:tcPr>
            <w:tcW w:w="570" w:type="dxa"/>
            <w:vMerge w:val="restart"/>
            <w:tcBorders>
              <w:left w:val="single" w:color="auto" w:sz="4" w:space="0"/>
              <w:right w:val="single" w:color="auto" w:sz="4" w:space="0"/>
            </w:tcBorders>
            <w:noWrap/>
            <w:vAlign w:val="center"/>
          </w:tcPr>
          <w:p>
            <w:pPr>
              <w:overflowPunct w:val="0"/>
              <w:autoSpaceDE w:val="0"/>
              <w:autoSpaceDN w:val="0"/>
              <w:adjustRightInd w:val="0"/>
              <w:snapToGrid w:val="0"/>
              <w:spacing w:line="34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完成时限</w:t>
            </w:r>
          </w:p>
        </w:tc>
        <w:tc>
          <w:tcPr>
            <w:tcW w:w="3700" w:type="dxa"/>
            <w:vMerge w:val="restart"/>
            <w:tcBorders>
              <w:left w:val="single" w:color="auto" w:sz="4" w:space="0"/>
              <w:right w:val="single" w:color="auto" w:sz="4" w:space="0"/>
            </w:tcBorders>
            <w:noWrap/>
            <w:vAlign w:val="center"/>
          </w:tcPr>
          <w:p>
            <w:pPr>
              <w:overflowPunct w:val="0"/>
              <w:autoSpaceDE w:val="0"/>
              <w:autoSpaceDN w:val="0"/>
              <w:adjustRightInd w:val="0"/>
              <w:snapToGrid w:val="0"/>
              <w:spacing w:line="340" w:lineRule="exact"/>
              <w:jc w:val="center"/>
              <w:rPr>
                <w:rFonts w:hint="default" w:ascii="宋体" w:hAnsi="宋体" w:eastAsia="宋体" w:cs="宋体"/>
                <w:b/>
                <w:bCs/>
                <w:color w:val="000000"/>
                <w:kern w:val="0"/>
                <w:sz w:val="24"/>
                <w:lang w:val="en-US"/>
              </w:rPr>
            </w:pPr>
            <w:r>
              <w:rPr>
                <w:rFonts w:hint="eastAsia" w:ascii="宋体" w:hAnsi="宋体" w:eastAsia="宋体" w:cs="宋体"/>
                <w:b/>
                <w:bCs/>
                <w:color w:val="000000"/>
                <w:kern w:val="0"/>
                <w:sz w:val="24"/>
                <w:lang w:val="en-US"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550" w:type="dxa"/>
            <w:vMerge w:val="continue"/>
            <w:noWrap/>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p>
        </w:tc>
        <w:tc>
          <w:tcPr>
            <w:tcW w:w="764" w:type="dxa"/>
            <w:vMerge w:val="continue"/>
            <w:noWrap w:val="0"/>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p>
        </w:tc>
        <w:tc>
          <w:tcPr>
            <w:tcW w:w="4851" w:type="dxa"/>
            <w:vMerge w:val="continue"/>
            <w:noWrap/>
            <w:vAlign w:val="center"/>
          </w:tcPr>
          <w:p>
            <w:pPr>
              <w:overflowPunct w:val="0"/>
              <w:autoSpaceDE w:val="0"/>
              <w:autoSpaceDN w:val="0"/>
              <w:adjustRightInd w:val="0"/>
              <w:snapToGrid w:val="0"/>
              <w:spacing w:line="340" w:lineRule="exact"/>
              <w:jc w:val="center"/>
              <w:rPr>
                <w:rFonts w:ascii="宋体" w:hAnsi="宋体" w:eastAsia="宋体" w:cs="宋体"/>
                <w:b/>
                <w:bCs/>
                <w:color w:val="000000"/>
                <w:kern w:val="0"/>
                <w:sz w:val="24"/>
              </w:rPr>
            </w:pPr>
          </w:p>
        </w:tc>
        <w:tc>
          <w:tcPr>
            <w:tcW w:w="1566" w:type="dxa"/>
            <w:noWrap w:val="0"/>
            <w:vAlign w:val="center"/>
          </w:tcPr>
          <w:p>
            <w:pPr>
              <w:overflowPunct w:val="0"/>
              <w:autoSpaceDE w:val="0"/>
              <w:autoSpaceDN w:val="0"/>
              <w:jc w:val="center"/>
              <w:rPr>
                <w:rFonts w:ascii="宋体" w:hAnsi="宋体" w:eastAsia="宋体" w:cs="宋体"/>
                <w:b/>
                <w:bCs/>
                <w:color w:val="000000"/>
                <w:kern w:val="0"/>
                <w:sz w:val="24"/>
              </w:rPr>
            </w:pPr>
            <w:r>
              <w:rPr>
                <w:rFonts w:hint="eastAsia" w:ascii="宋体" w:hAnsi="宋体" w:eastAsia="宋体" w:cs="宋体"/>
                <w:b/>
                <w:bCs/>
                <w:color w:val="000000"/>
                <w:kern w:val="0"/>
                <w:sz w:val="24"/>
              </w:rPr>
              <w:t>牵头单位</w:t>
            </w:r>
          </w:p>
        </w:tc>
        <w:tc>
          <w:tcPr>
            <w:tcW w:w="2045" w:type="dxa"/>
            <w:noWrap w:val="0"/>
            <w:vAlign w:val="center"/>
          </w:tcPr>
          <w:p>
            <w:pPr>
              <w:overflowPunct w:val="0"/>
              <w:autoSpaceDE w:val="0"/>
              <w:autoSpaceDN w:val="0"/>
              <w:jc w:val="center"/>
              <w:rPr>
                <w:rFonts w:ascii="宋体" w:hAnsi="宋体" w:eastAsia="宋体" w:cs="宋体"/>
                <w:b/>
                <w:bCs/>
                <w:color w:val="000000"/>
                <w:kern w:val="0"/>
                <w:sz w:val="24"/>
              </w:rPr>
            </w:pPr>
            <w:r>
              <w:rPr>
                <w:rFonts w:hint="eastAsia" w:ascii="宋体" w:hAnsi="宋体" w:eastAsia="宋体" w:cs="宋体"/>
                <w:b/>
                <w:bCs/>
                <w:color w:val="000000"/>
                <w:kern w:val="0"/>
                <w:sz w:val="24"/>
              </w:rPr>
              <w:t>责任单位</w:t>
            </w:r>
          </w:p>
        </w:tc>
        <w:tc>
          <w:tcPr>
            <w:tcW w:w="570" w:type="dxa"/>
            <w:vMerge w:val="continue"/>
            <w:tcBorders>
              <w:left w:val="single" w:color="auto" w:sz="4" w:space="0"/>
              <w:right w:val="single" w:color="auto" w:sz="4" w:space="0"/>
            </w:tcBorders>
            <w:noWrap/>
            <w:vAlign w:val="center"/>
          </w:tcPr>
          <w:p>
            <w:pPr>
              <w:overflowPunct w:val="0"/>
              <w:autoSpaceDE w:val="0"/>
              <w:autoSpaceDN w:val="0"/>
              <w:adjustRightInd w:val="0"/>
              <w:snapToGrid w:val="0"/>
              <w:spacing w:line="340" w:lineRule="exact"/>
              <w:jc w:val="center"/>
              <w:rPr>
                <w:rFonts w:hint="eastAsia" w:ascii="宋体" w:hAnsi="宋体" w:eastAsia="宋体" w:cs="宋体"/>
                <w:b/>
                <w:bCs/>
                <w:color w:val="000000"/>
                <w:kern w:val="0"/>
                <w:sz w:val="24"/>
              </w:rPr>
            </w:pPr>
          </w:p>
        </w:tc>
        <w:tc>
          <w:tcPr>
            <w:tcW w:w="3700" w:type="dxa"/>
            <w:vMerge w:val="continue"/>
            <w:tcBorders>
              <w:left w:val="single" w:color="auto" w:sz="4" w:space="0"/>
              <w:right w:val="single" w:color="auto" w:sz="4" w:space="0"/>
            </w:tcBorders>
            <w:noWrap/>
            <w:vAlign w:val="center"/>
          </w:tcPr>
          <w:p>
            <w:pPr>
              <w:overflowPunct w:val="0"/>
              <w:autoSpaceDE w:val="0"/>
              <w:autoSpaceDN w:val="0"/>
              <w:adjustRightInd w:val="0"/>
              <w:snapToGrid w:val="0"/>
              <w:spacing w:line="340" w:lineRule="exact"/>
              <w:jc w:val="center"/>
              <w:rPr>
                <w:rFonts w:hint="eastAsia"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rPr>
              <w:t>1</w:t>
            </w:r>
          </w:p>
        </w:tc>
        <w:tc>
          <w:tcPr>
            <w:tcW w:w="764" w:type="dxa"/>
            <w:vMerge w:val="restart"/>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r>
              <w:rPr>
                <w:rFonts w:hint="eastAsia" w:ascii="Calibri" w:hAnsi="Calibri" w:eastAsia="宋体" w:cs="Times New Roman"/>
              </w:rPr>
              <w:t>截污</w:t>
            </w: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rPr>
            </w:pPr>
            <w:r>
              <w:rPr>
                <w:rFonts w:hint="eastAsia" w:ascii="Calibri" w:hAnsi="Calibri" w:eastAsia="宋体" w:cs="Times New Roman"/>
              </w:rPr>
              <w:t>截污</w:t>
            </w: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截污</w:t>
            </w: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巩固精养鱼池退</w:t>
            </w:r>
            <w:r>
              <w:rPr>
                <w:rFonts w:hint="eastAsia" w:ascii="宋体" w:hAnsi="宋体" w:eastAsia="宋体" w:cs="宋体"/>
                <w:color w:val="000000"/>
                <w:spacing w:val="0"/>
                <w:w w:val="100"/>
                <w:kern w:val="0"/>
                <w:sz w:val="24"/>
                <w:szCs w:val="24"/>
                <w:lang w:val="en-US" w:eastAsia="zh-CN"/>
              </w:rPr>
              <w:t>养</w:t>
            </w:r>
            <w:r>
              <w:rPr>
                <w:rFonts w:hint="eastAsia" w:ascii="宋体" w:hAnsi="宋体" w:eastAsia="宋体" w:cs="宋体"/>
                <w:color w:val="000000"/>
                <w:spacing w:val="0"/>
                <w:w w:val="100"/>
                <w:kern w:val="0"/>
                <w:sz w:val="24"/>
                <w:szCs w:val="24"/>
              </w:rPr>
              <w:t>成果，临湖1000米范围内严禁精养鱼池反弹</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河坝镇、千山红镇</w:t>
            </w:r>
          </w:p>
        </w:tc>
        <w:tc>
          <w:tcPr>
            <w:tcW w:w="570"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常年开展</w:t>
            </w:r>
          </w:p>
        </w:tc>
        <w:tc>
          <w:tcPr>
            <w:tcW w:w="3700" w:type="dxa"/>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制定《大通湖区2022年精养鱼池退养奖补方案》。将区域内临湖1000米退养鱼池7247.6亩集中流转，重点推进水草+大闸蟹、水草种植等转型发展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2</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kern w:val="0"/>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精养池塘生态化改造</w:t>
            </w:r>
            <w:r>
              <w:rPr>
                <w:rFonts w:hint="eastAsia" w:ascii="宋体" w:hAnsi="宋体" w:eastAsia="宋体" w:cs="宋体"/>
                <w:color w:val="000000"/>
                <w:spacing w:val="0"/>
                <w:w w:val="100"/>
                <w:kern w:val="0"/>
                <w:sz w:val="24"/>
                <w:szCs w:val="24"/>
                <w:lang w:val="en-US" w:eastAsia="zh-CN"/>
              </w:rPr>
              <w:t>5000</w:t>
            </w:r>
            <w:r>
              <w:rPr>
                <w:rFonts w:hint="eastAsia" w:ascii="宋体" w:hAnsi="宋体" w:eastAsia="宋体" w:cs="宋体"/>
                <w:color w:val="000000"/>
                <w:spacing w:val="0"/>
                <w:w w:val="100"/>
                <w:kern w:val="0"/>
                <w:sz w:val="24"/>
                <w:szCs w:val="24"/>
              </w:rPr>
              <w:t>亩（其中千山红镇2000亩、河坝镇2000亩、北洲子镇500亩、金盆镇500亩），主要措施包括：池塘清淤、渠道清淤、池埂修整、池坡培护、完善进排水系等方面。制定流域辖区内池塘尾水排放监管方案</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河坝镇、千山红镇北洲子镇、金盆镇</w:t>
            </w:r>
          </w:p>
        </w:tc>
        <w:tc>
          <w:tcPr>
            <w:tcW w:w="570"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12月</w:t>
            </w:r>
            <w:r>
              <w:rPr>
                <w:rFonts w:hint="eastAsia" w:ascii="宋体" w:hAnsi="宋体" w:eastAsia="宋体" w:cs="宋体"/>
                <w:kern w:val="0"/>
                <w:sz w:val="24"/>
                <w:lang w:val="en-US" w:eastAsia="zh-CN"/>
              </w:rPr>
              <w:t>10</w:t>
            </w:r>
            <w:r>
              <w:rPr>
                <w:rFonts w:hint="eastAsia" w:ascii="宋体" w:hAnsi="宋体" w:eastAsia="宋体" w:cs="宋体"/>
                <w:kern w:val="0"/>
                <w:sz w:val="24"/>
              </w:rPr>
              <w:t>日</w:t>
            </w:r>
          </w:p>
        </w:tc>
        <w:tc>
          <w:tcPr>
            <w:tcW w:w="3700" w:type="dxa"/>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firstLine="480" w:firstLineChars="200"/>
              <w:jc w:val="both"/>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5000亩池塘改造任务已全部完成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lang w:val="en-US" w:eastAsia="zh-CN"/>
              </w:rPr>
              <w:t>3</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8"/>
                <w:szCs w:val="28"/>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加强工业企业的监管，确保工业园污水处理厂稳定运行，达标排放</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pacing w:line="32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大通湖产业开发区</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大发集团</w:t>
            </w:r>
          </w:p>
        </w:tc>
        <w:tc>
          <w:tcPr>
            <w:tcW w:w="570"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kern w:val="0"/>
                <w:sz w:val="24"/>
              </w:rPr>
              <w:t>常年开展</w:t>
            </w:r>
          </w:p>
        </w:tc>
        <w:tc>
          <w:tcPr>
            <w:tcW w:w="3700" w:type="dxa"/>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区工业园污水处理厂今年来已正常运行321天，处理工业污水140613吨，处理设施运行稳定，未发生超标排放的情况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lang w:val="en-US" w:eastAsia="zh-CN"/>
              </w:rPr>
              <w:t>4</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8"/>
                <w:szCs w:val="28"/>
              </w:rPr>
            </w:pPr>
          </w:p>
        </w:tc>
        <w:tc>
          <w:tcPr>
            <w:tcW w:w="4851" w:type="dxa"/>
            <w:tcBorders>
              <w:bottom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完成大通湖城乡污水处理厂及配套管网工程EPC（污水提质增效工程）主要建设内容对四镇建成区污水管网缺陷进行修复，填补空白区，消除排污口，加大劣质管网改造，提升污水厂运行效益。完成投资3150万元，主要工程量包括新建雨污管道8km，修复管道缺陷650处，新建设智慧截流井4处</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区住房城乡建设局</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河坝镇、千山红镇北洲子镇、金盆镇</w:t>
            </w:r>
          </w:p>
        </w:tc>
        <w:tc>
          <w:tcPr>
            <w:tcW w:w="570"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kern w:val="0"/>
                <w:sz w:val="24"/>
              </w:rPr>
              <w:t>12月31日</w:t>
            </w:r>
          </w:p>
        </w:tc>
        <w:tc>
          <w:tcPr>
            <w:tcW w:w="3700" w:type="dxa"/>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tcBorders>
              <w:bottom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lang w:val="en-US" w:eastAsia="zh-CN"/>
              </w:rPr>
              <w:t>5</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b/>
                <w:bCs/>
                <w:color w:val="000000"/>
                <w:kern w:val="0"/>
                <w:sz w:val="24"/>
              </w:rPr>
            </w:pPr>
          </w:p>
        </w:tc>
        <w:tc>
          <w:tcPr>
            <w:tcW w:w="4851" w:type="dxa"/>
            <w:tcBorders>
              <w:top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加强乡镇污水处理厂和污水处理站及配套管网的日常监管，建立健全运行台帐，确保正常运行</w:t>
            </w:r>
            <w:r>
              <w:rPr>
                <w:rFonts w:hint="eastAsia" w:ascii="宋体" w:hAnsi="宋体" w:eastAsia="宋体" w:cs="宋体"/>
                <w:color w:val="000000"/>
                <w:spacing w:val="0"/>
                <w:w w:val="100"/>
                <w:kern w:val="0"/>
                <w:sz w:val="24"/>
                <w:szCs w:val="24"/>
                <w:lang w:eastAsia="zh-CN"/>
              </w:rPr>
              <w:t>、</w:t>
            </w:r>
            <w:r>
              <w:rPr>
                <w:rFonts w:hint="eastAsia" w:ascii="宋体" w:hAnsi="宋体" w:eastAsia="宋体" w:cs="宋体"/>
                <w:color w:val="000000"/>
                <w:spacing w:val="0"/>
                <w:w w:val="100"/>
                <w:kern w:val="0"/>
                <w:sz w:val="24"/>
                <w:szCs w:val="24"/>
                <w:lang w:val="en-US" w:eastAsia="zh-CN"/>
              </w:rPr>
              <w:t>达标排放</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区住房城乡建设局</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河坝镇、千山红镇北洲子镇、金盆镇</w:t>
            </w:r>
          </w:p>
        </w:tc>
        <w:tc>
          <w:tcPr>
            <w:tcW w:w="570"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常年开展</w:t>
            </w:r>
          </w:p>
        </w:tc>
        <w:tc>
          <w:tcPr>
            <w:tcW w:w="3700" w:type="dxa"/>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建立了全区污水处理厂和污水处理站长效监管机制，进一步完善运行台帐，确保了出水水质达到一级（A)标准排放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tcBorders>
              <w:top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lang w:val="en-US" w:eastAsia="zh-CN"/>
              </w:rPr>
              <w:t>6</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000000"/>
                <w:kern w:val="0"/>
                <w:sz w:val="28"/>
                <w:szCs w:val="28"/>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实施农村改厕巩固提升工程，不断健全完善农村改厕规范升级和后续管控</w:t>
            </w:r>
            <w:r>
              <w:rPr>
                <w:rFonts w:hint="eastAsia" w:ascii="宋体" w:hAnsi="宋体" w:eastAsia="宋体" w:cs="宋体"/>
                <w:color w:val="000000"/>
                <w:spacing w:val="0"/>
                <w:w w:val="100"/>
                <w:kern w:val="0"/>
                <w:sz w:val="24"/>
                <w:szCs w:val="24"/>
                <w:lang w:val="en-US" w:eastAsia="zh-CN"/>
              </w:rPr>
              <w:t>长效</w:t>
            </w:r>
            <w:r>
              <w:rPr>
                <w:rFonts w:hint="eastAsia" w:ascii="宋体" w:hAnsi="宋体" w:eastAsia="宋体" w:cs="宋体"/>
                <w:color w:val="000000"/>
                <w:spacing w:val="0"/>
                <w:w w:val="100"/>
                <w:kern w:val="0"/>
                <w:sz w:val="24"/>
                <w:szCs w:val="24"/>
              </w:rPr>
              <w:t>机制</w:t>
            </w:r>
          </w:p>
        </w:tc>
        <w:tc>
          <w:tcPr>
            <w:tcW w:w="1566"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区</w:t>
            </w:r>
            <w:r>
              <w:rPr>
                <w:rFonts w:hint="eastAsia" w:ascii="宋体" w:hAnsi="宋体" w:eastAsia="宋体" w:cs="宋体"/>
                <w:color w:val="000000"/>
                <w:kern w:val="0"/>
                <w:sz w:val="24"/>
              </w:rPr>
              <w:t>农居办</w:t>
            </w:r>
          </w:p>
        </w:tc>
        <w:tc>
          <w:tcPr>
            <w:tcW w:w="20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ascii="宋体" w:hAnsi="宋体" w:eastAsia="宋体" w:cs="宋体"/>
                <w:color w:val="000000"/>
                <w:kern w:val="0"/>
                <w:sz w:val="24"/>
              </w:rPr>
            </w:pPr>
            <w:r>
              <w:rPr>
                <w:rFonts w:hint="eastAsia" w:ascii="宋体" w:hAnsi="宋体" w:eastAsia="宋体" w:cs="宋体"/>
                <w:color w:val="000000"/>
                <w:kern w:val="0"/>
                <w:sz w:val="24"/>
              </w:rPr>
              <w:t>河坝镇、千山红镇北洲子镇、金盆镇</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lang w:val="en-US" w:eastAsia="zh-CN"/>
              </w:rPr>
              <w:t>7</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持续开展河湖“清四乱”问题整治，做到能清速清、应清尽清，不留死角；持续清除湖内及通湖河渠的水葫芦、沿岸垃圾及各类漂浮物等，保持河湖及沿岸清洁，建立长效管控机制</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ascii="宋体" w:hAnsi="宋体" w:eastAsia="宋体" w:cs="宋体"/>
                <w:color w:val="000000"/>
                <w:kern w:val="0"/>
                <w:sz w:val="24"/>
              </w:rPr>
            </w:pPr>
            <w:r>
              <w:rPr>
                <w:rFonts w:hint="eastAsia" w:ascii="宋体" w:hAnsi="宋体" w:eastAsia="宋体" w:cs="宋体"/>
                <w:color w:val="000000"/>
                <w:kern w:val="0"/>
                <w:sz w:val="24"/>
              </w:rPr>
              <w:t>区公安分局、河坝镇、千山红镇、北洲子镇、金盆镇、南湾湖办事处、区南洞庭保护管理局、区生态公司</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常年开展</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全区四镇累计打捞上岸水葫芦等漂浮物共计562.2公里，约11863.3吨，拆除围网共15处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8</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lang w:eastAsia="zh-CN"/>
              </w:rPr>
              <w:t>大通湖流域7处主要入湖口安装夜成像视频监控设施，实现24小时不间断监控入湖口排放情况,且与大通湖工作组和相关市直单位联网共享。(河坝镇6个一队控制闸、三队闸、南剅口涵闸、渔场西电排、老河口金盆运河（</w:t>
            </w:r>
            <w:r>
              <w:rPr>
                <w:rFonts w:hint="eastAsia" w:ascii="宋体" w:hAnsi="宋体" w:eastAsia="宋体" w:cs="宋体"/>
                <w:color w:val="000000"/>
                <w:spacing w:val="0"/>
                <w:w w:val="100"/>
                <w:kern w:val="0"/>
                <w:sz w:val="24"/>
                <w:szCs w:val="24"/>
                <w:lang w:val="en-US" w:eastAsia="zh-CN"/>
              </w:rPr>
              <w:t>15</w:t>
            </w:r>
            <w:r>
              <w:rPr>
                <w:rFonts w:hint="eastAsia" w:ascii="宋体" w:hAnsi="宋体" w:eastAsia="宋体" w:cs="宋体"/>
                <w:color w:val="000000"/>
                <w:spacing w:val="0"/>
                <w:w w:val="100"/>
                <w:kern w:val="0"/>
                <w:sz w:val="24"/>
                <w:szCs w:val="24"/>
                <w:lang w:eastAsia="zh-CN"/>
              </w:rPr>
              <w:t>电排）、大新河通过湿地2，</w:t>
            </w:r>
            <w:r>
              <w:rPr>
                <w:rFonts w:hint="eastAsia" w:ascii="宋体" w:hAnsi="宋体" w:eastAsia="宋体" w:cs="宋体"/>
                <w:color w:val="000000"/>
                <w:spacing w:val="0"/>
                <w:w w:val="100"/>
                <w:kern w:val="0"/>
                <w:sz w:val="24"/>
                <w:szCs w:val="24"/>
                <w:lang w:val="en-US" w:eastAsia="zh-CN"/>
              </w:rPr>
              <w:t>千</w:t>
            </w:r>
            <w:r>
              <w:rPr>
                <w:rFonts w:hint="eastAsia" w:ascii="宋体" w:hAnsi="宋体" w:eastAsia="宋体" w:cs="宋体"/>
                <w:color w:val="000000"/>
                <w:spacing w:val="0"/>
                <w:w w:val="100"/>
                <w:kern w:val="0"/>
                <w:sz w:val="24"/>
                <w:szCs w:val="24"/>
                <w:lang w:eastAsia="zh-CN"/>
              </w:rPr>
              <w:t>山红镇1个五七分界电排）</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河坝镇、千山红镇</w:t>
            </w:r>
            <w:r>
              <w:rPr>
                <w:rFonts w:hint="eastAsia" w:ascii="宋体" w:hAnsi="宋体" w:eastAsia="宋体" w:cs="宋体"/>
                <w:color w:val="000000"/>
                <w:kern w:val="0"/>
                <w:sz w:val="24"/>
                <w:lang w:val="en-US" w:eastAsia="zh-CN"/>
              </w:rPr>
              <w:t>南湾湖办事处</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2022年</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月30日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设备已安装到位，并投入正常运行中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9</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大通湖流域沿线的大通湖中心城区污水处理厂、金盆镇污水处理厂、北洲子镇污水处理厂（9月30日前完成）末端按《人工湿地水质净化技术指南》建设人工湿地</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区住房城乡建设局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河坝镇、北洲子镇</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金盆镇</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2022年12月31日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10</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每季度开展一次“禁磷”联合执法行动</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市生态环境局大通湖分局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市生态环境局大通湖分局、区科技工信局</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常年开展</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default" w:ascii="宋体" w:hAnsi="宋体" w:eastAsia="宋体" w:cs="宋体"/>
                <w:color w:val="000000" w:themeColor="text1"/>
                <w:kern w:val="0"/>
                <w:sz w:val="24"/>
                <w:lang w:val="en-US" w:eastAsia="zh-CN"/>
                <w14:textFill>
                  <w14:solidFill>
                    <w14:schemeClr w14:val="tx1"/>
                  </w14:solidFill>
                </w14:textFill>
              </w:rPr>
              <w:t>全年</w:t>
            </w:r>
            <w:r>
              <w:rPr>
                <w:rFonts w:hint="eastAsia" w:ascii="宋体" w:hAnsi="宋体" w:eastAsia="宋体" w:cs="宋体"/>
                <w:color w:val="000000" w:themeColor="text1"/>
                <w:kern w:val="0"/>
                <w:sz w:val="24"/>
                <w:lang w:val="en-US" w:eastAsia="zh-CN"/>
                <w14:textFill>
                  <w14:solidFill>
                    <w14:schemeClr w14:val="tx1"/>
                  </w14:solidFill>
                </w14:textFill>
              </w:rPr>
              <w:t>已</w:t>
            </w:r>
            <w:r>
              <w:rPr>
                <w:rFonts w:hint="default" w:ascii="宋体" w:hAnsi="宋体" w:eastAsia="宋体" w:cs="宋体"/>
                <w:color w:val="000000" w:themeColor="text1"/>
                <w:kern w:val="0"/>
                <w:sz w:val="24"/>
                <w:lang w:val="en-US" w:eastAsia="zh-CN"/>
                <w14:textFill>
                  <w14:solidFill>
                    <w14:schemeClr w14:val="tx1"/>
                  </w14:solidFill>
                </w14:textFill>
              </w:rPr>
              <w:t>开展</w:t>
            </w:r>
            <w:r>
              <w:rPr>
                <w:rFonts w:hint="eastAsia" w:ascii="宋体" w:hAnsi="宋体" w:eastAsia="宋体" w:cs="宋体"/>
                <w:color w:val="000000" w:themeColor="text1"/>
                <w:kern w:val="0"/>
                <w:sz w:val="24"/>
                <w:lang w:val="en-US" w:eastAsia="zh-CN"/>
                <w14:textFill>
                  <w14:solidFill>
                    <w14:schemeClr w14:val="tx1"/>
                  </w14:solidFill>
                </w14:textFill>
              </w:rPr>
              <w:t>4</w:t>
            </w:r>
            <w:r>
              <w:rPr>
                <w:rFonts w:hint="default" w:ascii="宋体" w:hAnsi="宋体" w:eastAsia="宋体" w:cs="宋体"/>
                <w:color w:val="000000" w:themeColor="text1"/>
                <w:kern w:val="0"/>
                <w:sz w:val="24"/>
                <w:lang w:val="en-US" w:eastAsia="zh-CN"/>
                <w14:textFill>
                  <w14:solidFill>
                    <w14:schemeClr w14:val="tx1"/>
                  </w14:solidFill>
                </w14:textFill>
              </w:rPr>
              <w:t>次“禁磷”联合专项执法检查，对各镇涉洗涤用品的食堂、超市、饭点等单位进行检查，未发现生产、销售、使用含磷洗涤剂产品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11</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大通湖流域范围内大力推进主要农作物病虫害专业化统防统治和绿色防控，完成专业化统防统治面积</w:t>
            </w:r>
            <w:r>
              <w:rPr>
                <w:rFonts w:hint="eastAsia" w:ascii="宋体" w:hAnsi="宋体" w:eastAsia="宋体" w:cs="宋体"/>
                <w:color w:val="000000"/>
                <w:spacing w:val="0"/>
                <w:w w:val="100"/>
                <w:kern w:val="0"/>
                <w:sz w:val="24"/>
                <w:szCs w:val="24"/>
                <w:lang w:val="en-US" w:eastAsia="zh-CN"/>
              </w:rPr>
              <w:t>22</w:t>
            </w:r>
            <w:r>
              <w:rPr>
                <w:rFonts w:hint="eastAsia" w:ascii="宋体" w:hAnsi="宋体" w:eastAsia="宋体" w:cs="宋体"/>
                <w:color w:val="000000"/>
                <w:spacing w:val="0"/>
                <w:w w:val="100"/>
                <w:kern w:val="0"/>
                <w:sz w:val="24"/>
                <w:szCs w:val="24"/>
              </w:rPr>
              <w:t>万亩，绿色防控面积</w:t>
            </w:r>
            <w:r>
              <w:rPr>
                <w:rFonts w:hint="eastAsia" w:ascii="宋体" w:hAnsi="宋体" w:eastAsia="宋体" w:cs="宋体"/>
                <w:color w:val="000000"/>
                <w:spacing w:val="0"/>
                <w:w w:val="100"/>
                <w:kern w:val="0"/>
                <w:sz w:val="24"/>
                <w:szCs w:val="24"/>
                <w:lang w:val="en-US" w:eastAsia="zh-CN"/>
              </w:rPr>
              <w:t>22</w:t>
            </w:r>
            <w:r>
              <w:rPr>
                <w:rFonts w:hint="eastAsia" w:ascii="宋体" w:hAnsi="宋体" w:eastAsia="宋体" w:cs="宋体"/>
                <w:color w:val="000000"/>
                <w:spacing w:val="0"/>
                <w:w w:val="100"/>
                <w:kern w:val="0"/>
                <w:sz w:val="24"/>
                <w:szCs w:val="24"/>
              </w:rPr>
              <w:t>万亩</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河坝镇、千山红镇北洲子镇、金盆镇南湖湾办事处</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全区完成统防统治22万亩，绿色防控完成22万亩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12</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left"/>
              <w:textAlignment w:val="auto"/>
              <w:rPr>
                <w:rFonts w:ascii="宋体" w:hAnsi="宋体" w:eastAsia="宋体" w:cs="宋体"/>
                <w:b/>
                <w:bCs/>
                <w:color w:val="000000"/>
                <w:kern w:val="0"/>
                <w:sz w:val="24"/>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全年完成推广测土配方施肥技术20万亩次，绿肥种植（紫云英）面积2万亩；创办绿肥种植</w:t>
            </w:r>
            <w:r>
              <w:rPr>
                <w:rFonts w:hint="eastAsia" w:ascii="宋体" w:hAnsi="宋体" w:eastAsia="宋体" w:cs="宋体"/>
                <w:color w:val="000000"/>
                <w:spacing w:val="0"/>
                <w:w w:val="100"/>
                <w:kern w:val="0"/>
                <w:sz w:val="24"/>
                <w:szCs w:val="24"/>
                <w:lang w:val="en-US" w:eastAsia="zh-CN"/>
              </w:rPr>
              <w:t>万</w:t>
            </w:r>
            <w:r>
              <w:rPr>
                <w:rFonts w:hint="eastAsia" w:ascii="宋体" w:hAnsi="宋体" w:eastAsia="宋体" w:cs="宋体"/>
                <w:color w:val="000000"/>
                <w:spacing w:val="0"/>
                <w:w w:val="100"/>
                <w:kern w:val="0"/>
                <w:sz w:val="24"/>
                <w:szCs w:val="24"/>
              </w:rPr>
              <w:t>亩示范片1个。通过科学施肥技术的推广应用，确保单位面积化肥使用量零增长</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ascii="宋体" w:hAnsi="宋体" w:eastAsia="宋体" w:cs="宋体"/>
                <w:color w:val="000000"/>
                <w:kern w:val="0"/>
                <w:sz w:val="24"/>
              </w:rPr>
            </w:pPr>
            <w:r>
              <w:rPr>
                <w:rFonts w:ascii="宋体" w:hAnsi="宋体" w:eastAsia="宋体" w:cs="宋体"/>
                <w:color w:val="000000"/>
                <w:kern w:val="0"/>
                <w:sz w:val="24"/>
              </w:rPr>
              <w:t>河坝镇、千山红镇北洲子镇、金盆镇</w:t>
            </w:r>
            <w:r>
              <w:rPr>
                <w:rFonts w:hint="eastAsia" w:ascii="宋体" w:hAnsi="宋体" w:eastAsia="宋体" w:cs="宋体"/>
                <w:color w:val="000000"/>
                <w:kern w:val="0"/>
                <w:sz w:val="24"/>
              </w:rPr>
              <w:t>南湖湾办事处</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推广测土配方施肥面积56万亩次，创建两个万亩示范片（河坝镇、北洲子镇）、两个千亩示范片（金盆镇、千山红镇）通过化肥减量增效综合配套技术，确保单位面积化肥保使用量零增长，每亩减少氮肥纯量0.508KG，磷肥纯量0.237KG；已完成绿肥种植6.476万亩，其中紫云英3.069万亩。已创建2个千亩示范片（北洲子镇，金盆镇）和18个百亩示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13</w:t>
            </w:r>
          </w:p>
        </w:tc>
        <w:tc>
          <w:tcPr>
            <w:tcW w:w="764" w:type="dxa"/>
            <w:vMerge w:val="restart"/>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b/>
                <w:bCs/>
                <w:color w:val="000000"/>
                <w:kern w:val="0"/>
                <w:sz w:val="24"/>
              </w:rPr>
            </w:pPr>
            <w:r>
              <w:rPr>
                <w:rFonts w:hint="eastAsia" w:ascii="Calibri" w:hAnsi="Calibri" w:eastAsia="宋体" w:cs="Times New Roman"/>
                <w:kern w:val="0"/>
              </w:rPr>
              <w:t>截污</w:t>
            </w: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ascii="宋体" w:hAnsi="宋体" w:eastAsia="宋体" w:cs="宋体"/>
                <w:color w:val="000000"/>
                <w:kern w:val="0"/>
                <w:sz w:val="24"/>
              </w:rPr>
            </w:pPr>
            <w:r>
              <w:rPr>
                <w:rFonts w:hint="eastAsia" w:ascii="宋体" w:hAnsi="宋体" w:eastAsia="宋体" w:cs="宋体"/>
                <w:color w:val="000000"/>
                <w:spacing w:val="0"/>
                <w:w w:val="100"/>
                <w:kern w:val="0"/>
                <w:sz w:val="24"/>
                <w:szCs w:val="24"/>
              </w:rPr>
              <w:t>确保千山红镇、河坝镇已建成的鱼塘(稻虾)尾水治理设施正常有效运行</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kern w:val="0"/>
                <w:sz w:val="24"/>
              </w:rPr>
            </w:pPr>
            <w:r>
              <w:rPr>
                <w:rFonts w:hint="eastAsia" w:ascii="宋体" w:hAnsi="宋体" w:eastAsia="宋体" w:cs="宋体"/>
                <w:kern w:val="0"/>
                <w:sz w:val="24"/>
              </w:rPr>
              <w:t>河坝镇、北洲子镇金盆镇</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千山红</w:t>
            </w:r>
            <w:r>
              <w:rPr>
                <w:rFonts w:hint="eastAsia" w:ascii="宋体" w:hAnsi="宋体" w:eastAsia="宋体" w:cs="宋体"/>
                <w:color w:val="000000" w:themeColor="text1"/>
                <w:kern w:val="0"/>
                <w:sz w:val="24"/>
                <w:lang w:val="en-US" w:eastAsia="zh-CN"/>
                <w14:textFill>
                  <w14:solidFill>
                    <w14:schemeClr w14:val="tx1"/>
                  </w14:solidFill>
                </w14:textFill>
              </w:rPr>
              <w:t>镇</w:t>
            </w:r>
            <w:r>
              <w:rPr>
                <w:rFonts w:hint="eastAsia" w:ascii="宋体" w:hAnsi="宋体" w:eastAsia="宋体" w:cs="宋体"/>
                <w:color w:val="000000" w:themeColor="text1"/>
                <w:kern w:val="0"/>
                <w:sz w:val="24"/>
                <w:lang w:eastAsia="zh-CN"/>
                <w14:textFill>
                  <w14:solidFill>
                    <w14:schemeClr w14:val="tx1"/>
                  </w14:solidFill>
                </w14:textFill>
              </w:rPr>
              <w:t>、河坝</w:t>
            </w:r>
            <w:r>
              <w:rPr>
                <w:rFonts w:hint="eastAsia" w:ascii="宋体" w:hAnsi="宋体" w:eastAsia="宋体" w:cs="宋体"/>
                <w:color w:val="000000" w:themeColor="text1"/>
                <w:kern w:val="0"/>
                <w:sz w:val="24"/>
                <w:lang w:val="en-US" w:eastAsia="zh-CN"/>
                <w14:textFill>
                  <w14:solidFill>
                    <w14:schemeClr w14:val="tx1"/>
                  </w14:solidFill>
                </w14:textFill>
              </w:rPr>
              <w:t>镇尾水治理设施完成建设并投入</w:t>
            </w:r>
            <w:r>
              <w:rPr>
                <w:rFonts w:hint="eastAsia" w:ascii="宋体" w:hAnsi="宋体" w:eastAsia="宋体" w:cs="宋体"/>
                <w:color w:val="000000" w:themeColor="text1"/>
                <w:kern w:val="0"/>
                <w:sz w:val="24"/>
                <w:lang w:eastAsia="zh-CN"/>
                <w14:textFill>
                  <w14:solidFill>
                    <w14:schemeClr w14:val="tx1"/>
                  </w14:solidFill>
                </w14:textFill>
              </w:rPr>
              <w:t>运行，</w:t>
            </w:r>
            <w:r>
              <w:rPr>
                <w:rFonts w:hint="eastAsia" w:ascii="宋体" w:hAnsi="宋体" w:eastAsia="宋体" w:cs="宋体"/>
                <w:color w:val="000000" w:themeColor="text1"/>
                <w:kern w:val="0"/>
                <w:sz w:val="24"/>
                <w:lang w:val="en-US" w:eastAsia="zh-CN"/>
                <w14:textFill>
                  <w14:solidFill>
                    <w14:schemeClr w14:val="tx1"/>
                  </w14:solidFill>
                </w14:textFill>
              </w:rPr>
              <w:t>按月进行水质检测</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并对出现的问题及时整改到位，确保设施运行有效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14</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kern w:val="0"/>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严格辖区内入湖河(渠)电排口管控，加强巡查，对未批开闸(机)排水入湖行为</w:t>
            </w:r>
            <w:r>
              <w:rPr>
                <w:rFonts w:hint="eastAsia" w:ascii="宋体" w:hAnsi="宋体" w:eastAsia="宋体" w:cs="宋体"/>
                <w:color w:val="000000"/>
                <w:spacing w:val="0"/>
                <w:w w:val="100"/>
                <w:kern w:val="0"/>
                <w:sz w:val="24"/>
                <w:szCs w:val="24"/>
                <w:lang w:val="en-US" w:eastAsia="zh-CN"/>
              </w:rPr>
              <w:t>及按照大湖降水要求外排机埠需加足马力全力外排时擅自停运行为</w:t>
            </w:r>
            <w:r>
              <w:rPr>
                <w:rFonts w:hint="eastAsia" w:ascii="宋体" w:hAnsi="宋体" w:eastAsia="宋体" w:cs="宋体"/>
                <w:color w:val="000000"/>
                <w:spacing w:val="0"/>
                <w:w w:val="100"/>
                <w:kern w:val="0"/>
                <w:sz w:val="24"/>
                <w:szCs w:val="24"/>
              </w:rPr>
              <w:t>加大处罚与问责力度</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宋体"/>
                <w:kern w:val="0"/>
                <w:sz w:val="24"/>
                <w:lang w:val="en-US" w:eastAsia="zh-CN"/>
              </w:rPr>
            </w:pPr>
            <w:r>
              <w:rPr>
                <w:rFonts w:hint="eastAsia" w:ascii="宋体" w:hAnsi="宋体" w:eastAsia="宋体" w:cs="宋体"/>
                <w:kern w:val="0"/>
                <w:sz w:val="24"/>
              </w:rPr>
              <w:t>河坝镇、千山红镇金盆镇</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区生态公司</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常年开展</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240" w:firstLineChars="1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根据《大通湖区电排调控工作实施方案》要求，通过巡查、查看视频监控及不定期实地督查</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对电排进行分区域管控，确保管控到位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15</w:t>
            </w:r>
          </w:p>
        </w:tc>
        <w:tc>
          <w:tcPr>
            <w:tcW w:w="764"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Calibri" w:hAnsi="Calibri" w:eastAsia="宋体" w:cs="Times New Roman"/>
                <w:kern w:val="0"/>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完成农村环境整治2个任务村</w:t>
            </w:r>
            <w:r>
              <w:rPr>
                <w:rFonts w:hint="eastAsia" w:ascii="宋体" w:hAnsi="宋体" w:eastAsia="宋体" w:cs="宋体"/>
                <w:color w:val="000000"/>
                <w:spacing w:val="0"/>
                <w:w w:val="100"/>
                <w:kern w:val="0"/>
                <w:sz w:val="24"/>
                <w:szCs w:val="24"/>
                <w:lang w:eastAsia="zh-CN"/>
              </w:rPr>
              <w:t>（</w:t>
            </w:r>
            <w:r>
              <w:rPr>
                <w:rFonts w:hint="eastAsia" w:ascii="宋体" w:hAnsi="宋体" w:eastAsia="宋体" w:cs="宋体"/>
                <w:color w:val="000000"/>
                <w:spacing w:val="0"/>
                <w:w w:val="100"/>
                <w:kern w:val="0"/>
                <w:sz w:val="24"/>
                <w:szCs w:val="24"/>
                <w:lang w:val="en-US" w:eastAsia="zh-CN"/>
              </w:rPr>
              <w:t>河坝镇红旗社区、金盆镇金漉社区</w:t>
            </w:r>
            <w:r>
              <w:rPr>
                <w:rFonts w:hint="eastAsia" w:ascii="宋体" w:hAnsi="宋体" w:eastAsia="宋体" w:cs="宋体"/>
                <w:color w:val="000000"/>
                <w:spacing w:val="0"/>
                <w:w w:val="100"/>
                <w:kern w:val="0"/>
                <w:sz w:val="24"/>
                <w:szCs w:val="24"/>
                <w:lang w:eastAsia="zh-CN"/>
              </w:rPr>
              <w:t>）</w:t>
            </w:r>
            <w:r>
              <w:rPr>
                <w:rFonts w:hint="eastAsia" w:ascii="宋体" w:hAnsi="宋体" w:eastAsia="宋体" w:cs="宋体"/>
                <w:color w:val="000000"/>
                <w:spacing w:val="0"/>
                <w:w w:val="100"/>
                <w:kern w:val="0"/>
                <w:sz w:val="24"/>
                <w:szCs w:val="24"/>
              </w:rPr>
              <w:t>的整治任务</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市</w:t>
            </w:r>
            <w:r>
              <w:rPr>
                <w:rFonts w:hint="eastAsia" w:ascii="宋体" w:hAnsi="宋体" w:eastAsia="宋体" w:cs="宋体"/>
                <w:color w:val="000000"/>
                <w:kern w:val="0"/>
                <w:sz w:val="24"/>
              </w:rPr>
              <w:t>生态环境局大通湖分局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宋体"/>
                <w:kern w:val="0"/>
                <w:sz w:val="24"/>
              </w:rPr>
            </w:pPr>
            <w:r>
              <w:rPr>
                <w:rFonts w:hint="eastAsia" w:ascii="宋体" w:hAnsi="宋体" w:eastAsia="宋体" w:cs="宋体"/>
                <w:kern w:val="0"/>
                <w:sz w:val="24"/>
              </w:rPr>
              <w:t>区农居办、区住房城乡建设局、区河坝镇、金盆镇</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default" w:ascii="宋体" w:hAnsi="宋体" w:eastAsia="宋体" w:cs="宋体"/>
                <w:color w:val="000000" w:themeColor="text1"/>
                <w:kern w:val="0"/>
                <w:sz w:val="24"/>
                <w:lang w:val="en-US" w:eastAsia="zh-CN"/>
                <w14:textFill>
                  <w14:solidFill>
                    <w14:schemeClr w14:val="tx1"/>
                  </w14:solidFill>
                </w14:textFill>
              </w:rPr>
              <w:t>已</w:t>
            </w:r>
            <w:r>
              <w:rPr>
                <w:rFonts w:hint="eastAsia" w:ascii="宋体" w:hAnsi="宋体" w:eastAsia="宋体" w:cs="宋体"/>
                <w:color w:val="000000" w:themeColor="text1"/>
                <w:kern w:val="0"/>
                <w:sz w:val="24"/>
                <w:lang w:val="en-US" w:eastAsia="zh-CN"/>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rPr>
              <w:t>1</w:t>
            </w:r>
            <w:r>
              <w:rPr>
                <w:rFonts w:hint="eastAsia" w:ascii="宋体" w:hAnsi="宋体" w:eastAsia="宋体" w:cs="宋体"/>
                <w:bCs/>
                <w:color w:val="000000"/>
                <w:kern w:val="0"/>
                <w:sz w:val="24"/>
                <w:lang w:val="en-US" w:eastAsia="zh-CN"/>
              </w:rPr>
              <w:t>6</w:t>
            </w:r>
          </w:p>
        </w:tc>
        <w:tc>
          <w:tcPr>
            <w:tcW w:w="764" w:type="dxa"/>
            <w:vMerge w:val="restart"/>
            <w:noWrap w:val="0"/>
            <w:vAlign w:val="center"/>
          </w:tcPr>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增绿</w:t>
            </w: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ascii="宋体" w:hAnsi="宋体" w:eastAsia="宋体" w:cs="宋体"/>
                <w:color w:val="000000"/>
                <w:kern w:val="0"/>
                <w:sz w:val="24"/>
              </w:rPr>
            </w:pPr>
            <w:r>
              <w:rPr>
                <w:rFonts w:hint="eastAsia" w:ascii="宋体" w:hAnsi="宋体" w:eastAsia="宋体" w:cs="宋体"/>
                <w:color w:val="000000"/>
                <w:spacing w:val="0"/>
                <w:w w:val="100"/>
                <w:kern w:val="0"/>
                <w:sz w:val="24"/>
                <w:szCs w:val="24"/>
              </w:rPr>
              <w:t>完成大通湖主要入湖河流环境治理及生态修复工程、大通湖南岸湖滨带建设及区域水生态修复工程</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市</w:t>
            </w:r>
            <w:r>
              <w:rPr>
                <w:rFonts w:hint="eastAsia" w:ascii="宋体" w:hAnsi="宋体" w:eastAsia="宋体" w:cs="宋体"/>
                <w:color w:val="000000"/>
                <w:kern w:val="0"/>
                <w:sz w:val="24"/>
              </w:rPr>
              <w:t>生态环境局大通湖分局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大发集团</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jc w:val="left"/>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50" w:type="dxa"/>
            <w:tcBorders>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17</w:t>
            </w:r>
          </w:p>
        </w:tc>
        <w:tc>
          <w:tcPr>
            <w:tcW w:w="764" w:type="dxa"/>
            <w:vMerge w:val="continue"/>
            <w:noWrap w:val="0"/>
            <w:vAlign w:val="center"/>
          </w:tcPr>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tc>
        <w:tc>
          <w:tcPr>
            <w:tcW w:w="4851"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rPr>
            </w:pPr>
            <w:r>
              <w:rPr>
                <w:rFonts w:hint="eastAsia" w:ascii="宋体" w:hAnsi="宋体" w:eastAsia="宋体" w:cs="宋体"/>
                <w:color w:val="000000"/>
                <w:spacing w:val="0"/>
                <w:w w:val="100"/>
                <w:kern w:val="0"/>
                <w:sz w:val="24"/>
                <w:szCs w:val="24"/>
              </w:rPr>
              <w:t>完成益阳市大通湖水生植被种植与水质改善（五期）工程并通过验收；2021年-2022年恢复越冬水生植物6万亩；2022年恢复夏季水生植被6.5万亩：沉水植被5.8万亩，挺水植物5000亩，浮叶植物2000亩</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河坝镇</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区</w:t>
            </w:r>
            <w:r>
              <w:rPr>
                <w:rFonts w:hint="eastAsia" w:ascii="宋体" w:hAnsi="宋体" w:eastAsia="宋体" w:cs="宋体"/>
                <w:kern w:val="0"/>
                <w:sz w:val="24"/>
              </w:rPr>
              <w:t>生态公司</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12月31日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水草的覆盖面积达到5.1万亩（其中挺水植被2.7万亩、浮叶植被0.8万亩、沉水植被1.6万亩）。</w:t>
            </w:r>
          </w:p>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鳜鱼、鱤鱼、鲶鱼、乌鳢60076斤;无齿蚌、环棱螺、三角帆蚌和河蚌600560斤;核心区建设38712米。项目已完成。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tcBorders>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18</w:t>
            </w:r>
          </w:p>
        </w:tc>
        <w:tc>
          <w:tcPr>
            <w:tcW w:w="764" w:type="dxa"/>
            <w:vMerge w:val="continue"/>
            <w:noWrap w:val="0"/>
            <w:vAlign w:val="center"/>
          </w:tcPr>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2"/>
                <w:sz w:val="21"/>
                <w:szCs w:val="21"/>
                <w:lang w:val="en-US" w:eastAsia="zh-CN" w:bidi="ar-SA"/>
              </w:rPr>
            </w:pPr>
          </w:p>
        </w:tc>
        <w:tc>
          <w:tcPr>
            <w:tcW w:w="4851"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18" w:lineRule="exact"/>
              <w:ind w:left="0" w:leftChars="0" w:right="0" w:rightChars="0" w:firstLine="240" w:firstLineChars="100"/>
              <w:jc w:val="both"/>
              <w:textAlignment w:val="auto"/>
              <w:rPr>
                <w:rFonts w:ascii="宋体" w:hAnsi="宋体" w:eastAsia="宋体" w:cs="宋体"/>
                <w:color w:val="000000"/>
                <w:kern w:val="0"/>
                <w:sz w:val="24"/>
              </w:rPr>
            </w:pPr>
            <w:r>
              <w:rPr>
                <w:rFonts w:hint="eastAsia" w:ascii="宋体" w:hAnsi="宋体" w:eastAsia="宋体" w:cs="宋体"/>
                <w:color w:val="000000"/>
                <w:spacing w:val="0"/>
                <w:w w:val="100"/>
                <w:kern w:val="0"/>
                <w:sz w:val="24"/>
                <w:szCs w:val="24"/>
              </w:rPr>
              <w:t>实施《大通湖区湿地管理与维护实施方案》，按照实施方案各负其责，加强对通过大湖水生植被恢复工程、环湖沿岸植被带恢复、入湖口生态湿地建设、入湖河渠增绿等项目恢复的湿地进行管理与维护</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18" w:lineRule="exact"/>
              <w:jc w:val="center"/>
              <w:textAlignment w:val="auto"/>
              <w:rPr>
                <w:rFonts w:hint="eastAsia" w:ascii="宋体" w:hAnsi="宋体" w:eastAsia="宋体" w:cs="宋体"/>
                <w:kern w:val="0"/>
                <w:sz w:val="24"/>
              </w:rPr>
            </w:pPr>
          </w:p>
          <w:p>
            <w:pPr>
              <w:keepNext w:val="0"/>
              <w:keepLines w:val="0"/>
              <w:pageBreakBefore w:val="0"/>
              <w:widowControl w:val="0"/>
              <w:kinsoku/>
              <w:wordWrap/>
              <w:overflowPunct w:val="0"/>
              <w:topLinePunct w:val="0"/>
              <w:autoSpaceDE w:val="0"/>
              <w:autoSpaceDN w:val="0"/>
              <w:bidi w:val="0"/>
              <w:adjustRightInd w:val="0"/>
              <w:snapToGrid w:val="0"/>
              <w:spacing w:line="318" w:lineRule="exact"/>
              <w:jc w:val="center"/>
              <w:textAlignment w:val="auto"/>
              <w:rPr>
                <w:rFonts w:ascii="宋体" w:hAnsi="宋体" w:eastAsia="宋体" w:cs="宋体"/>
                <w:kern w:val="0"/>
                <w:sz w:val="24"/>
              </w:rPr>
            </w:pPr>
            <w:r>
              <w:rPr>
                <w:rFonts w:hint="eastAsia" w:ascii="宋体" w:hAnsi="宋体" w:eastAsia="宋体" w:cs="宋体"/>
                <w:kern w:val="0"/>
                <w:sz w:val="24"/>
              </w:rPr>
              <w:t>区南洞庭保护管理局</w:t>
            </w:r>
          </w:p>
          <w:p>
            <w:pPr>
              <w:keepNext w:val="0"/>
              <w:keepLines w:val="0"/>
              <w:pageBreakBefore w:val="0"/>
              <w:widowControl w:val="0"/>
              <w:kinsoku/>
              <w:wordWrap/>
              <w:overflowPunct w:val="0"/>
              <w:topLinePunct w:val="0"/>
              <w:autoSpaceDE w:val="0"/>
              <w:autoSpaceDN w:val="0"/>
              <w:bidi w:val="0"/>
              <w:adjustRightInd w:val="0"/>
              <w:snapToGrid w:val="0"/>
              <w:spacing w:line="318" w:lineRule="exact"/>
              <w:jc w:val="center"/>
              <w:textAlignment w:val="auto"/>
              <w:rPr>
                <w:rFonts w:ascii="宋体" w:hAnsi="宋体" w:eastAsia="宋体" w:cs="宋体"/>
                <w:color w:val="000000"/>
                <w:kern w:val="0"/>
                <w:sz w:val="24"/>
              </w:rPr>
            </w:pP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18" w:lineRule="exact"/>
              <w:jc w:val="both"/>
              <w:textAlignment w:val="auto"/>
              <w:rPr>
                <w:rFonts w:hint="eastAsia" w:ascii="宋体" w:hAnsi="宋体" w:eastAsia="宋体" w:cs="宋体"/>
                <w:color w:val="000000"/>
                <w:kern w:val="0"/>
                <w:sz w:val="24"/>
              </w:rPr>
            </w:pPr>
            <w:r>
              <w:rPr>
                <w:rFonts w:hint="eastAsia" w:ascii="宋体" w:hAnsi="宋体" w:eastAsia="宋体" w:cs="宋体"/>
                <w:kern w:val="0"/>
                <w:sz w:val="24"/>
                <w:lang w:val="en-US" w:eastAsia="zh-CN"/>
              </w:rPr>
              <w:t>区农业农村水利局、市生态环境局大通湖分局、河坝镇、千山红镇、北洲子镇、金盆镇、区生态公司</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18" w:lineRule="exact"/>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常年开展</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按照出台的实施方案明确各责任单位的职责，压实各单位工作职责，强化各项目单位对已建成湿地进行了日常管理和维护；由中科院亚热带农业研究所技术团队制定入湖口湿地移交工作方案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550" w:type="dxa"/>
            <w:tcBorders>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19</w:t>
            </w:r>
          </w:p>
        </w:tc>
        <w:tc>
          <w:tcPr>
            <w:tcW w:w="764"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both"/>
              <w:textAlignment w:val="auto"/>
              <w:rPr>
                <w:rFonts w:hint="eastAsia" w:ascii="Calibri" w:hAnsi="Calibri" w:eastAsia="宋体" w:cs="Times New Roman"/>
                <w:kern w:val="0"/>
                <w:sz w:val="21"/>
                <w:szCs w:val="21"/>
                <w:lang w:val="en-US" w:eastAsia="zh-CN" w:bidi="ar-SA"/>
              </w:rPr>
            </w:pPr>
          </w:p>
        </w:tc>
        <w:tc>
          <w:tcPr>
            <w:tcW w:w="4851" w:type="dxa"/>
            <w:tcBorders>
              <w:lef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spacing w:val="0"/>
                <w:w w:val="100"/>
                <w:kern w:val="0"/>
                <w:sz w:val="24"/>
                <w:szCs w:val="24"/>
              </w:rPr>
              <w:t>加强与市大通湖水环境治理工作组、市水利局的对接，开展大湖补水与外排，及时完成大湖水位调控，保证大湖水草种植和水质净化轮换的要求</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河坝镇、千山红镇北洲子镇、金盆镇</w:t>
            </w: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长期开展</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加强对接，</w:t>
            </w:r>
            <w:r>
              <w:rPr>
                <w:rFonts w:hint="eastAsia" w:ascii="宋体" w:hAnsi="宋体" w:eastAsia="宋体" w:cs="宋体"/>
                <w:color w:val="000000" w:themeColor="text1"/>
                <w:kern w:val="0"/>
                <w:sz w:val="24"/>
                <w:lang w:val="en-US" w:eastAsia="zh-CN"/>
                <w14:textFill>
                  <w14:solidFill>
                    <w14:schemeClr w14:val="tx1"/>
                  </w14:solidFill>
                </w14:textFill>
              </w:rPr>
              <w:t>截至目前7次</w:t>
            </w:r>
            <w:r>
              <w:rPr>
                <w:rFonts w:hint="eastAsia" w:ascii="宋体" w:hAnsi="宋体" w:eastAsia="宋体" w:cs="宋体"/>
                <w:color w:val="000000" w:themeColor="text1"/>
                <w:kern w:val="0"/>
                <w:sz w:val="24"/>
                <w14:textFill>
                  <w14:solidFill>
                    <w14:schemeClr w14:val="tx1"/>
                  </w14:solidFill>
                </w14:textFill>
              </w:rPr>
              <w:t>与市</w:t>
            </w:r>
            <w:r>
              <w:rPr>
                <w:rFonts w:hint="eastAsia" w:ascii="宋体" w:hAnsi="宋体" w:eastAsia="宋体" w:cs="宋体"/>
                <w:color w:val="000000" w:themeColor="text1"/>
                <w:kern w:val="0"/>
                <w:sz w:val="24"/>
                <w:lang w:val="en-US" w:eastAsia="zh-CN"/>
                <w14:textFill>
                  <w14:solidFill>
                    <w14:schemeClr w14:val="tx1"/>
                  </w14:solidFill>
                </w14:textFill>
              </w:rPr>
              <w:t>工作组、</w:t>
            </w:r>
            <w:r>
              <w:rPr>
                <w:rFonts w:hint="eastAsia" w:ascii="宋体" w:hAnsi="宋体" w:eastAsia="宋体" w:cs="宋体"/>
                <w:color w:val="000000" w:themeColor="text1"/>
                <w:kern w:val="0"/>
                <w:sz w:val="24"/>
                <w14:textFill>
                  <w14:solidFill>
                    <w14:schemeClr w14:val="tx1"/>
                  </w14:solidFill>
                </w14:textFill>
              </w:rPr>
              <w:t>水利局对接调控大湖水位，科学保障大湖水草种植水位要求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0"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20</w:t>
            </w:r>
          </w:p>
        </w:tc>
        <w:tc>
          <w:tcPr>
            <w:tcW w:w="764" w:type="dxa"/>
            <w:tcBorders>
              <w:top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b/>
                <w:bCs/>
                <w:color w:val="000000"/>
                <w:kern w:val="0"/>
                <w:sz w:val="24"/>
              </w:rPr>
            </w:pPr>
            <w:r>
              <w:rPr>
                <w:rFonts w:hint="eastAsia" w:ascii="宋体" w:hAnsi="宋体" w:eastAsia="宋体" w:cs="宋体"/>
                <w:color w:val="000000"/>
                <w:kern w:val="0"/>
                <w:szCs w:val="21"/>
              </w:rPr>
              <w:t>活水</w:t>
            </w:r>
          </w:p>
        </w:tc>
        <w:tc>
          <w:tcPr>
            <w:tcW w:w="485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0" w:leftChars="0" w:right="0" w:rightChars="0" w:firstLine="240" w:firstLineChars="100"/>
              <w:jc w:val="both"/>
              <w:textAlignment w:val="auto"/>
              <w:rPr>
                <w:rFonts w:ascii="宋体" w:hAnsi="宋体" w:eastAsia="宋体" w:cs="宋体"/>
                <w:color w:val="000000"/>
                <w:kern w:val="0"/>
                <w:sz w:val="24"/>
              </w:rPr>
            </w:pPr>
            <w:r>
              <w:rPr>
                <w:rFonts w:hint="eastAsia" w:ascii="宋体" w:hAnsi="宋体" w:eastAsia="宋体" w:cs="宋体"/>
                <w:color w:val="000000"/>
                <w:spacing w:val="0"/>
                <w:w w:val="100"/>
                <w:kern w:val="0"/>
                <w:sz w:val="24"/>
                <w:szCs w:val="24"/>
              </w:rPr>
              <w:t>完成金盆河节制闸、大新河节制闸建设</w:t>
            </w:r>
          </w:p>
        </w:tc>
        <w:tc>
          <w:tcPr>
            <w:tcW w:w="1566"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ascii="宋体" w:hAnsi="宋体" w:eastAsia="宋体" w:cs="宋体"/>
                <w:color w:val="000000"/>
                <w:kern w:val="0"/>
                <w:sz w:val="24"/>
              </w:rPr>
            </w:pPr>
            <w:r>
              <w:rPr>
                <w:rFonts w:ascii="宋体" w:hAnsi="宋体" w:eastAsia="宋体" w:cs="宋体"/>
                <w:color w:val="000000"/>
                <w:kern w:val="0"/>
                <w:sz w:val="24"/>
              </w:rPr>
              <w:t>区农业农村水利局</w:t>
            </w:r>
          </w:p>
        </w:tc>
        <w:tc>
          <w:tcPr>
            <w:tcW w:w="2045" w:type="dxa"/>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ascii="宋体" w:hAnsi="宋体" w:eastAsia="宋体" w:cs="宋体"/>
                <w:color w:val="000000"/>
                <w:kern w:val="0"/>
                <w:sz w:val="24"/>
              </w:rPr>
            </w:pPr>
          </w:p>
        </w:tc>
        <w:tc>
          <w:tcPr>
            <w:tcW w:w="570" w:type="dxa"/>
            <w:tcBorders>
              <w:lef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ascii="宋体" w:hAnsi="宋体" w:eastAsia="宋体" w:cs="宋体"/>
                <w:color w:val="FF0000"/>
                <w:kern w:val="0"/>
                <w:sz w:val="24"/>
              </w:rPr>
            </w:pPr>
            <w:r>
              <w:rPr>
                <w:rFonts w:hint="eastAsia" w:ascii="宋体" w:hAnsi="宋体" w:eastAsia="宋体" w:cs="宋体"/>
                <w:color w:val="000000"/>
                <w:kern w:val="0"/>
                <w:sz w:val="24"/>
                <w:lang w:eastAsia="zh-CN"/>
              </w:rPr>
              <w:t>4</w:t>
            </w:r>
            <w:r>
              <w:rPr>
                <w:rFonts w:ascii="宋体" w:hAnsi="宋体" w:eastAsia="宋体" w:cs="宋体"/>
                <w:color w:val="000000"/>
                <w:kern w:val="0"/>
                <w:sz w:val="24"/>
              </w:rPr>
              <w:t>月30日</w:t>
            </w:r>
          </w:p>
        </w:tc>
        <w:tc>
          <w:tcPr>
            <w:tcW w:w="3700" w:type="dxa"/>
            <w:tcBorders>
              <w:left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大新河节制闸</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金盆河节制闸主体工程已完工</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830C89-3D06-4DD4-8836-5BDF80987C44}"/>
  </w:font>
  <w:font w:name="方正大标宋简体">
    <w:panose1 w:val="02000000000000000000"/>
    <w:charset w:val="86"/>
    <w:family w:val="auto"/>
    <w:pitch w:val="default"/>
    <w:sig w:usb0="A00002BF" w:usb1="184F6CFA" w:usb2="00000012" w:usb3="00000000" w:csb0="00040001" w:csb1="00000000"/>
    <w:embedRegular r:id="rId2" w:fontKey="{DAA58409-7413-4129-A292-080B7423CC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GJlZmNjZWY3YzkyN2VjNzFkNDMxMzc1NWU5ZjUifQ=="/>
  </w:docVars>
  <w:rsids>
    <w:rsidRoot w:val="0D6E770C"/>
    <w:rsid w:val="040A2CF3"/>
    <w:rsid w:val="04EE2B86"/>
    <w:rsid w:val="0D224C0A"/>
    <w:rsid w:val="0D6E770C"/>
    <w:rsid w:val="25233E8D"/>
    <w:rsid w:val="34B2352F"/>
    <w:rsid w:val="34C46423"/>
    <w:rsid w:val="3CCF62AD"/>
    <w:rsid w:val="3D31661F"/>
    <w:rsid w:val="3E365C57"/>
    <w:rsid w:val="41B8650B"/>
    <w:rsid w:val="520D7203"/>
    <w:rsid w:val="554813B5"/>
    <w:rsid w:val="59036FC8"/>
    <w:rsid w:val="5BBD0870"/>
    <w:rsid w:val="646E36DA"/>
    <w:rsid w:val="6C472382"/>
    <w:rsid w:val="740256BB"/>
    <w:rsid w:val="78D930EC"/>
    <w:rsid w:val="7CE729DC"/>
    <w:rsid w:val="7DA22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00" w:after="200"/>
      <w:outlineLvl w:val="0"/>
    </w:pPr>
    <w:rPr>
      <w:rFonts w:ascii="宋体" w:hAnsi="宋体"/>
      <w:bCs/>
      <w:kern w:val="44"/>
      <w:sz w:val="52"/>
      <w:szCs w:val="52"/>
      <w:vertAlign w:val="subscript"/>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2680</Words>
  <Characters>2851</Characters>
  <Lines>0</Lines>
  <Paragraphs>0</Paragraphs>
  <TotalTime>39</TotalTime>
  <ScaleCrop>false</ScaleCrop>
  <LinksUpToDate>false</LinksUpToDate>
  <CharactersWithSpaces>2852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2022-09-23T01:37:00Z</dcterms:created>
  <dc:creator>隰有荷华</dc:creator>
  <cp:lastModifiedBy>隰有荷华</cp:lastModifiedBy>
  <cp:lastPrinted>2022-11-18T08:26:00Z</cp:lastPrinted>
  <dcterms:modified xsi:type="dcterms:W3CDTF">2022-12-13T09:12:17Z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EE44C7A7D6A3471DB12D8874905F329B</vt:lpwstr>
  </property>
</Properties>
</file>