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color w:val="000000"/>
          <w:kern w:val="0"/>
          <w:sz w:val="32"/>
          <w:szCs w:val="32"/>
        </w:rPr>
      </w:pPr>
      <w:bookmarkStart w:id="0" w:name="_GoBack"/>
      <w:r>
        <w:rPr>
          <w:rFonts w:hAnsi="黑体" w:eastAsia="黑体"/>
          <w:color w:val="000000"/>
          <w:kern w:val="0"/>
          <w:sz w:val="32"/>
          <w:szCs w:val="32"/>
        </w:rPr>
        <w:t>附件</w:t>
      </w:r>
      <w:r>
        <w:rPr>
          <w:rFonts w:hint="eastAsia" w:hAnsi="黑体" w:eastAsia="黑体"/>
          <w:color w:val="000000"/>
          <w:kern w:val="0"/>
          <w:sz w:val="32"/>
          <w:szCs w:val="32"/>
        </w:rPr>
        <w:t>3</w:t>
      </w:r>
    </w:p>
    <w:bookmarkEnd w:id="0"/>
    <w:p>
      <w:pPr>
        <w:autoSpaceDE w:val="0"/>
        <w:autoSpaceDN w:val="0"/>
        <w:spacing w:line="360" w:lineRule="auto"/>
        <w:jc w:val="center"/>
        <w:rPr>
          <w:rFonts w:ascii="方正大标宋简体" w:eastAsia="方正大标宋简体" w:cs="仿宋_GB2312"/>
          <w:color w:val="000000"/>
          <w:sz w:val="44"/>
          <w:szCs w:val="44"/>
        </w:rPr>
      </w:pPr>
      <w:r>
        <w:rPr>
          <w:rFonts w:hint="eastAsia" w:ascii="方正大标宋简体" w:eastAsia="方正大标宋简体" w:cs="仿宋_GB2312"/>
          <w:color w:val="000000"/>
          <w:sz w:val="44"/>
          <w:szCs w:val="44"/>
        </w:rPr>
        <w:t>2021年部门整体支出绩效自评指标计分表</w:t>
      </w:r>
    </w:p>
    <w:tbl>
      <w:tblPr>
        <w:tblStyle w:val="12"/>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3"/>
        <w:gridCol w:w="546"/>
        <w:gridCol w:w="689"/>
        <w:gridCol w:w="552"/>
        <w:gridCol w:w="953"/>
        <w:gridCol w:w="466"/>
        <w:gridCol w:w="2373"/>
        <w:gridCol w:w="976"/>
        <w:gridCol w:w="1872"/>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9" w:hRule="atLeast"/>
          <w:tblHeader/>
          <w:jc w:val="center"/>
        </w:trPr>
        <w:tc>
          <w:tcPr>
            <w:tcW w:w="723"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一级指标</w:t>
            </w:r>
          </w:p>
        </w:tc>
        <w:tc>
          <w:tcPr>
            <w:tcW w:w="546"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分值</w:t>
            </w:r>
          </w:p>
        </w:tc>
        <w:tc>
          <w:tcPr>
            <w:tcW w:w="689"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二级指标</w:t>
            </w:r>
          </w:p>
        </w:tc>
        <w:tc>
          <w:tcPr>
            <w:tcW w:w="552"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分值</w:t>
            </w:r>
          </w:p>
        </w:tc>
        <w:tc>
          <w:tcPr>
            <w:tcW w:w="953"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三级</w:t>
            </w:r>
          </w:p>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指标</w:t>
            </w:r>
          </w:p>
        </w:tc>
        <w:tc>
          <w:tcPr>
            <w:tcW w:w="466"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分值</w:t>
            </w:r>
          </w:p>
        </w:tc>
        <w:tc>
          <w:tcPr>
            <w:tcW w:w="2373"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评价标准</w:t>
            </w:r>
          </w:p>
        </w:tc>
        <w:tc>
          <w:tcPr>
            <w:tcW w:w="2848" w:type="dxa"/>
            <w:gridSpan w:val="2"/>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指标说明</w:t>
            </w:r>
          </w:p>
        </w:tc>
        <w:tc>
          <w:tcPr>
            <w:tcW w:w="630" w:type="dxa"/>
            <w:tcBorders>
              <w:tl2br w:val="nil"/>
              <w:tr2bl w:val="nil"/>
            </w:tcBorders>
            <w:vAlign w:val="center"/>
          </w:tcPr>
          <w:p>
            <w:pPr>
              <w:overflowPunct w:val="0"/>
              <w:autoSpaceDE w:val="0"/>
              <w:autoSpaceDN w:val="0"/>
              <w:spacing w:line="250" w:lineRule="exact"/>
              <w:jc w:val="center"/>
              <w:rPr>
                <w:rFonts w:cs="宋体"/>
                <w:b/>
                <w:color w:val="000000"/>
                <w:kern w:val="0"/>
                <w:sz w:val="24"/>
              </w:rPr>
            </w:pPr>
            <w:r>
              <w:rPr>
                <w:rFonts w:hint="eastAsia" w:cs="宋体"/>
                <w:b/>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83" w:hRule="atLeast"/>
          <w:jc w:val="center"/>
        </w:trPr>
        <w:tc>
          <w:tcPr>
            <w:tcW w:w="723" w:type="dxa"/>
            <w:vMerge w:val="restart"/>
            <w:tcBorders>
              <w:tl2br w:val="nil"/>
              <w:tr2bl w:val="nil"/>
            </w:tcBorders>
            <w:vAlign w:val="center"/>
          </w:tcPr>
          <w:p>
            <w:pPr>
              <w:overflowPunct w:val="0"/>
              <w:autoSpaceDE w:val="0"/>
              <w:autoSpaceDN w:val="0"/>
              <w:spacing w:line="250" w:lineRule="exact"/>
              <w:jc w:val="center"/>
              <w:rPr>
                <w:rFonts w:cs="宋体"/>
                <w:color w:val="000000"/>
                <w:kern w:val="0"/>
                <w:sz w:val="24"/>
              </w:rPr>
            </w:pPr>
            <w:r>
              <w:rPr>
                <w:rFonts w:hint="eastAsia" w:cs="宋体"/>
                <w:color w:val="000000"/>
                <w:kern w:val="0"/>
                <w:sz w:val="24"/>
              </w:rPr>
              <w:t>投</w:t>
            </w:r>
          </w:p>
          <w:p>
            <w:pPr>
              <w:overflowPunct w:val="0"/>
              <w:autoSpaceDE w:val="0"/>
              <w:autoSpaceDN w:val="0"/>
              <w:spacing w:line="250" w:lineRule="exact"/>
              <w:jc w:val="center"/>
              <w:rPr>
                <w:rFonts w:cs="宋体"/>
                <w:color w:val="000000"/>
                <w:kern w:val="0"/>
                <w:sz w:val="24"/>
              </w:rPr>
            </w:pPr>
          </w:p>
          <w:p>
            <w:pPr>
              <w:overflowPunct w:val="0"/>
              <w:autoSpaceDE w:val="0"/>
              <w:autoSpaceDN w:val="0"/>
              <w:spacing w:line="250" w:lineRule="exact"/>
              <w:jc w:val="center"/>
              <w:rPr>
                <w:rFonts w:cs="宋体"/>
                <w:color w:val="000000"/>
                <w:kern w:val="0"/>
                <w:sz w:val="24"/>
              </w:rPr>
            </w:pPr>
            <w:r>
              <w:rPr>
                <w:rFonts w:hint="eastAsia" w:cs="宋体"/>
                <w:color w:val="000000"/>
                <w:kern w:val="0"/>
                <w:sz w:val="24"/>
              </w:rPr>
              <w:t>入</w:t>
            </w:r>
          </w:p>
        </w:tc>
        <w:tc>
          <w:tcPr>
            <w:tcW w:w="546" w:type="dxa"/>
            <w:vMerge w:val="restart"/>
            <w:tcBorders>
              <w:tl2br w:val="nil"/>
              <w:tr2bl w:val="nil"/>
            </w:tcBorders>
            <w:vAlign w:val="center"/>
          </w:tcPr>
          <w:p>
            <w:pPr>
              <w:overflowPunct w:val="0"/>
              <w:autoSpaceDE w:val="0"/>
              <w:autoSpaceDN w:val="0"/>
              <w:spacing w:line="250" w:lineRule="exact"/>
              <w:jc w:val="center"/>
              <w:rPr>
                <w:rFonts w:cs="宋体"/>
                <w:color w:val="000000"/>
                <w:kern w:val="0"/>
                <w:sz w:val="24"/>
              </w:rPr>
            </w:pPr>
            <w:r>
              <w:rPr>
                <w:rFonts w:hint="eastAsia" w:cs="宋体"/>
                <w:color w:val="000000"/>
                <w:kern w:val="0"/>
                <w:sz w:val="24"/>
              </w:rPr>
              <w:t>(15分)</w:t>
            </w:r>
          </w:p>
        </w:tc>
        <w:tc>
          <w:tcPr>
            <w:tcW w:w="689" w:type="dxa"/>
            <w:vMerge w:val="restart"/>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预算配置</w:t>
            </w:r>
          </w:p>
        </w:tc>
        <w:tc>
          <w:tcPr>
            <w:tcW w:w="552" w:type="dxa"/>
            <w:vMerge w:val="restart"/>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（15分）</w:t>
            </w:r>
          </w:p>
        </w:tc>
        <w:tc>
          <w:tcPr>
            <w:tcW w:w="953"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在职人员控制率</w:t>
            </w:r>
          </w:p>
        </w:tc>
        <w:tc>
          <w:tcPr>
            <w:tcW w:w="466" w:type="dxa"/>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（7分）</w:t>
            </w:r>
          </w:p>
        </w:tc>
        <w:tc>
          <w:tcPr>
            <w:tcW w:w="2373" w:type="dxa"/>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以100%为标准。在职人员控制率≦100%，计7分；每超过一个百分点扣0.2分，扣完为止。</w:t>
            </w:r>
          </w:p>
        </w:tc>
        <w:tc>
          <w:tcPr>
            <w:tcW w:w="2848" w:type="dxa"/>
            <w:gridSpan w:val="2"/>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在职人员控制率=（在职人员数/编制数）×100%，在职人员数：部门（单位）实际在职人数，以财政分局确定的部门决算编制口径为准。</w:t>
            </w:r>
            <w:r>
              <w:rPr>
                <w:rFonts w:hint="eastAsia" w:cs="宋体"/>
                <w:color w:val="000000"/>
                <w:kern w:val="0"/>
                <w:sz w:val="24"/>
              </w:rPr>
              <w:br w:type="textWrapping"/>
            </w:r>
            <w:r>
              <w:rPr>
                <w:rFonts w:hint="eastAsia" w:cs="宋体"/>
                <w:color w:val="000000"/>
                <w:kern w:val="0"/>
                <w:sz w:val="24"/>
              </w:rPr>
              <w:t>编制数：机构编制部门核定批复的部门（单位）的人员编制数。</w:t>
            </w:r>
          </w:p>
        </w:tc>
        <w:tc>
          <w:tcPr>
            <w:tcW w:w="630"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83" w:hRule="atLeast"/>
          <w:jc w:val="center"/>
        </w:trPr>
        <w:tc>
          <w:tcPr>
            <w:tcW w:w="723"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“三公经费”变动率</w:t>
            </w:r>
          </w:p>
        </w:tc>
        <w:tc>
          <w:tcPr>
            <w:tcW w:w="466" w:type="dxa"/>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（8分）</w:t>
            </w:r>
          </w:p>
        </w:tc>
        <w:tc>
          <w:tcPr>
            <w:tcW w:w="2373" w:type="dxa"/>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“三公经费”变动率≦0,计8分；“三公经费”＞0，每超过一个百分点扣0.8分，扣完为止。</w:t>
            </w:r>
          </w:p>
        </w:tc>
        <w:tc>
          <w:tcPr>
            <w:tcW w:w="2848" w:type="dxa"/>
            <w:gridSpan w:val="2"/>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“三公经费”变动率=[（本年度“三公经费”预算数-上年度“三公经费”预算数）/上年度“三公经费”预算数]×100%</w:t>
            </w:r>
          </w:p>
        </w:tc>
        <w:tc>
          <w:tcPr>
            <w:tcW w:w="630"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11" w:hRule="atLeast"/>
          <w:jc w:val="center"/>
        </w:trPr>
        <w:tc>
          <w:tcPr>
            <w:tcW w:w="723" w:type="dxa"/>
            <w:vMerge w:val="restart"/>
            <w:tcBorders>
              <w:tl2br w:val="nil"/>
              <w:tr2bl w:val="nil"/>
            </w:tcBorders>
            <w:vAlign w:val="center"/>
          </w:tcPr>
          <w:p>
            <w:pPr>
              <w:overflowPunct w:val="0"/>
              <w:autoSpaceDE w:val="0"/>
              <w:autoSpaceDN w:val="0"/>
              <w:spacing w:line="250" w:lineRule="exact"/>
              <w:jc w:val="center"/>
              <w:rPr>
                <w:rFonts w:cs="宋体"/>
                <w:color w:val="000000"/>
                <w:kern w:val="0"/>
                <w:sz w:val="24"/>
              </w:rPr>
            </w:pPr>
            <w:r>
              <w:rPr>
                <w:rFonts w:hint="eastAsia" w:cs="宋体"/>
                <w:color w:val="000000"/>
                <w:kern w:val="0"/>
                <w:sz w:val="24"/>
              </w:rPr>
              <w:t>过</w:t>
            </w:r>
          </w:p>
          <w:p>
            <w:pPr>
              <w:overflowPunct w:val="0"/>
              <w:autoSpaceDE w:val="0"/>
              <w:autoSpaceDN w:val="0"/>
              <w:spacing w:line="250" w:lineRule="exact"/>
              <w:jc w:val="center"/>
              <w:rPr>
                <w:rFonts w:cs="宋体"/>
                <w:color w:val="000000"/>
                <w:kern w:val="0"/>
                <w:sz w:val="24"/>
              </w:rPr>
            </w:pPr>
          </w:p>
          <w:p>
            <w:pPr>
              <w:overflowPunct w:val="0"/>
              <w:autoSpaceDE w:val="0"/>
              <w:autoSpaceDN w:val="0"/>
              <w:spacing w:line="250" w:lineRule="exact"/>
              <w:jc w:val="center"/>
              <w:rPr>
                <w:rFonts w:cs="宋体"/>
                <w:color w:val="000000"/>
                <w:kern w:val="0"/>
                <w:sz w:val="24"/>
              </w:rPr>
            </w:pPr>
            <w:r>
              <w:rPr>
                <w:rFonts w:hint="eastAsia" w:cs="宋体"/>
                <w:color w:val="000000"/>
                <w:kern w:val="0"/>
                <w:sz w:val="24"/>
              </w:rPr>
              <w:t>程</w:t>
            </w:r>
          </w:p>
        </w:tc>
        <w:tc>
          <w:tcPr>
            <w:tcW w:w="546" w:type="dxa"/>
            <w:vMerge w:val="restart"/>
            <w:tcBorders>
              <w:tl2br w:val="nil"/>
              <w:tr2bl w:val="nil"/>
            </w:tcBorders>
            <w:vAlign w:val="center"/>
          </w:tcPr>
          <w:p>
            <w:pPr>
              <w:overflowPunct w:val="0"/>
              <w:autoSpaceDE w:val="0"/>
              <w:autoSpaceDN w:val="0"/>
              <w:spacing w:line="250" w:lineRule="exact"/>
              <w:jc w:val="center"/>
              <w:rPr>
                <w:rFonts w:cs="宋体"/>
                <w:color w:val="000000"/>
                <w:kern w:val="0"/>
                <w:sz w:val="24"/>
              </w:rPr>
            </w:pPr>
            <w:r>
              <w:rPr>
                <w:rFonts w:hint="eastAsia" w:cs="宋体"/>
                <w:color w:val="000000"/>
                <w:kern w:val="0"/>
                <w:sz w:val="24"/>
              </w:rPr>
              <w:t>（50分）</w:t>
            </w:r>
          </w:p>
        </w:tc>
        <w:tc>
          <w:tcPr>
            <w:tcW w:w="689" w:type="dxa"/>
            <w:vMerge w:val="restart"/>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预算执行</w:t>
            </w:r>
          </w:p>
        </w:tc>
        <w:tc>
          <w:tcPr>
            <w:tcW w:w="552" w:type="dxa"/>
            <w:vMerge w:val="restart"/>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（20分）</w:t>
            </w:r>
          </w:p>
        </w:tc>
        <w:tc>
          <w:tcPr>
            <w:tcW w:w="953"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预算完成率</w:t>
            </w:r>
          </w:p>
        </w:tc>
        <w:tc>
          <w:tcPr>
            <w:tcW w:w="466" w:type="dxa"/>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（5分）</w:t>
            </w:r>
          </w:p>
        </w:tc>
        <w:tc>
          <w:tcPr>
            <w:tcW w:w="2373" w:type="dxa"/>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100%计满分，每低于5%扣2分，扣完为止。</w:t>
            </w:r>
          </w:p>
        </w:tc>
        <w:tc>
          <w:tcPr>
            <w:tcW w:w="2848" w:type="dxa"/>
            <w:gridSpan w:val="2"/>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预算完成率=（上年结转+年初预算+本年追加预算-年末结余/上年结转+年初预算+本年追加预算）×100%。</w:t>
            </w:r>
          </w:p>
        </w:tc>
        <w:tc>
          <w:tcPr>
            <w:tcW w:w="630"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预算控制率</w:t>
            </w:r>
          </w:p>
        </w:tc>
        <w:tc>
          <w:tcPr>
            <w:tcW w:w="466" w:type="dxa"/>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（5分）</w:t>
            </w:r>
          </w:p>
        </w:tc>
        <w:tc>
          <w:tcPr>
            <w:tcW w:w="2373" w:type="dxa"/>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预算控制率=0，计5分；0-10%（含），计4分；10-20%（含），计3分；20-30%（含），计2分；大于30%不得分</w:t>
            </w:r>
          </w:p>
        </w:tc>
        <w:tc>
          <w:tcPr>
            <w:tcW w:w="2848" w:type="dxa"/>
            <w:gridSpan w:val="2"/>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预算控制率=（本年追加预算/年初预算）×100%。</w:t>
            </w:r>
          </w:p>
        </w:tc>
        <w:tc>
          <w:tcPr>
            <w:tcW w:w="630"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3" w:hRule="atLeast"/>
          <w:jc w:val="center"/>
        </w:trPr>
        <w:tc>
          <w:tcPr>
            <w:tcW w:w="723"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新建楼堂馆所面积控制率</w:t>
            </w:r>
          </w:p>
        </w:tc>
        <w:tc>
          <w:tcPr>
            <w:tcW w:w="466" w:type="dxa"/>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（5分）</w:t>
            </w:r>
          </w:p>
        </w:tc>
        <w:tc>
          <w:tcPr>
            <w:tcW w:w="2373" w:type="dxa"/>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100%以下（含）计满分，每超出5%扣2分，扣完为止。没有楼梯馆所项目的部门按满分计算</w:t>
            </w:r>
          </w:p>
        </w:tc>
        <w:tc>
          <w:tcPr>
            <w:tcW w:w="2848" w:type="dxa"/>
            <w:gridSpan w:val="2"/>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楼堂馆所面积控制率=实际建设面积/批准建设面积×100%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630"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04"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新建楼堂馆所投资概算控制率</w:t>
            </w:r>
          </w:p>
        </w:tc>
        <w:tc>
          <w:tcPr>
            <w:tcW w:w="466" w:type="dxa"/>
            <w:tcBorders>
              <w:tl2br w:val="nil"/>
              <w:tr2bl w:val="nil"/>
            </w:tcBorders>
            <w:vAlign w:val="center"/>
          </w:tcPr>
          <w:p>
            <w:pPr>
              <w:overflowPunct w:val="0"/>
              <w:autoSpaceDE w:val="0"/>
              <w:autoSpaceDN w:val="0"/>
              <w:spacing w:line="304" w:lineRule="exact"/>
              <w:jc w:val="center"/>
              <w:rPr>
                <w:rFonts w:cs="宋体"/>
                <w:color w:val="000000"/>
                <w:kern w:val="0"/>
                <w:sz w:val="24"/>
              </w:rPr>
            </w:pPr>
            <w:r>
              <w:rPr>
                <w:rFonts w:hint="eastAsia" w:cs="宋体"/>
                <w:color w:val="000000"/>
                <w:kern w:val="0"/>
                <w:sz w:val="24"/>
              </w:rPr>
              <w:t>（5分）</w:t>
            </w:r>
          </w:p>
        </w:tc>
        <w:tc>
          <w:tcPr>
            <w:tcW w:w="2373" w:type="dxa"/>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100%以下（含）计满分，每超出5%扣2分，扣完为止。</w:t>
            </w:r>
          </w:p>
        </w:tc>
        <w:tc>
          <w:tcPr>
            <w:tcW w:w="2848" w:type="dxa"/>
            <w:gridSpan w:val="2"/>
            <w:tcBorders>
              <w:tl2br w:val="nil"/>
              <w:tr2bl w:val="nil"/>
            </w:tcBorders>
            <w:vAlign w:val="center"/>
          </w:tcPr>
          <w:p>
            <w:pPr>
              <w:overflowPunct w:val="0"/>
              <w:autoSpaceDE w:val="0"/>
              <w:autoSpaceDN w:val="0"/>
              <w:spacing w:line="304" w:lineRule="exact"/>
              <w:ind w:firstLine="240" w:firstLineChars="100"/>
              <w:rPr>
                <w:rFonts w:cs="宋体"/>
                <w:color w:val="000000"/>
                <w:kern w:val="0"/>
                <w:sz w:val="24"/>
              </w:rPr>
            </w:pPr>
            <w:r>
              <w:rPr>
                <w:rFonts w:hint="eastAsia" w:cs="宋体"/>
                <w:color w:val="000000"/>
                <w:kern w:val="0"/>
                <w:sz w:val="24"/>
              </w:rPr>
              <w:t>楼堂馆所投资预算控制率=实际投资金额/批准投资金额×100% 。</w:t>
            </w:r>
            <w:r>
              <w:rPr>
                <w:rFonts w:hint="eastAsia" w:cs="宋体"/>
                <w:color w:val="000000"/>
                <w:kern w:val="0"/>
                <w:sz w:val="24"/>
              </w:rPr>
              <w:br w:type="textWrapping"/>
            </w:r>
            <w:r>
              <w:rPr>
                <w:rFonts w:hint="eastAsia" w:cs="宋体"/>
                <w:color w:val="000000"/>
                <w:kern w:val="0"/>
                <w:sz w:val="24"/>
              </w:rPr>
              <w:t>该指标以2016年完工的新建楼堂馆所为评价内容。</w:t>
            </w:r>
          </w:p>
        </w:tc>
        <w:tc>
          <w:tcPr>
            <w:tcW w:w="630" w:type="dxa"/>
            <w:tcBorders>
              <w:tl2br w:val="nil"/>
              <w:tr2bl w:val="nil"/>
            </w:tcBorders>
            <w:vAlign w:val="center"/>
          </w:tcPr>
          <w:p>
            <w:pPr>
              <w:overflowPunct w:val="0"/>
              <w:autoSpaceDE w:val="0"/>
              <w:autoSpaceDN w:val="0"/>
              <w:spacing w:line="304" w:lineRule="exact"/>
              <w:ind w:firstLine="240" w:firstLineChars="100"/>
              <w:jc w:val="center"/>
              <w:rPr>
                <w:rFonts w:cs="宋体"/>
                <w:color w:val="000000"/>
                <w:kern w:val="0"/>
                <w:sz w:val="24"/>
              </w:rPr>
            </w:pPr>
            <w:r>
              <w:rPr>
                <w:rFonts w:hint="eastAsia"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restart"/>
            <w:tcBorders>
              <w:tl2br w:val="nil"/>
              <w:tr2bl w:val="nil"/>
            </w:tcBorders>
            <w:vAlign w:val="center"/>
          </w:tcPr>
          <w:p>
            <w:pPr>
              <w:overflowPunct w:val="0"/>
              <w:autoSpaceDE w:val="0"/>
              <w:autoSpaceDN w:val="0"/>
              <w:spacing w:line="270" w:lineRule="exact"/>
              <w:jc w:val="center"/>
              <w:rPr>
                <w:rFonts w:cs="宋体"/>
                <w:color w:val="000000"/>
                <w:kern w:val="0"/>
                <w:sz w:val="24"/>
              </w:rPr>
            </w:pPr>
            <w:r>
              <w:rPr>
                <w:rFonts w:hint="eastAsia" w:cs="宋体"/>
                <w:color w:val="000000"/>
                <w:kern w:val="0"/>
                <w:sz w:val="24"/>
              </w:rPr>
              <w:t>过</w:t>
            </w:r>
          </w:p>
          <w:p>
            <w:pPr>
              <w:overflowPunct w:val="0"/>
              <w:autoSpaceDE w:val="0"/>
              <w:autoSpaceDN w:val="0"/>
              <w:spacing w:line="270" w:lineRule="exact"/>
              <w:jc w:val="center"/>
              <w:rPr>
                <w:rFonts w:cs="宋体"/>
                <w:color w:val="000000"/>
                <w:kern w:val="0"/>
                <w:sz w:val="24"/>
              </w:rPr>
            </w:pPr>
          </w:p>
          <w:p>
            <w:pPr>
              <w:overflowPunct w:val="0"/>
              <w:autoSpaceDE w:val="0"/>
              <w:autoSpaceDN w:val="0"/>
              <w:spacing w:line="270" w:lineRule="exact"/>
              <w:jc w:val="center"/>
              <w:rPr>
                <w:rFonts w:cs="宋体"/>
                <w:color w:val="000000"/>
                <w:kern w:val="0"/>
                <w:sz w:val="24"/>
              </w:rPr>
            </w:pPr>
            <w:r>
              <w:rPr>
                <w:rFonts w:hint="eastAsia" w:cs="宋体"/>
                <w:color w:val="000000"/>
                <w:kern w:val="0"/>
                <w:sz w:val="24"/>
              </w:rPr>
              <w:t>程</w:t>
            </w:r>
          </w:p>
        </w:tc>
        <w:tc>
          <w:tcPr>
            <w:tcW w:w="546" w:type="dxa"/>
            <w:vMerge w:val="restart"/>
            <w:tcBorders>
              <w:tl2br w:val="nil"/>
              <w:tr2bl w:val="nil"/>
            </w:tcBorders>
            <w:vAlign w:val="center"/>
          </w:tcPr>
          <w:p>
            <w:pPr>
              <w:overflowPunct w:val="0"/>
              <w:autoSpaceDE w:val="0"/>
              <w:autoSpaceDN w:val="0"/>
              <w:spacing w:line="270" w:lineRule="exact"/>
              <w:jc w:val="center"/>
              <w:rPr>
                <w:rFonts w:cs="宋体"/>
                <w:color w:val="000000"/>
                <w:kern w:val="0"/>
                <w:sz w:val="24"/>
              </w:rPr>
            </w:pPr>
            <w:r>
              <w:rPr>
                <w:rFonts w:hint="eastAsia" w:cs="宋体"/>
                <w:color w:val="000000"/>
                <w:kern w:val="0"/>
                <w:sz w:val="24"/>
              </w:rPr>
              <w:t>（50分）</w:t>
            </w:r>
          </w:p>
        </w:tc>
        <w:tc>
          <w:tcPr>
            <w:tcW w:w="689" w:type="dxa"/>
            <w:vMerge w:val="restart"/>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预算管理</w:t>
            </w:r>
          </w:p>
        </w:tc>
        <w:tc>
          <w:tcPr>
            <w:tcW w:w="552" w:type="dxa"/>
            <w:vMerge w:val="restart"/>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（30分）</w:t>
            </w:r>
          </w:p>
        </w:tc>
        <w:tc>
          <w:tcPr>
            <w:tcW w:w="953" w:type="dxa"/>
            <w:tcBorders>
              <w:tl2br w:val="nil"/>
              <w:tr2bl w:val="nil"/>
            </w:tcBorders>
            <w:vAlign w:val="center"/>
          </w:tcPr>
          <w:p>
            <w:pPr>
              <w:overflowPunct w:val="0"/>
              <w:autoSpaceDE w:val="0"/>
              <w:autoSpaceDN w:val="0"/>
              <w:spacing w:line="368" w:lineRule="exact"/>
              <w:ind w:firstLine="240" w:firstLineChars="100"/>
              <w:jc w:val="center"/>
              <w:rPr>
                <w:rFonts w:cs="宋体"/>
                <w:color w:val="000000"/>
                <w:kern w:val="0"/>
                <w:sz w:val="24"/>
              </w:rPr>
            </w:pPr>
            <w:r>
              <w:rPr>
                <w:rFonts w:hint="eastAsia" w:cs="宋体"/>
                <w:color w:val="000000"/>
                <w:kern w:val="0"/>
                <w:sz w:val="24"/>
              </w:rPr>
              <w:t>公用经费控制率</w:t>
            </w:r>
          </w:p>
        </w:tc>
        <w:tc>
          <w:tcPr>
            <w:tcW w:w="466" w:type="dxa"/>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（7分）</w:t>
            </w:r>
          </w:p>
        </w:tc>
        <w:tc>
          <w:tcPr>
            <w:tcW w:w="2373" w:type="dxa"/>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100%以下（含）计满分，每超出1%扣1分，扣完为止。</w:t>
            </w:r>
          </w:p>
        </w:tc>
        <w:tc>
          <w:tcPr>
            <w:tcW w:w="2848" w:type="dxa"/>
            <w:gridSpan w:val="2"/>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公用经费控制率=（实际支出公用经费总额/预算安排公用经费总额）×100%。</w:t>
            </w:r>
            <w:r>
              <w:rPr>
                <w:rFonts w:hint="eastAsia" w:cs="宋体"/>
                <w:color w:val="000000"/>
                <w:kern w:val="0"/>
                <w:sz w:val="24"/>
              </w:rPr>
              <w:br w:type="textWrapping"/>
            </w:r>
            <w:r>
              <w:rPr>
                <w:rFonts w:hint="eastAsia" w:cs="宋体"/>
                <w:color w:val="000000"/>
                <w:kern w:val="0"/>
                <w:sz w:val="24"/>
              </w:rPr>
              <w:t>公用经费支出是指部门基本支出中的一般商品和服务支出。</w:t>
            </w:r>
          </w:p>
        </w:tc>
        <w:tc>
          <w:tcPr>
            <w:tcW w:w="630" w:type="dxa"/>
            <w:tcBorders>
              <w:tl2br w:val="nil"/>
              <w:tr2bl w:val="nil"/>
            </w:tcBorders>
            <w:vAlign w:val="center"/>
          </w:tcPr>
          <w:p>
            <w:pPr>
              <w:overflowPunct w:val="0"/>
              <w:autoSpaceDE w:val="0"/>
              <w:autoSpaceDN w:val="0"/>
              <w:spacing w:line="250" w:lineRule="exact"/>
              <w:ind w:firstLine="240" w:firstLineChars="100"/>
              <w:jc w:val="center"/>
              <w:rPr>
                <w:rFonts w:cs="宋体"/>
                <w:color w:val="000000"/>
                <w:kern w:val="0"/>
                <w:sz w:val="24"/>
              </w:rPr>
            </w:pPr>
            <w:r>
              <w:rPr>
                <w:rFonts w:hint="eastAsia"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33" w:hRule="atLeast"/>
          <w:jc w:val="center"/>
        </w:trPr>
        <w:tc>
          <w:tcPr>
            <w:tcW w:w="723"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25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68"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68"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68" w:lineRule="exact"/>
              <w:ind w:firstLine="240" w:firstLineChars="100"/>
              <w:jc w:val="center"/>
              <w:rPr>
                <w:rFonts w:cs="宋体"/>
                <w:color w:val="000000"/>
                <w:kern w:val="0"/>
                <w:sz w:val="24"/>
              </w:rPr>
            </w:pPr>
            <w:r>
              <w:rPr>
                <w:rFonts w:hint="eastAsia" w:cs="宋体"/>
                <w:color w:val="000000"/>
                <w:kern w:val="0"/>
                <w:sz w:val="24"/>
              </w:rPr>
              <w:t>“三公经费”控制率</w:t>
            </w:r>
          </w:p>
        </w:tc>
        <w:tc>
          <w:tcPr>
            <w:tcW w:w="466" w:type="dxa"/>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（8分）</w:t>
            </w:r>
          </w:p>
        </w:tc>
        <w:tc>
          <w:tcPr>
            <w:tcW w:w="2373" w:type="dxa"/>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100%以下（含）计满分，每超出1%扣1分，扣完为止。</w:t>
            </w:r>
          </w:p>
        </w:tc>
        <w:tc>
          <w:tcPr>
            <w:tcW w:w="2848" w:type="dxa"/>
            <w:gridSpan w:val="2"/>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“三公经费”控制率=（“三公经费”实际支出数/“三公经费”预算安排数）×100%。</w:t>
            </w:r>
          </w:p>
        </w:tc>
        <w:tc>
          <w:tcPr>
            <w:tcW w:w="630" w:type="dxa"/>
            <w:tcBorders>
              <w:tl2br w:val="nil"/>
              <w:tr2bl w:val="nil"/>
            </w:tcBorders>
            <w:vAlign w:val="center"/>
          </w:tcPr>
          <w:p>
            <w:pPr>
              <w:overflowPunct w:val="0"/>
              <w:autoSpaceDE w:val="0"/>
              <w:autoSpaceDN w:val="0"/>
              <w:spacing w:line="250" w:lineRule="exact"/>
              <w:ind w:firstLine="240" w:firstLineChars="100"/>
              <w:jc w:val="center"/>
              <w:rPr>
                <w:rFonts w:cs="宋体"/>
                <w:color w:val="000000"/>
                <w:kern w:val="0"/>
                <w:sz w:val="24"/>
              </w:rPr>
            </w:pPr>
            <w:r>
              <w:rPr>
                <w:rFonts w:hint="eastAsia"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723" w:type="dxa"/>
            <w:vMerge w:val="continue"/>
            <w:tcBorders>
              <w:tl2br w:val="nil"/>
              <w:tr2bl w:val="nil"/>
            </w:tcBorders>
            <w:vAlign w:val="center"/>
          </w:tcPr>
          <w:p>
            <w:pPr>
              <w:overflowPunct w:val="0"/>
              <w:autoSpaceDE w:val="0"/>
              <w:autoSpaceDN w:val="0"/>
              <w:spacing w:line="270" w:lineRule="exact"/>
              <w:jc w:val="center"/>
              <w:rPr>
                <w:rFonts w:cs="宋体"/>
                <w:color w:val="000000"/>
                <w:kern w:val="0"/>
                <w:sz w:val="24"/>
              </w:rPr>
            </w:pPr>
          </w:p>
        </w:tc>
        <w:tc>
          <w:tcPr>
            <w:tcW w:w="546" w:type="dxa"/>
            <w:vMerge w:val="continue"/>
            <w:tcBorders>
              <w:tl2br w:val="nil"/>
              <w:tr2bl w:val="nil"/>
            </w:tcBorders>
            <w:vAlign w:val="center"/>
          </w:tcPr>
          <w:p>
            <w:pPr>
              <w:overflowPunct w:val="0"/>
              <w:autoSpaceDE w:val="0"/>
              <w:autoSpaceDN w:val="0"/>
              <w:spacing w:line="270" w:lineRule="exact"/>
              <w:jc w:val="center"/>
              <w:rPr>
                <w:rFonts w:cs="宋体"/>
                <w:color w:val="000000"/>
                <w:kern w:val="0"/>
                <w:sz w:val="24"/>
              </w:rPr>
            </w:pPr>
          </w:p>
        </w:tc>
        <w:tc>
          <w:tcPr>
            <w:tcW w:w="689" w:type="dxa"/>
            <w:vMerge w:val="restart"/>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预算管理</w:t>
            </w:r>
          </w:p>
        </w:tc>
        <w:tc>
          <w:tcPr>
            <w:tcW w:w="552" w:type="dxa"/>
            <w:vMerge w:val="continue"/>
            <w:tcBorders>
              <w:tl2br w:val="nil"/>
              <w:tr2bl w:val="nil"/>
            </w:tcBorders>
            <w:vAlign w:val="center"/>
          </w:tcPr>
          <w:p>
            <w:pPr>
              <w:overflowPunct w:val="0"/>
              <w:autoSpaceDE w:val="0"/>
              <w:autoSpaceDN w:val="0"/>
              <w:spacing w:line="368"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68" w:lineRule="exact"/>
              <w:ind w:firstLine="240" w:firstLineChars="100"/>
              <w:jc w:val="center"/>
              <w:rPr>
                <w:rFonts w:cs="宋体"/>
                <w:color w:val="000000"/>
                <w:kern w:val="0"/>
                <w:sz w:val="24"/>
              </w:rPr>
            </w:pPr>
            <w:r>
              <w:rPr>
                <w:rFonts w:hint="eastAsia" w:cs="宋体"/>
                <w:color w:val="000000"/>
                <w:kern w:val="0"/>
                <w:sz w:val="24"/>
              </w:rPr>
              <w:t>管理制度健全性</w:t>
            </w:r>
          </w:p>
        </w:tc>
        <w:tc>
          <w:tcPr>
            <w:tcW w:w="466" w:type="dxa"/>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（8分）</w:t>
            </w:r>
          </w:p>
        </w:tc>
        <w:tc>
          <w:tcPr>
            <w:tcW w:w="2373" w:type="dxa"/>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每出现一例不符合要求的扣2分，扣完为止。</w:t>
            </w:r>
          </w:p>
        </w:tc>
        <w:tc>
          <w:tcPr>
            <w:tcW w:w="2848" w:type="dxa"/>
            <w:gridSpan w:val="2"/>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①有内部财务管理制度、会计核算制度等管理制度；</w:t>
            </w:r>
            <w:r>
              <w:rPr>
                <w:rFonts w:hint="eastAsia" w:cs="宋体"/>
                <w:color w:val="000000"/>
                <w:kern w:val="0"/>
                <w:sz w:val="24"/>
              </w:rPr>
              <w:br w:type="textWrapping"/>
            </w:r>
            <w:r>
              <w:rPr>
                <w:rFonts w:hint="eastAsia" w:cs="宋体"/>
                <w:color w:val="000000"/>
                <w:kern w:val="0"/>
                <w:sz w:val="24"/>
              </w:rPr>
              <w:t>②有本部门厉行节约制度；</w:t>
            </w:r>
            <w:r>
              <w:rPr>
                <w:rFonts w:hint="eastAsia" w:cs="宋体"/>
                <w:color w:val="000000"/>
                <w:kern w:val="0"/>
                <w:sz w:val="24"/>
              </w:rPr>
              <w:br w:type="textWrapping"/>
            </w:r>
            <w:r>
              <w:rPr>
                <w:rFonts w:hint="eastAsia" w:cs="宋体"/>
                <w:color w:val="000000"/>
                <w:kern w:val="0"/>
                <w:sz w:val="24"/>
              </w:rPr>
              <w:t>③相关管理制度合法、合规、完整；④相关管理制度得到有效执行。</w:t>
            </w:r>
          </w:p>
        </w:tc>
        <w:tc>
          <w:tcPr>
            <w:tcW w:w="630" w:type="dxa"/>
            <w:tcBorders>
              <w:tl2br w:val="nil"/>
              <w:tr2bl w:val="nil"/>
            </w:tcBorders>
            <w:vAlign w:val="center"/>
          </w:tcPr>
          <w:p>
            <w:pPr>
              <w:overflowPunct w:val="0"/>
              <w:autoSpaceDE w:val="0"/>
              <w:autoSpaceDN w:val="0"/>
              <w:spacing w:line="240" w:lineRule="exact"/>
              <w:ind w:firstLine="240" w:firstLineChars="100"/>
              <w:jc w:val="center"/>
              <w:rPr>
                <w:rFonts w:cs="宋体"/>
                <w:color w:val="000000"/>
                <w:kern w:val="0"/>
                <w:sz w:val="24"/>
              </w:rPr>
            </w:pPr>
            <w:r>
              <w:rPr>
                <w:rFonts w:hint="eastAsia" w:cs="宋体"/>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27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27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68"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68"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68" w:lineRule="exact"/>
              <w:ind w:firstLine="240" w:firstLineChars="100"/>
              <w:jc w:val="center"/>
              <w:rPr>
                <w:rFonts w:cs="宋体"/>
                <w:color w:val="000000"/>
                <w:kern w:val="0"/>
                <w:sz w:val="24"/>
              </w:rPr>
            </w:pPr>
            <w:r>
              <w:rPr>
                <w:rFonts w:hint="eastAsia" w:cs="宋体"/>
                <w:color w:val="000000"/>
                <w:kern w:val="0"/>
                <w:sz w:val="24"/>
              </w:rPr>
              <w:t>资金使用合规性</w:t>
            </w:r>
          </w:p>
        </w:tc>
        <w:tc>
          <w:tcPr>
            <w:tcW w:w="466" w:type="dxa"/>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（5分）</w:t>
            </w:r>
          </w:p>
        </w:tc>
        <w:tc>
          <w:tcPr>
            <w:tcW w:w="2373" w:type="dxa"/>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br w:type="textWrapping"/>
            </w:r>
            <w:r>
              <w:rPr>
                <w:rFonts w:hint="eastAsia" w:cs="宋体"/>
                <w:color w:val="000000"/>
                <w:kern w:val="0"/>
                <w:sz w:val="24"/>
              </w:rPr>
              <w:t>每出现一例不符合要求的扣1分，扣完为止。</w:t>
            </w:r>
          </w:p>
        </w:tc>
        <w:tc>
          <w:tcPr>
            <w:tcW w:w="2848" w:type="dxa"/>
            <w:gridSpan w:val="2"/>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630" w:type="dxa"/>
            <w:tcBorders>
              <w:tl2br w:val="nil"/>
              <w:tr2bl w:val="nil"/>
            </w:tcBorders>
            <w:vAlign w:val="center"/>
          </w:tcPr>
          <w:p>
            <w:pPr>
              <w:overflowPunct w:val="0"/>
              <w:autoSpaceDE w:val="0"/>
              <w:autoSpaceDN w:val="0"/>
              <w:spacing w:line="240" w:lineRule="exact"/>
              <w:ind w:firstLine="240" w:firstLineChars="100"/>
              <w:jc w:val="center"/>
              <w:rPr>
                <w:rFonts w:cs="宋体"/>
                <w:color w:val="000000"/>
                <w:kern w:val="0"/>
                <w:sz w:val="24"/>
              </w:rPr>
            </w:pPr>
            <w:r>
              <w:rPr>
                <w:rFonts w:hint="eastAsia"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27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27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68"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68"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68" w:lineRule="exact"/>
              <w:ind w:firstLine="240" w:firstLineChars="100"/>
              <w:jc w:val="center"/>
              <w:rPr>
                <w:rFonts w:cs="宋体"/>
                <w:color w:val="000000"/>
                <w:kern w:val="0"/>
                <w:sz w:val="24"/>
              </w:rPr>
            </w:pPr>
            <w:r>
              <w:rPr>
                <w:rFonts w:hint="eastAsia" w:cs="宋体"/>
                <w:color w:val="000000"/>
                <w:kern w:val="0"/>
                <w:sz w:val="24"/>
              </w:rPr>
              <w:t>预决算信息公开性</w:t>
            </w:r>
          </w:p>
        </w:tc>
        <w:tc>
          <w:tcPr>
            <w:tcW w:w="466" w:type="dxa"/>
            <w:tcBorders>
              <w:tl2br w:val="nil"/>
              <w:tr2bl w:val="nil"/>
            </w:tcBorders>
            <w:vAlign w:val="center"/>
          </w:tcPr>
          <w:p>
            <w:pPr>
              <w:overflowPunct w:val="0"/>
              <w:autoSpaceDE w:val="0"/>
              <w:autoSpaceDN w:val="0"/>
              <w:spacing w:line="368" w:lineRule="exact"/>
              <w:jc w:val="center"/>
              <w:rPr>
                <w:rFonts w:cs="宋体"/>
                <w:color w:val="000000"/>
                <w:kern w:val="0"/>
                <w:sz w:val="24"/>
              </w:rPr>
            </w:pPr>
            <w:r>
              <w:rPr>
                <w:rFonts w:hint="eastAsia" w:cs="宋体"/>
                <w:color w:val="000000"/>
                <w:kern w:val="0"/>
                <w:sz w:val="24"/>
              </w:rPr>
              <w:t>（2分）</w:t>
            </w:r>
          </w:p>
        </w:tc>
        <w:tc>
          <w:tcPr>
            <w:tcW w:w="2373" w:type="dxa"/>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每出现一例不符合要求的扣1分，扣完为止。</w:t>
            </w:r>
          </w:p>
        </w:tc>
        <w:tc>
          <w:tcPr>
            <w:tcW w:w="2848" w:type="dxa"/>
            <w:gridSpan w:val="2"/>
            <w:tcBorders>
              <w:tl2br w:val="nil"/>
              <w:tr2bl w:val="nil"/>
            </w:tcBorders>
            <w:vAlign w:val="center"/>
          </w:tcPr>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①按规定内容公开预决算信息；</w:t>
            </w:r>
          </w:p>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②按规定时限公开预决算信息；</w:t>
            </w:r>
          </w:p>
          <w:p>
            <w:pPr>
              <w:overflowPunct w:val="0"/>
              <w:autoSpaceDE w:val="0"/>
              <w:autoSpaceDN w:val="0"/>
              <w:spacing w:line="368" w:lineRule="exact"/>
              <w:ind w:firstLine="240" w:firstLineChars="100"/>
              <w:rPr>
                <w:rFonts w:cs="宋体"/>
                <w:color w:val="000000"/>
                <w:kern w:val="0"/>
                <w:sz w:val="24"/>
              </w:rPr>
            </w:pPr>
            <w:r>
              <w:rPr>
                <w:rFonts w:hint="eastAsia" w:cs="宋体"/>
                <w:color w:val="000000"/>
                <w:kern w:val="0"/>
                <w:sz w:val="24"/>
              </w:rPr>
              <w:t>预决算信息是指与部门预算、执行、决算、监督、绩效等管理相关的信息。</w:t>
            </w:r>
          </w:p>
        </w:tc>
        <w:tc>
          <w:tcPr>
            <w:tcW w:w="630" w:type="dxa"/>
            <w:tcBorders>
              <w:tl2br w:val="nil"/>
              <w:tr2bl w:val="nil"/>
            </w:tcBorders>
            <w:vAlign w:val="center"/>
          </w:tcPr>
          <w:p>
            <w:pPr>
              <w:overflowPunct w:val="0"/>
              <w:autoSpaceDE w:val="0"/>
              <w:autoSpaceDN w:val="0"/>
              <w:spacing w:line="240" w:lineRule="exact"/>
              <w:ind w:firstLine="240" w:firstLineChars="100"/>
              <w:jc w:val="center"/>
              <w:rPr>
                <w:rFonts w:cs="宋体"/>
                <w:color w:val="000000"/>
                <w:kern w:val="0"/>
                <w:sz w:val="24"/>
              </w:rPr>
            </w:pPr>
            <w:r>
              <w:rPr>
                <w:rFonts w:hint="eastAsia" w:cs="宋体"/>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1" w:hRule="atLeast"/>
          <w:jc w:val="center"/>
        </w:trPr>
        <w:tc>
          <w:tcPr>
            <w:tcW w:w="723" w:type="dxa"/>
            <w:vMerge w:val="restart"/>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产</w:t>
            </w:r>
          </w:p>
          <w:p>
            <w:pPr>
              <w:overflowPunct w:val="0"/>
              <w:autoSpaceDE w:val="0"/>
              <w:autoSpaceDN w:val="0"/>
              <w:spacing w:line="360" w:lineRule="exact"/>
              <w:jc w:val="center"/>
              <w:rPr>
                <w:rFonts w:cs="宋体"/>
                <w:color w:val="000000"/>
                <w:kern w:val="0"/>
                <w:sz w:val="24"/>
              </w:rPr>
            </w:pPr>
            <w:r>
              <w:rPr>
                <w:rFonts w:hint="eastAsia" w:cs="宋体"/>
                <w:color w:val="000000"/>
                <w:kern w:val="0"/>
                <w:sz w:val="24"/>
              </w:rPr>
              <w:t>出</w:t>
            </w:r>
          </w:p>
          <w:p>
            <w:pPr>
              <w:overflowPunct w:val="0"/>
              <w:autoSpaceDE w:val="0"/>
              <w:autoSpaceDN w:val="0"/>
              <w:spacing w:line="360" w:lineRule="exact"/>
              <w:jc w:val="center"/>
              <w:rPr>
                <w:rFonts w:cs="宋体"/>
                <w:color w:val="000000"/>
                <w:kern w:val="0"/>
                <w:sz w:val="24"/>
              </w:rPr>
            </w:pPr>
            <w:r>
              <w:rPr>
                <w:rFonts w:hint="eastAsia" w:cs="宋体"/>
                <w:color w:val="000000"/>
                <w:kern w:val="0"/>
                <w:sz w:val="24"/>
              </w:rPr>
              <w:t>及</w:t>
            </w:r>
          </w:p>
          <w:p>
            <w:pPr>
              <w:overflowPunct w:val="0"/>
              <w:autoSpaceDE w:val="0"/>
              <w:autoSpaceDN w:val="0"/>
              <w:spacing w:line="360" w:lineRule="exact"/>
              <w:jc w:val="center"/>
              <w:rPr>
                <w:rFonts w:cs="宋体"/>
                <w:color w:val="000000"/>
                <w:kern w:val="0"/>
                <w:sz w:val="24"/>
              </w:rPr>
            </w:pPr>
            <w:r>
              <w:rPr>
                <w:rFonts w:hint="eastAsia" w:cs="宋体"/>
                <w:color w:val="000000"/>
                <w:kern w:val="0"/>
                <w:sz w:val="24"/>
              </w:rPr>
              <w:t>效</w:t>
            </w:r>
          </w:p>
          <w:p>
            <w:pPr>
              <w:overflowPunct w:val="0"/>
              <w:autoSpaceDE w:val="0"/>
              <w:autoSpaceDN w:val="0"/>
              <w:spacing w:line="360" w:lineRule="exact"/>
              <w:jc w:val="center"/>
              <w:rPr>
                <w:rFonts w:cs="宋体"/>
                <w:color w:val="000000"/>
                <w:kern w:val="0"/>
                <w:sz w:val="24"/>
              </w:rPr>
            </w:pPr>
            <w:r>
              <w:rPr>
                <w:rFonts w:hint="eastAsia" w:cs="宋体"/>
                <w:color w:val="000000"/>
                <w:kern w:val="0"/>
                <w:sz w:val="24"/>
              </w:rPr>
              <w:t>率</w:t>
            </w:r>
          </w:p>
        </w:tc>
        <w:tc>
          <w:tcPr>
            <w:tcW w:w="546" w:type="dxa"/>
            <w:vMerge w:val="restart"/>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（35分）</w:t>
            </w:r>
          </w:p>
        </w:tc>
        <w:tc>
          <w:tcPr>
            <w:tcW w:w="689"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职责履行</w:t>
            </w:r>
          </w:p>
        </w:tc>
        <w:tc>
          <w:tcPr>
            <w:tcW w:w="552"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（8分）</w:t>
            </w:r>
          </w:p>
        </w:tc>
        <w:tc>
          <w:tcPr>
            <w:tcW w:w="953"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目标任务实际完成率</w:t>
            </w:r>
          </w:p>
        </w:tc>
        <w:tc>
          <w:tcPr>
            <w:tcW w:w="466"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（8分）</w:t>
            </w:r>
          </w:p>
        </w:tc>
        <w:tc>
          <w:tcPr>
            <w:tcW w:w="2373" w:type="dxa"/>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该项得分=（年度综合目标管理考核得分/总分）*8</w:t>
            </w:r>
          </w:p>
        </w:tc>
        <w:tc>
          <w:tcPr>
            <w:tcW w:w="2848" w:type="dxa"/>
            <w:gridSpan w:val="2"/>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根据区年度综合目标管理考核得分折算。</w:t>
            </w:r>
          </w:p>
        </w:tc>
        <w:tc>
          <w:tcPr>
            <w:tcW w:w="630" w:type="dxa"/>
            <w:tcBorders>
              <w:tl2br w:val="nil"/>
              <w:tr2bl w:val="nil"/>
            </w:tcBorders>
            <w:vAlign w:val="center"/>
          </w:tcPr>
          <w:p>
            <w:pPr>
              <w:overflowPunct w:val="0"/>
              <w:autoSpaceDE w:val="0"/>
              <w:autoSpaceDN w:val="0"/>
              <w:spacing w:line="360" w:lineRule="exact"/>
              <w:ind w:firstLine="240" w:firstLineChars="100"/>
              <w:jc w:val="center"/>
              <w:rPr>
                <w:rFonts w:cs="宋体"/>
                <w:color w:val="000000"/>
                <w:kern w:val="0"/>
                <w:sz w:val="24"/>
              </w:rPr>
            </w:pPr>
            <w:r>
              <w:rPr>
                <w:rFonts w:hint="eastAsia"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689" w:type="dxa"/>
            <w:vMerge w:val="restart"/>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履职 效益</w:t>
            </w:r>
          </w:p>
        </w:tc>
        <w:tc>
          <w:tcPr>
            <w:tcW w:w="552" w:type="dxa"/>
            <w:vMerge w:val="restart"/>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（15分）</w:t>
            </w:r>
          </w:p>
        </w:tc>
        <w:tc>
          <w:tcPr>
            <w:tcW w:w="953"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经济效益</w:t>
            </w:r>
          </w:p>
        </w:tc>
        <w:tc>
          <w:tcPr>
            <w:tcW w:w="466"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（5人）</w:t>
            </w:r>
          </w:p>
        </w:tc>
        <w:tc>
          <w:tcPr>
            <w:tcW w:w="5221" w:type="dxa"/>
            <w:gridSpan w:val="3"/>
            <w:vMerge w:val="restart"/>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此三项指标为设置部门整体支出绩效评价指标时必须考虑的要素，可根据部门实际情况有选择的进行设置，并将其细化为相应的个性化指标。</w:t>
            </w:r>
          </w:p>
        </w:tc>
        <w:tc>
          <w:tcPr>
            <w:tcW w:w="630" w:type="dxa"/>
            <w:vMerge w:val="restart"/>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4</w:t>
            </w:r>
          </w:p>
          <w:p>
            <w:pPr>
              <w:overflowPunct w:val="0"/>
              <w:autoSpaceDE w:val="0"/>
              <w:autoSpaceDN w:val="0"/>
              <w:spacing w:line="360" w:lineRule="exact"/>
              <w:ind w:left="239" w:leftChars="114"/>
              <w:rPr>
                <w:rFonts w:cs="宋体"/>
                <w:color w:val="000000"/>
                <w:kern w:val="0"/>
                <w:sz w:val="24"/>
              </w:rPr>
            </w:pPr>
            <w:r>
              <w:rPr>
                <w:rFonts w:hint="eastAsia" w:cs="宋体"/>
                <w:color w:val="000000"/>
                <w:kern w:val="0"/>
                <w:sz w:val="24"/>
              </w:rPr>
              <w:t>4</w:t>
            </w:r>
            <w:r>
              <w:rPr>
                <w:rFonts w:hint="eastAsia" w:cs="宋体"/>
                <w:color w:val="000000"/>
                <w:kern w:val="0"/>
                <w:sz w:val="24"/>
                <w:lang w:val="en-US" w:eastAsia="zh-CN"/>
              </w:rPr>
              <w:t xml:space="preserve"> </w:t>
            </w:r>
            <w:r>
              <w:rPr>
                <w:rFonts w:hint="eastAsia" w:cs="宋体"/>
                <w:color w:val="000000"/>
                <w:kern w:val="0"/>
                <w:sz w:val="24"/>
              </w:rPr>
              <w:t xml:space="preserve"> 5</w:t>
            </w:r>
          </w:p>
          <w:p>
            <w:pPr>
              <w:overflowPunct w:val="0"/>
              <w:autoSpaceDE w:val="0"/>
              <w:autoSpaceDN w:val="0"/>
              <w:spacing w:line="360" w:lineRule="exact"/>
              <w:ind w:firstLine="240" w:firstLineChars="100"/>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社会效益</w:t>
            </w:r>
          </w:p>
        </w:tc>
        <w:tc>
          <w:tcPr>
            <w:tcW w:w="466"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（5分）</w:t>
            </w:r>
          </w:p>
        </w:tc>
        <w:tc>
          <w:tcPr>
            <w:tcW w:w="5221" w:type="dxa"/>
            <w:gridSpan w:val="3"/>
            <w:vMerge w:val="continue"/>
            <w:tcBorders>
              <w:tl2br w:val="nil"/>
              <w:tr2bl w:val="nil"/>
            </w:tcBorders>
            <w:vAlign w:val="center"/>
          </w:tcPr>
          <w:p>
            <w:pPr>
              <w:overflowPunct w:val="0"/>
              <w:autoSpaceDE w:val="0"/>
              <w:autoSpaceDN w:val="0"/>
              <w:spacing w:line="360" w:lineRule="exact"/>
              <w:ind w:firstLine="240" w:firstLineChars="100"/>
              <w:rPr>
                <w:rFonts w:cs="宋体"/>
                <w:color w:val="000000"/>
                <w:sz w:val="24"/>
              </w:rPr>
            </w:pPr>
          </w:p>
        </w:tc>
        <w:tc>
          <w:tcPr>
            <w:tcW w:w="630" w:type="dxa"/>
            <w:vMerge w:val="continue"/>
            <w:tcBorders>
              <w:tl2br w:val="nil"/>
              <w:tr2bl w:val="nil"/>
            </w:tcBorders>
            <w:vAlign w:val="center"/>
          </w:tcPr>
          <w:p>
            <w:pPr>
              <w:overflowPunct w:val="0"/>
              <w:autoSpaceDE w:val="0"/>
              <w:autoSpaceDN w:val="0"/>
              <w:spacing w:line="360" w:lineRule="exact"/>
              <w:ind w:firstLine="240" w:firstLineChars="100"/>
              <w:jc w:val="center"/>
              <w:rPr>
                <w:rFonts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生态效益</w:t>
            </w:r>
          </w:p>
        </w:tc>
        <w:tc>
          <w:tcPr>
            <w:tcW w:w="466"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（5分）</w:t>
            </w:r>
          </w:p>
        </w:tc>
        <w:tc>
          <w:tcPr>
            <w:tcW w:w="5221" w:type="dxa"/>
            <w:gridSpan w:val="3"/>
            <w:vMerge w:val="continue"/>
            <w:tcBorders>
              <w:tl2br w:val="nil"/>
              <w:tr2bl w:val="nil"/>
            </w:tcBorders>
            <w:vAlign w:val="center"/>
          </w:tcPr>
          <w:p>
            <w:pPr>
              <w:overflowPunct w:val="0"/>
              <w:autoSpaceDE w:val="0"/>
              <w:autoSpaceDN w:val="0"/>
              <w:spacing w:line="360" w:lineRule="exact"/>
              <w:ind w:firstLine="240" w:firstLineChars="100"/>
              <w:rPr>
                <w:rFonts w:cs="宋体"/>
                <w:color w:val="000000"/>
                <w:sz w:val="24"/>
              </w:rPr>
            </w:pPr>
          </w:p>
        </w:tc>
        <w:tc>
          <w:tcPr>
            <w:tcW w:w="630" w:type="dxa"/>
            <w:vMerge w:val="continue"/>
            <w:tcBorders>
              <w:tl2br w:val="nil"/>
              <w:tr2bl w:val="nil"/>
            </w:tcBorders>
            <w:vAlign w:val="center"/>
          </w:tcPr>
          <w:p>
            <w:pPr>
              <w:overflowPunct w:val="0"/>
              <w:autoSpaceDE w:val="0"/>
              <w:autoSpaceDN w:val="0"/>
              <w:spacing w:line="360" w:lineRule="exact"/>
              <w:ind w:firstLine="240" w:firstLineChars="100"/>
              <w:jc w:val="center"/>
              <w:rPr>
                <w:rFonts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73" w:hRule="atLeast"/>
          <w:jc w:val="center"/>
        </w:trPr>
        <w:tc>
          <w:tcPr>
            <w:tcW w:w="723"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52" w:type="dxa"/>
            <w:vMerge w:val="restart"/>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（12分）</w:t>
            </w:r>
          </w:p>
        </w:tc>
        <w:tc>
          <w:tcPr>
            <w:tcW w:w="953"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行政效能</w:t>
            </w:r>
          </w:p>
        </w:tc>
        <w:tc>
          <w:tcPr>
            <w:tcW w:w="466"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（6分）</w:t>
            </w:r>
          </w:p>
        </w:tc>
        <w:tc>
          <w:tcPr>
            <w:tcW w:w="3349" w:type="dxa"/>
            <w:gridSpan w:val="2"/>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促进部门改进文风会风，加强经费及资产管理，推动网上办事，提高行政效率，降低行政成本效果较好的计6分；一般3分；无效果或者效果不明显0分。</w:t>
            </w:r>
          </w:p>
        </w:tc>
        <w:tc>
          <w:tcPr>
            <w:tcW w:w="1872" w:type="dxa"/>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根据部门自评材料评定。</w:t>
            </w:r>
          </w:p>
        </w:tc>
        <w:tc>
          <w:tcPr>
            <w:tcW w:w="630" w:type="dxa"/>
            <w:tcBorders>
              <w:tl2br w:val="nil"/>
              <w:tr2bl w:val="nil"/>
            </w:tcBorders>
            <w:vAlign w:val="center"/>
          </w:tcPr>
          <w:p>
            <w:pPr>
              <w:overflowPunct w:val="0"/>
              <w:autoSpaceDE w:val="0"/>
              <w:autoSpaceDN w:val="0"/>
              <w:spacing w:line="360" w:lineRule="exact"/>
              <w:ind w:firstLine="240" w:firstLineChars="100"/>
              <w:jc w:val="center"/>
              <w:rPr>
                <w:rFonts w:cs="宋体"/>
                <w:color w:val="000000"/>
                <w:kern w:val="0"/>
                <w:sz w:val="24"/>
              </w:rPr>
            </w:pPr>
            <w:r>
              <w:rPr>
                <w:rFonts w:hint="eastAsia"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23"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46"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689"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552" w:type="dxa"/>
            <w:vMerge w:val="continue"/>
            <w:tcBorders>
              <w:tl2br w:val="nil"/>
              <w:tr2bl w:val="nil"/>
            </w:tcBorders>
            <w:vAlign w:val="center"/>
          </w:tcPr>
          <w:p>
            <w:pPr>
              <w:overflowPunct w:val="0"/>
              <w:autoSpaceDE w:val="0"/>
              <w:autoSpaceDN w:val="0"/>
              <w:spacing w:line="360" w:lineRule="exact"/>
              <w:jc w:val="center"/>
              <w:rPr>
                <w:rFonts w:cs="宋体"/>
                <w:color w:val="000000"/>
                <w:sz w:val="24"/>
              </w:rPr>
            </w:pPr>
          </w:p>
        </w:tc>
        <w:tc>
          <w:tcPr>
            <w:tcW w:w="953"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社会公众或服务对象满意度</w:t>
            </w:r>
          </w:p>
        </w:tc>
        <w:tc>
          <w:tcPr>
            <w:tcW w:w="466" w:type="dxa"/>
            <w:tcBorders>
              <w:tl2br w:val="nil"/>
              <w:tr2bl w:val="nil"/>
            </w:tcBorders>
            <w:vAlign w:val="center"/>
          </w:tcPr>
          <w:p>
            <w:pPr>
              <w:overflowPunct w:val="0"/>
              <w:autoSpaceDE w:val="0"/>
              <w:autoSpaceDN w:val="0"/>
              <w:spacing w:line="360" w:lineRule="exact"/>
              <w:jc w:val="center"/>
              <w:rPr>
                <w:rFonts w:cs="宋体"/>
                <w:color w:val="000000"/>
                <w:kern w:val="0"/>
                <w:sz w:val="24"/>
              </w:rPr>
            </w:pPr>
            <w:r>
              <w:rPr>
                <w:rFonts w:hint="eastAsia" w:cs="宋体"/>
                <w:color w:val="000000"/>
                <w:kern w:val="0"/>
                <w:sz w:val="24"/>
              </w:rPr>
              <w:t>（6分）</w:t>
            </w:r>
          </w:p>
        </w:tc>
        <w:tc>
          <w:tcPr>
            <w:tcW w:w="3349" w:type="dxa"/>
            <w:gridSpan w:val="2"/>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90%（含）以上计6分；</w:t>
            </w:r>
            <w:r>
              <w:rPr>
                <w:rFonts w:hint="eastAsia" w:cs="宋体"/>
                <w:color w:val="000000"/>
                <w:kern w:val="0"/>
                <w:sz w:val="24"/>
              </w:rPr>
              <w:br w:type="textWrapping"/>
            </w:r>
            <w:r>
              <w:rPr>
                <w:rFonts w:hint="eastAsia" w:cs="宋体"/>
                <w:color w:val="000000"/>
                <w:kern w:val="0"/>
                <w:sz w:val="24"/>
              </w:rPr>
              <w:t>80%（含）-90%，计4分；</w:t>
            </w:r>
            <w:r>
              <w:rPr>
                <w:rFonts w:hint="eastAsia" w:cs="宋体"/>
                <w:color w:val="000000"/>
                <w:kern w:val="0"/>
                <w:sz w:val="24"/>
              </w:rPr>
              <w:br w:type="textWrapping"/>
            </w:r>
            <w:r>
              <w:rPr>
                <w:rFonts w:hint="eastAsia" w:cs="宋体"/>
                <w:color w:val="000000"/>
                <w:kern w:val="0"/>
                <w:sz w:val="24"/>
              </w:rPr>
              <w:t>70%（含）-80%，计2分；</w:t>
            </w:r>
            <w:r>
              <w:rPr>
                <w:rFonts w:hint="eastAsia" w:cs="宋体"/>
                <w:color w:val="000000"/>
                <w:kern w:val="0"/>
                <w:sz w:val="24"/>
              </w:rPr>
              <w:br w:type="textWrapping"/>
            </w:r>
            <w:r>
              <w:rPr>
                <w:rFonts w:hint="eastAsia" w:cs="宋体"/>
                <w:color w:val="000000"/>
                <w:kern w:val="0"/>
                <w:sz w:val="24"/>
              </w:rPr>
              <w:t>低于70%计0分。</w:t>
            </w:r>
          </w:p>
        </w:tc>
        <w:tc>
          <w:tcPr>
            <w:tcW w:w="1872" w:type="dxa"/>
            <w:tcBorders>
              <w:tl2br w:val="nil"/>
              <w:tr2bl w:val="nil"/>
            </w:tcBorders>
            <w:vAlign w:val="center"/>
          </w:tcPr>
          <w:p>
            <w:pPr>
              <w:overflowPunct w:val="0"/>
              <w:autoSpaceDE w:val="0"/>
              <w:autoSpaceDN w:val="0"/>
              <w:spacing w:line="360" w:lineRule="exact"/>
              <w:ind w:firstLine="240" w:firstLineChars="100"/>
              <w:rPr>
                <w:rFonts w:cs="宋体"/>
                <w:color w:val="000000"/>
                <w:kern w:val="0"/>
                <w:sz w:val="24"/>
              </w:rPr>
            </w:pPr>
            <w:r>
              <w:rPr>
                <w:rFonts w:hint="eastAsia" w:cs="宋体"/>
                <w:color w:val="000000"/>
                <w:kern w:val="0"/>
                <w:sz w:val="24"/>
              </w:rPr>
              <w:t>社会公众或服务对象是指部门（单位）履行职责而影响到的部门、群体或个人，一般采取社会调查的方式。</w:t>
            </w:r>
          </w:p>
        </w:tc>
        <w:tc>
          <w:tcPr>
            <w:tcW w:w="630" w:type="dxa"/>
            <w:tcBorders>
              <w:tl2br w:val="nil"/>
              <w:tr2bl w:val="nil"/>
            </w:tcBorders>
            <w:vAlign w:val="center"/>
          </w:tcPr>
          <w:p>
            <w:pPr>
              <w:overflowPunct w:val="0"/>
              <w:autoSpaceDE w:val="0"/>
              <w:autoSpaceDN w:val="0"/>
              <w:spacing w:line="360" w:lineRule="exact"/>
              <w:ind w:firstLine="240" w:firstLineChars="100"/>
              <w:jc w:val="center"/>
              <w:rPr>
                <w:rFonts w:cs="宋体"/>
                <w:color w:val="000000"/>
                <w:kern w:val="0"/>
                <w:sz w:val="24"/>
              </w:rPr>
            </w:pPr>
            <w:r>
              <w:rPr>
                <w:rFonts w:hint="eastAsia" w:cs="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510" w:type="dxa"/>
            <w:gridSpan w:val="4"/>
            <w:tcBorders>
              <w:tl2br w:val="nil"/>
              <w:tr2bl w:val="nil"/>
            </w:tcBorders>
            <w:vAlign w:val="center"/>
          </w:tcPr>
          <w:p>
            <w:pPr>
              <w:overflowPunct w:val="0"/>
              <w:autoSpaceDE w:val="0"/>
              <w:autoSpaceDN w:val="0"/>
              <w:spacing w:line="240" w:lineRule="exact"/>
              <w:jc w:val="center"/>
              <w:rPr>
                <w:rFonts w:cs="宋体"/>
                <w:color w:val="000000"/>
                <w:kern w:val="0"/>
                <w:sz w:val="24"/>
              </w:rPr>
            </w:pPr>
            <w:r>
              <w:rPr>
                <w:rFonts w:hint="eastAsia" w:cs="宋体"/>
                <w:color w:val="000000"/>
                <w:sz w:val="24"/>
              </w:rPr>
              <w:t>合计</w:t>
            </w:r>
          </w:p>
        </w:tc>
        <w:tc>
          <w:tcPr>
            <w:tcW w:w="7270" w:type="dxa"/>
            <w:gridSpan w:val="6"/>
            <w:tcBorders>
              <w:tl2br w:val="nil"/>
              <w:tr2bl w:val="nil"/>
            </w:tcBorders>
            <w:vAlign w:val="center"/>
          </w:tcPr>
          <w:p>
            <w:pPr>
              <w:overflowPunct w:val="0"/>
              <w:autoSpaceDE w:val="0"/>
              <w:autoSpaceDN w:val="0"/>
              <w:spacing w:line="240" w:lineRule="exact"/>
              <w:jc w:val="center"/>
              <w:rPr>
                <w:rFonts w:cs="宋体"/>
                <w:color w:val="000000"/>
                <w:kern w:val="0"/>
                <w:sz w:val="24"/>
              </w:rPr>
            </w:pPr>
            <w:r>
              <w:rPr>
                <w:rFonts w:hint="eastAsia" w:cs="宋体"/>
                <w:color w:val="000000"/>
                <w:kern w:val="0"/>
                <w:sz w:val="24"/>
              </w:rPr>
              <w:t>92</w:t>
            </w:r>
          </w:p>
        </w:tc>
      </w:tr>
    </w:tbl>
    <w:p/>
    <w:p>
      <w:pPr>
        <w:pStyle w:val="2"/>
        <w:ind w:left="735" w:hanging="735"/>
      </w:pPr>
    </w:p>
    <w:p/>
    <w:p>
      <w:pPr>
        <w:pStyle w:val="2"/>
        <w:spacing w:line="240" w:lineRule="exact"/>
        <w:ind w:left="1120" w:hanging="1120"/>
        <w:jc w:val="center"/>
        <w:rPr>
          <w:rFonts w:ascii="Times New Roman" w:hAnsi="Times New Roman" w:eastAsia="仿宋_GB2312" w:cs="仿宋_GB2312"/>
          <w:color w:val="000000" w:themeColor="text1"/>
          <w:sz w:val="32"/>
          <w:szCs w:val="32"/>
        </w:rPr>
      </w:pPr>
    </w:p>
    <w:sectPr>
      <w:footerReference r:id="rId3" w:type="default"/>
      <w:pgSz w:w="11906" w:h="16838"/>
      <w:pgMar w:top="1871" w:right="1531" w:bottom="1928"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ind w:left="210" w:leftChars="100" w:right="21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NkYjdmMWU0NmU0YzFmNDA0NmE0OWUxNDg5YzU3YTMifQ=="/>
  </w:docVars>
  <w:rsids>
    <w:rsidRoot w:val="1F3D259F"/>
    <w:rsid w:val="00006DAB"/>
    <w:rsid w:val="00165CCF"/>
    <w:rsid w:val="00176A07"/>
    <w:rsid w:val="001F1C68"/>
    <w:rsid w:val="00203E62"/>
    <w:rsid w:val="00264879"/>
    <w:rsid w:val="002914E3"/>
    <w:rsid w:val="002F6458"/>
    <w:rsid w:val="003656E7"/>
    <w:rsid w:val="003B46B0"/>
    <w:rsid w:val="003E4D73"/>
    <w:rsid w:val="00420EB3"/>
    <w:rsid w:val="004766D1"/>
    <w:rsid w:val="0049520C"/>
    <w:rsid w:val="004B2681"/>
    <w:rsid w:val="004C491E"/>
    <w:rsid w:val="004F75A8"/>
    <w:rsid w:val="005071A9"/>
    <w:rsid w:val="00532AAB"/>
    <w:rsid w:val="00536F89"/>
    <w:rsid w:val="005A4BA0"/>
    <w:rsid w:val="005D5C8A"/>
    <w:rsid w:val="005E4466"/>
    <w:rsid w:val="006754D1"/>
    <w:rsid w:val="006B6B61"/>
    <w:rsid w:val="006F4D39"/>
    <w:rsid w:val="00A76EDD"/>
    <w:rsid w:val="00C348C0"/>
    <w:rsid w:val="00C67505"/>
    <w:rsid w:val="00CB174B"/>
    <w:rsid w:val="00E10E0A"/>
    <w:rsid w:val="00E24E5A"/>
    <w:rsid w:val="00E43AD7"/>
    <w:rsid w:val="00E4736C"/>
    <w:rsid w:val="00EB1BB6"/>
    <w:rsid w:val="00EF5E9F"/>
    <w:rsid w:val="00F37A5F"/>
    <w:rsid w:val="01FF1E15"/>
    <w:rsid w:val="0293255D"/>
    <w:rsid w:val="02AE5E94"/>
    <w:rsid w:val="039842DB"/>
    <w:rsid w:val="04581CB1"/>
    <w:rsid w:val="04F07081"/>
    <w:rsid w:val="05594AD8"/>
    <w:rsid w:val="058D74E7"/>
    <w:rsid w:val="05DC421B"/>
    <w:rsid w:val="07101DA1"/>
    <w:rsid w:val="08713AA9"/>
    <w:rsid w:val="0A362EF5"/>
    <w:rsid w:val="0B161F7E"/>
    <w:rsid w:val="0B430409"/>
    <w:rsid w:val="0C116221"/>
    <w:rsid w:val="0C1464BD"/>
    <w:rsid w:val="0C2A7A8F"/>
    <w:rsid w:val="0C5B6F9C"/>
    <w:rsid w:val="0CCF2E51"/>
    <w:rsid w:val="0DBC0F94"/>
    <w:rsid w:val="0F081A37"/>
    <w:rsid w:val="0FD83CA6"/>
    <w:rsid w:val="10294318"/>
    <w:rsid w:val="10510716"/>
    <w:rsid w:val="11D81D3B"/>
    <w:rsid w:val="14AF31D2"/>
    <w:rsid w:val="14F670A8"/>
    <w:rsid w:val="151C4634"/>
    <w:rsid w:val="15A563D8"/>
    <w:rsid w:val="15B841BB"/>
    <w:rsid w:val="168E59D7"/>
    <w:rsid w:val="172123D6"/>
    <w:rsid w:val="184D2420"/>
    <w:rsid w:val="187000D5"/>
    <w:rsid w:val="18F51424"/>
    <w:rsid w:val="18FD7E22"/>
    <w:rsid w:val="190A2AF7"/>
    <w:rsid w:val="190B50EC"/>
    <w:rsid w:val="191775ED"/>
    <w:rsid w:val="196A5795"/>
    <w:rsid w:val="19F02B82"/>
    <w:rsid w:val="1A76380C"/>
    <w:rsid w:val="1ABF7F3C"/>
    <w:rsid w:val="1ADD121D"/>
    <w:rsid w:val="1BC755CA"/>
    <w:rsid w:val="1BDD2D6F"/>
    <w:rsid w:val="1CA94A00"/>
    <w:rsid w:val="1E122A78"/>
    <w:rsid w:val="1E1257C2"/>
    <w:rsid w:val="1E6D57B3"/>
    <w:rsid w:val="1E9B2A6E"/>
    <w:rsid w:val="1EE515E8"/>
    <w:rsid w:val="1F3D259F"/>
    <w:rsid w:val="1F8D685B"/>
    <w:rsid w:val="1FEA3D08"/>
    <w:rsid w:val="2006664D"/>
    <w:rsid w:val="205D447F"/>
    <w:rsid w:val="20A7251B"/>
    <w:rsid w:val="218E68BA"/>
    <w:rsid w:val="229B128E"/>
    <w:rsid w:val="22BF31CF"/>
    <w:rsid w:val="22DC645B"/>
    <w:rsid w:val="22F5559F"/>
    <w:rsid w:val="231C67DE"/>
    <w:rsid w:val="23ED304B"/>
    <w:rsid w:val="23F97C4C"/>
    <w:rsid w:val="247164C1"/>
    <w:rsid w:val="24B94DEE"/>
    <w:rsid w:val="25D40A00"/>
    <w:rsid w:val="261F645E"/>
    <w:rsid w:val="267C3E43"/>
    <w:rsid w:val="267E0CAB"/>
    <w:rsid w:val="26F35BCF"/>
    <w:rsid w:val="27B23302"/>
    <w:rsid w:val="280F0CD3"/>
    <w:rsid w:val="281A4A03"/>
    <w:rsid w:val="2959155B"/>
    <w:rsid w:val="295B42F7"/>
    <w:rsid w:val="29C736D6"/>
    <w:rsid w:val="2B7C0842"/>
    <w:rsid w:val="2B8A087C"/>
    <w:rsid w:val="2C6609A6"/>
    <w:rsid w:val="2CF411DB"/>
    <w:rsid w:val="2D557A16"/>
    <w:rsid w:val="2D8D7A26"/>
    <w:rsid w:val="2DFE5BF4"/>
    <w:rsid w:val="2E6E3F9E"/>
    <w:rsid w:val="2EE762D2"/>
    <w:rsid w:val="2EF06C16"/>
    <w:rsid w:val="2F570F08"/>
    <w:rsid w:val="30673CC0"/>
    <w:rsid w:val="31232B7B"/>
    <w:rsid w:val="314F5F8F"/>
    <w:rsid w:val="31B93075"/>
    <w:rsid w:val="32BA12BD"/>
    <w:rsid w:val="32FF75A8"/>
    <w:rsid w:val="345C4FB9"/>
    <w:rsid w:val="3523490A"/>
    <w:rsid w:val="352D5BCD"/>
    <w:rsid w:val="35CD46D8"/>
    <w:rsid w:val="371303A8"/>
    <w:rsid w:val="376B5EE7"/>
    <w:rsid w:val="37A1780E"/>
    <w:rsid w:val="37DA41AF"/>
    <w:rsid w:val="37E82428"/>
    <w:rsid w:val="380C2ECE"/>
    <w:rsid w:val="39584E34"/>
    <w:rsid w:val="39904B26"/>
    <w:rsid w:val="3B00217F"/>
    <w:rsid w:val="3B5B60FB"/>
    <w:rsid w:val="3BF43905"/>
    <w:rsid w:val="3C4732C1"/>
    <w:rsid w:val="3CB21ABD"/>
    <w:rsid w:val="3CBD6CB3"/>
    <w:rsid w:val="3CE27D8E"/>
    <w:rsid w:val="3D9557FB"/>
    <w:rsid w:val="3DAE43BE"/>
    <w:rsid w:val="3DE65ADD"/>
    <w:rsid w:val="3DF8713D"/>
    <w:rsid w:val="3EDC080D"/>
    <w:rsid w:val="3FB74EB9"/>
    <w:rsid w:val="3FEF133C"/>
    <w:rsid w:val="40644B50"/>
    <w:rsid w:val="40966FE5"/>
    <w:rsid w:val="410F4ECA"/>
    <w:rsid w:val="41D61543"/>
    <w:rsid w:val="41EB5D1A"/>
    <w:rsid w:val="421B1721"/>
    <w:rsid w:val="426C473B"/>
    <w:rsid w:val="42C01EC2"/>
    <w:rsid w:val="43243B9B"/>
    <w:rsid w:val="432A5FEB"/>
    <w:rsid w:val="43674A32"/>
    <w:rsid w:val="44020D16"/>
    <w:rsid w:val="44C32B9A"/>
    <w:rsid w:val="458F6EB9"/>
    <w:rsid w:val="4692640C"/>
    <w:rsid w:val="483B292C"/>
    <w:rsid w:val="495A5E2F"/>
    <w:rsid w:val="4E395C2A"/>
    <w:rsid w:val="4E404914"/>
    <w:rsid w:val="4FA7316D"/>
    <w:rsid w:val="4FD27B6B"/>
    <w:rsid w:val="50887115"/>
    <w:rsid w:val="50D224FE"/>
    <w:rsid w:val="51B6159E"/>
    <w:rsid w:val="51B66201"/>
    <w:rsid w:val="51FD3802"/>
    <w:rsid w:val="5305327E"/>
    <w:rsid w:val="53B360BE"/>
    <w:rsid w:val="548B440F"/>
    <w:rsid w:val="550B27BD"/>
    <w:rsid w:val="55647666"/>
    <w:rsid w:val="55E464CD"/>
    <w:rsid w:val="5613290E"/>
    <w:rsid w:val="56B22127"/>
    <w:rsid w:val="57A24DBD"/>
    <w:rsid w:val="57DD3ED9"/>
    <w:rsid w:val="57F02618"/>
    <w:rsid w:val="588274E3"/>
    <w:rsid w:val="5984305C"/>
    <w:rsid w:val="5A37536C"/>
    <w:rsid w:val="5A7140A7"/>
    <w:rsid w:val="5B6D31BC"/>
    <w:rsid w:val="5D932F5E"/>
    <w:rsid w:val="5E65287A"/>
    <w:rsid w:val="5F542FC1"/>
    <w:rsid w:val="5FBB029F"/>
    <w:rsid w:val="61045C75"/>
    <w:rsid w:val="61CA6D11"/>
    <w:rsid w:val="61CF0031"/>
    <w:rsid w:val="63E861DD"/>
    <w:rsid w:val="64013DB6"/>
    <w:rsid w:val="65982E30"/>
    <w:rsid w:val="65B04DEC"/>
    <w:rsid w:val="663914F1"/>
    <w:rsid w:val="66622660"/>
    <w:rsid w:val="66FF1BA8"/>
    <w:rsid w:val="672F1572"/>
    <w:rsid w:val="67751BF4"/>
    <w:rsid w:val="68965CC1"/>
    <w:rsid w:val="68C15B84"/>
    <w:rsid w:val="6942733B"/>
    <w:rsid w:val="69C53868"/>
    <w:rsid w:val="6BCA5761"/>
    <w:rsid w:val="6BD665D1"/>
    <w:rsid w:val="6C405E11"/>
    <w:rsid w:val="6E5E5CB9"/>
    <w:rsid w:val="6E963C85"/>
    <w:rsid w:val="6ED76777"/>
    <w:rsid w:val="6F110FC3"/>
    <w:rsid w:val="6F7A2919"/>
    <w:rsid w:val="70772393"/>
    <w:rsid w:val="710F044A"/>
    <w:rsid w:val="71FE6D4C"/>
    <w:rsid w:val="72514749"/>
    <w:rsid w:val="727000C0"/>
    <w:rsid w:val="72A55F1A"/>
    <w:rsid w:val="72C45A1E"/>
    <w:rsid w:val="73017AB9"/>
    <w:rsid w:val="75932CCC"/>
    <w:rsid w:val="774958ED"/>
    <w:rsid w:val="776B1CAD"/>
    <w:rsid w:val="77FA7033"/>
    <w:rsid w:val="782B7A82"/>
    <w:rsid w:val="783248D8"/>
    <w:rsid w:val="78BB2C66"/>
    <w:rsid w:val="78E14732"/>
    <w:rsid w:val="797A0290"/>
    <w:rsid w:val="79A8143C"/>
    <w:rsid w:val="79C8563A"/>
    <w:rsid w:val="79EB757B"/>
    <w:rsid w:val="7A1E61C9"/>
    <w:rsid w:val="7A2B7A09"/>
    <w:rsid w:val="7A8645D1"/>
    <w:rsid w:val="7AC73B44"/>
    <w:rsid w:val="7AE2272C"/>
    <w:rsid w:val="7BA06143"/>
    <w:rsid w:val="7BA83151"/>
    <w:rsid w:val="7BBA7205"/>
    <w:rsid w:val="7D6E3220"/>
    <w:rsid w:val="7DBF34A2"/>
    <w:rsid w:val="7E1F77F3"/>
    <w:rsid w:val="7EF374AC"/>
    <w:rsid w:val="7F271055"/>
    <w:rsid w:val="7F363046"/>
    <w:rsid w:val="7F82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widowControl/>
      <w:spacing w:before="100" w:beforeAutospacing="1" w:after="100" w:afterAutospacing="1"/>
      <w:jc w:val="left"/>
      <w:outlineLvl w:val="1"/>
    </w:pPr>
    <w:rPr>
      <w:rFonts w:ascii="宋体" w:hAnsi="宋体" w:cs="宋体"/>
      <w:kern w:val="0"/>
      <w:sz w:val="36"/>
      <w:szCs w:val="36"/>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semiHidden/>
    <w:qFormat/>
    <w:uiPriority w:val="0"/>
    <w:pPr>
      <w:spacing w:line="580" w:lineRule="exact"/>
      <w:ind w:left="350" w:hanging="350" w:hangingChars="350"/>
    </w:pPr>
    <w:rPr>
      <w:rFonts w:ascii="仿宋_GB2312" w:hAnsi="Calibri" w:cs="Arial"/>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新正文"/>
    <w:basedOn w:val="1"/>
    <w:qFormat/>
    <w:uiPriority w:val="0"/>
    <w:pPr>
      <w:spacing w:line="610" w:lineRule="exact"/>
      <w:ind w:firstLine="880" w:firstLineChars="200"/>
    </w:pPr>
    <w:rPr>
      <w:rFonts w:eastAsia="仿宋_GB2312"/>
      <w:sz w:val="32"/>
    </w:rPr>
  </w:style>
  <w:style w:type="character" w:customStyle="1" w:styleId="15">
    <w:name w:val="Character Style 1"/>
    <w:qFormat/>
    <w:uiPriority w:val="0"/>
    <w:rPr>
      <w:sz w:val="20"/>
      <w:szCs w:val="20"/>
    </w:rPr>
  </w:style>
  <w:style w:type="character" w:customStyle="1" w:styleId="16">
    <w:name w:val="bsharetext"/>
    <w:basedOn w:val="7"/>
    <w:qFormat/>
    <w:uiPriority w:val="0"/>
  </w:style>
  <w:style w:type="character" w:customStyle="1" w:styleId="17">
    <w:name w:val="before"/>
    <w:basedOn w:val="7"/>
    <w:qFormat/>
    <w:uiPriority w:val="0"/>
    <w:rPr>
      <w:shd w:val="clear" w:color="auto" w:fill="0281DF"/>
    </w:rPr>
  </w:style>
  <w:style w:type="character" w:customStyle="1" w:styleId="18">
    <w:name w:val="wx-space"/>
    <w:basedOn w:val="7"/>
    <w:qFormat/>
    <w:uiPriority w:val="0"/>
  </w:style>
  <w:style w:type="character" w:customStyle="1" w:styleId="19">
    <w:name w:val="wx-space1"/>
    <w:basedOn w:val="7"/>
    <w:qFormat/>
    <w:uiPriority w:val="0"/>
  </w:style>
  <w:style w:type="character" w:customStyle="1" w:styleId="20">
    <w:name w:val="tgspan"/>
    <w:basedOn w:val="7"/>
    <w:qFormat/>
    <w:uiPriority w:val="0"/>
  </w:style>
  <w:style w:type="character" w:customStyle="1" w:styleId="21">
    <w:name w:val="yzm"/>
    <w:basedOn w:val="7"/>
    <w:qFormat/>
    <w:uiPriority w:val="0"/>
  </w:style>
  <w:style w:type="character" w:customStyle="1" w:styleId="22">
    <w:name w:val="hover7"/>
    <w:basedOn w:val="7"/>
    <w:qFormat/>
    <w:uiPriority w:val="0"/>
    <w:rPr>
      <w:color w:val="00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4658</Words>
  <Characters>5062</Characters>
  <Lines>8</Lines>
  <Paragraphs>14</Paragraphs>
  <TotalTime>4</TotalTime>
  <ScaleCrop>false</ScaleCrop>
  <LinksUpToDate>false</LinksUpToDate>
  <CharactersWithSpaces>5138</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2021-09-29T09:47:00Z</dcterms:created>
  <dc:creator>abby</dc:creator>
  <cp:lastModifiedBy>Administrator</cp:lastModifiedBy>
  <cp:lastPrinted>2021-11-19T02:22:00Z</cp:lastPrinted>
  <dcterms:modified xsi:type="dcterms:W3CDTF">2023-05-04T07:46:10Z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y fmtid="{D5CDD505-2E9C-101B-9397-08002B2CF9AE}" pid="3" name="ICV">
    <vt:lpwstr>066596DB74EF4223B44C2A4938724AB8</vt:lpwstr>
  </property>
</Properties>
</file>