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92" w:lineRule="exac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</w:rPr>
        <w:t>1</w:t>
      </w:r>
    </w:p>
    <w:p>
      <w:pPr>
        <w:spacing w:beforeLines="50" w:afterLines="50" w:line="360" w:lineRule="auto"/>
        <w:jc w:val="center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int="eastAsia" w:ascii="方正大标宋简体" w:eastAsia="方正大标宋简体" w:cs="仿宋_GB2312"/>
          <w:color w:val="000000"/>
          <w:sz w:val="44"/>
          <w:szCs w:val="44"/>
        </w:rPr>
        <w:t>2021年部门整体支出绩效自评表</w:t>
      </w:r>
    </w:p>
    <w:bookmarkEnd w:id="0"/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77"/>
        <w:gridCol w:w="1198"/>
        <w:gridCol w:w="451"/>
        <w:gridCol w:w="71"/>
        <w:gridCol w:w="1631"/>
        <w:gridCol w:w="1404"/>
        <w:gridCol w:w="133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24"/>
              </w:rPr>
              <w:t>预算单位名称</w:t>
            </w:r>
          </w:p>
        </w:tc>
        <w:tc>
          <w:tcPr>
            <w:tcW w:w="607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</w:rPr>
              <w:t>大通湖区行政接待中心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年度预算资金（万元）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Ansi="黑体"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年初预算数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全年</w:t>
            </w:r>
          </w:p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预算数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全年</w:t>
            </w:r>
          </w:p>
          <w:p>
            <w:pPr>
              <w:spacing w:line="280" w:lineRule="exact"/>
              <w:jc w:val="center"/>
              <w:rPr>
                <w:rFonts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24"/>
              </w:rPr>
              <w:t>执行数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24"/>
              </w:rPr>
              <w:t>年度资金总额</w:t>
            </w:r>
          </w:p>
        </w:tc>
        <w:tc>
          <w:tcPr>
            <w:tcW w:w="163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105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107.69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107.70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其中：当年财政拨款</w:t>
            </w:r>
          </w:p>
        </w:tc>
        <w:tc>
          <w:tcPr>
            <w:tcW w:w="163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105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107</w:t>
            </w:r>
            <w:r>
              <w:rPr>
                <w:rFonts w:hint="eastAsia" w:cs="宋体"/>
                <w:color w:val="000000"/>
                <w:sz w:val="24"/>
              </w:rPr>
              <w:t>.69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107</w:t>
            </w:r>
            <w:r>
              <w:rPr>
                <w:rFonts w:hint="eastAsia" w:cs="宋体"/>
                <w:color w:val="000000"/>
                <w:sz w:val="24"/>
              </w:rPr>
              <w:t>.</w:t>
            </w:r>
            <w:r>
              <w:rPr>
                <w:rFonts w:cs="宋体"/>
                <w:color w:val="000000"/>
                <w:sz w:val="24"/>
              </w:rPr>
              <w:t>7</w:t>
            </w: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上年结转资金</w:t>
            </w:r>
          </w:p>
        </w:tc>
        <w:tc>
          <w:tcPr>
            <w:tcW w:w="163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其他资金</w:t>
            </w:r>
          </w:p>
        </w:tc>
        <w:tc>
          <w:tcPr>
            <w:tcW w:w="163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90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年度总体目标</w:t>
            </w:r>
          </w:p>
        </w:tc>
        <w:tc>
          <w:tcPr>
            <w:tcW w:w="3351" w:type="dxa"/>
            <w:gridSpan w:val="4"/>
            <w:vAlign w:val="center"/>
          </w:tcPr>
          <w:p>
            <w:pPr>
              <w:spacing w:line="280" w:lineRule="exact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预期目标</w:t>
            </w:r>
          </w:p>
        </w:tc>
        <w:tc>
          <w:tcPr>
            <w:tcW w:w="3919" w:type="dxa"/>
            <w:gridSpan w:val="3"/>
            <w:vAlign w:val="center"/>
          </w:tcPr>
          <w:p>
            <w:pPr>
              <w:spacing w:line="280" w:lineRule="exact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9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3351" w:type="dxa"/>
            <w:gridSpan w:val="4"/>
            <w:vAlign w:val="center"/>
          </w:tcPr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做好2021年</w:t>
            </w:r>
            <w:r>
              <w:t>区委、区管委会的政务接待</w:t>
            </w:r>
            <w:r>
              <w:rPr>
                <w:rFonts w:hint="eastAsia"/>
              </w:rPr>
              <w:t>、</w:t>
            </w:r>
            <w:r>
              <w:t>商务接待</w:t>
            </w:r>
            <w:r>
              <w:rPr>
                <w:rFonts w:hint="eastAsia"/>
              </w:rPr>
              <w:t>、</w:t>
            </w:r>
            <w:r>
              <w:t>重大外事组团</w:t>
            </w:r>
            <w:r>
              <w:rPr>
                <w:rFonts w:hint="eastAsia"/>
              </w:rPr>
              <w:t>及</w:t>
            </w:r>
            <w:r>
              <w:t>外出考察、访问等重大活动做好服务和联络工作。负责干部交流楼后勤保障工作，包括外聘人员工资、伙食费补助、日用品、住宿楼维修维护及其他费用。</w:t>
            </w:r>
          </w:p>
        </w:tc>
        <w:tc>
          <w:tcPr>
            <w:tcW w:w="3919" w:type="dxa"/>
            <w:gridSpan w:val="3"/>
          </w:tcPr>
          <w:p>
            <w:pPr>
              <w:spacing w:line="280" w:lineRule="exact"/>
              <w:ind w:firstLine="210" w:firstLineChars="100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</w:rPr>
              <w:t>积极稳妥做好上下对接、内外协调、左右统筹等工作，2021年全年共完</w:t>
            </w:r>
            <w:r>
              <w:t>成接待367批次，其中政务接待153批次</w:t>
            </w:r>
            <w:r>
              <w:rPr>
                <w:rFonts w:hint="eastAsia"/>
              </w:rPr>
              <w:t>，在严谨热情高质量做好行政接待工作的同时，注重宣传推介大通湖大米、大通湖蟹、大通湖脐橙等本土特色，进一步讲好大通湖故事。在各项接待任务中勤俭节约、细致周到、体现特色，得到了各级领导的充分肯定。做好干部交流楼后勤服务工作，让服务对象满意率达到95%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部门职能职责</w:t>
            </w:r>
          </w:p>
        </w:tc>
        <w:tc>
          <w:tcPr>
            <w:tcW w:w="7270" w:type="dxa"/>
            <w:gridSpan w:val="7"/>
            <w:vAlign w:val="center"/>
          </w:tcPr>
          <w:p>
            <w:pPr>
              <w:spacing w:line="280" w:lineRule="exact"/>
              <w:ind w:firstLine="210" w:firstLineChars="100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</w:rPr>
              <w:t>负责</w:t>
            </w:r>
            <w:r>
              <w:t>区委、区管委会的政务接待</w:t>
            </w:r>
            <w:r>
              <w:rPr>
                <w:rFonts w:hint="eastAsia"/>
              </w:rPr>
              <w:t>、</w:t>
            </w:r>
            <w:r>
              <w:t>商务接待</w:t>
            </w:r>
            <w:r>
              <w:rPr>
                <w:rFonts w:hint="eastAsia"/>
              </w:rPr>
              <w:t>、</w:t>
            </w:r>
            <w:r>
              <w:t>重大外事组团</w:t>
            </w:r>
            <w:r>
              <w:rPr>
                <w:rFonts w:hint="eastAsia"/>
              </w:rPr>
              <w:t>及</w:t>
            </w:r>
            <w:r>
              <w:t>外出考察、访问等重大活动做好服务和联络工作。负责干部交流楼后勤保障工作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绩效</w:t>
            </w:r>
          </w:p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指标</w:t>
            </w:r>
          </w:p>
        </w:tc>
        <w:tc>
          <w:tcPr>
            <w:tcW w:w="777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一级指标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二级指标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三级指标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指标值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实际</w:t>
            </w:r>
          </w:p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完成值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偏差原因分析极改进措施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产生指标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数量指标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在职人员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全年三公经费额度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ind w:left="210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334" w:type="dxa"/>
            <w:vAlign w:val="center"/>
          </w:tcPr>
          <w:p>
            <w:pPr>
              <w:spacing w:line="260" w:lineRule="exact"/>
              <w:ind w:left="210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质量指标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三公经费控制率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部门整体支出使用率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人员支出完成率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预算执行情况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时效指标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部门整体支出使用时间</w:t>
            </w:r>
          </w:p>
        </w:tc>
        <w:tc>
          <w:tcPr>
            <w:tcW w:w="1404" w:type="dxa"/>
            <w:vAlign w:val="center"/>
          </w:tcPr>
          <w:p>
            <w:pPr>
              <w:spacing w:line="308" w:lineRule="exact"/>
              <w:ind w:firstLine="210" w:firstLineChars="100"/>
              <w:jc w:val="center"/>
            </w:pPr>
            <w:r>
              <w:rPr>
                <w:rFonts w:hint="eastAsia"/>
              </w:rPr>
              <w:t>2021年1月-12月</w:t>
            </w:r>
          </w:p>
        </w:tc>
        <w:tc>
          <w:tcPr>
            <w:tcW w:w="1334" w:type="dxa"/>
            <w:vAlign w:val="center"/>
          </w:tcPr>
          <w:p>
            <w:pPr>
              <w:spacing w:line="308" w:lineRule="exact"/>
              <w:ind w:firstLine="210" w:firstLineChars="100"/>
              <w:jc w:val="center"/>
            </w:pPr>
            <w:r>
              <w:rPr>
                <w:rFonts w:hint="eastAsia"/>
              </w:rPr>
              <w:t>2021年1月-12月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人员支出使用时间</w:t>
            </w:r>
          </w:p>
        </w:tc>
        <w:tc>
          <w:tcPr>
            <w:tcW w:w="1404" w:type="dxa"/>
            <w:vAlign w:val="center"/>
          </w:tcPr>
          <w:p>
            <w:pPr>
              <w:spacing w:line="308" w:lineRule="exact"/>
              <w:ind w:firstLine="210" w:firstLineChars="100"/>
              <w:jc w:val="center"/>
            </w:pPr>
            <w:r>
              <w:rPr>
                <w:rFonts w:hint="eastAsia"/>
              </w:rPr>
              <w:t>2021年1月-12月</w:t>
            </w:r>
          </w:p>
        </w:tc>
        <w:tc>
          <w:tcPr>
            <w:tcW w:w="1334" w:type="dxa"/>
            <w:vAlign w:val="center"/>
          </w:tcPr>
          <w:p>
            <w:pPr>
              <w:spacing w:line="308" w:lineRule="exact"/>
              <w:ind w:firstLine="210" w:firstLineChars="100"/>
              <w:jc w:val="center"/>
            </w:pPr>
            <w:r>
              <w:rPr>
                <w:rFonts w:hint="eastAsia"/>
              </w:rPr>
              <w:t>2021年1月-12月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预算执行时间</w:t>
            </w:r>
          </w:p>
        </w:tc>
        <w:tc>
          <w:tcPr>
            <w:tcW w:w="1404" w:type="dxa"/>
            <w:vAlign w:val="center"/>
          </w:tcPr>
          <w:p>
            <w:pPr>
              <w:spacing w:line="308" w:lineRule="exact"/>
              <w:ind w:firstLine="210" w:firstLineChars="100"/>
              <w:jc w:val="center"/>
            </w:pPr>
            <w:r>
              <w:rPr>
                <w:rFonts w:hint="eastAsia"/>
              </w:rPr>
              <w:t>2021年1月-12月</w:t>
            </w:r>
          </w:p>
        </w:tc>
        <w:tc>
          <w:tcPr>
            <w:tcW w:w="1334" w:type="dxa"/>
            <w:vAlign w:val="center"/>
          </w:tcPr>
          <w:p>
            <w:pPr>
              <w:spacing w:line="308" w:lineRule="exact"/>
              <w:ind w:firstLine="210" w:firstLineChars="100"/>
              <w:jc w:val="center"/>
            </w:pPr>
            <w:r>
              <w:rPr>
                <w:rFonts w:hint="eastAsia"/>
              </w:rPr>
              <w:t>2021年1月-12月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成本指标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6" w:lineRule="exact"/>
              <w:jc w:val="center"/>
            </w:pPr>
            <w:r>
              <w:rPr>
                <w:rFonts w:hint="eastAsia"/>
              </w:rPr>
              <w:t>全年预算额度</w:t>
            </w:r>
          </w:p>
        </w:tc>
        <w:tc>
          <w:tcPr>
            <w:tcW w:w="1404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334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效益指标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经济效益指标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带动全区人民政治、经济、文化、教育、建设的有效发展</w:t>
            </w:r>
          </w:p>
        </w:tc>
        <w:tc>
          <w:tcPr>
            <w:tcW w:w="1404" w:type="dxa"/>
            <w:vAlign w:val="center"/>
          </w:tcPr>
          <w:p>
            <w:pPr>
              <w:spacing w:line="306" w:lineRule="exact"/>
              <w:ind w:firstLine="210" w:firstLineChars="100"/>
              <w:jc w:val="center"/>
            </w:pPr>
            <w:r>
              <w:rPr>
                <w:rFonts w:hint="eastAsia"/>
              </w:rPr>
              <w:t>长期有效</w:t>
            </w:r>
          </w:p>
        </w:tc>
        <w:tc>
          <w:tcPr>
            <w:tcW w:w="1334" w:type="dxa"/>
            <w:vAlign w:val="center"/>
          </w:tcPr>
          <w:p>
            <w:pPr>
              <w:spacing w:line="306" w:lineRule="exact"/>
              <w:ind w:firstLine="210" w:firstLineChars="100"/>
              <w:jc w:val="center"/>
            </w:pPr>
            <w:r>
              <w:rPr>
                <w:rFonts w:hint="eastAsia"/>
              </w:rPr>
              <w:t>长期有效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社会效益指标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为全区人民政治、经济、文化、教育、建设的有效发展</w:t>
            </w:r>
          </w:p>
        </w:tc>
        <w:tc>
          <w:tcPr>
            <w:tcW w:w="1404" w:type="dxa"/>
            <w:vAlign w:val="center"/>
          </w:tcPr>
          <w:p>
            <w:pPr>
              <w:spacing w:line="306" w:lineRule="exact"/>
              <w:ind w:firstLine="210" w:firstLineChars="100"/>
              <w:jc w:val="center"/>
            </w:pPr>
            <w:r>
              <w:rPr>
                <w:rFonts w:hint="eastAsia"/>
              </w:rPr>
              <w:t>长期有效</w:t>
            </w:r>
          </w:p>
        </w:tc>
        <w:tc>
          <w:tcPr>
            <w:tcW w:w="1334" w:type="dxa"/>
            <w:vAlign w:val="center"/>
          </w:tcPr>
          <w:p>
            <w:pPr>
              <w:spacing w:line="306" w:lineRule="exact"/>
              <w:ind w:firstLine="210" w:firstLineChars="100"/>
              <w:jc w:val="center"/>
            </w:pPr>
            <w:r>
              <w:rPr>
                <w:rFonts w:hint="eastAsia"/>
              </w:rPr>
              <w:t>长期有效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生态效益指标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维护全区人民的生产生活环境</w:t>
            </w:r>
          </w:p>
        </w:tc>
        <w:tc>
          <w:tcPr>
            <w:tcW w:w="1404" w:type="dxa"/>
            <w:vAlign w:val="center"/>
          </w:tcPr>
          <w:p>
            <w:pPr>
              <w:spacing w:line="306" w:lineRule="exact"/>
              <w:ind w:firstLine="210" w:firstLineChars="100"/>
              <w:jc w:val="center"/>
            </w:pPr>
            <w:r>
              <w:rPr>
                <w:rFonts w:hint="eastAsia"/>
              </w:rPr>
              <w:t>长期有效</w:t>
            </w:r>
          </w:p>
        </w:tc>
        <w:tc>
          <w:tcPr>
            <w:tcW w:w="1334" w:type="dxa"/>
            <w:vAlign w:val="center"/>
          </w:tcPr>
          <w:p>
            <w:pPr>
              <w:spacing w:line="306" w:lineRule="exact"/>
              <w:ind w:firstLine="210" w:firstLineChars="100"/>
              <w:jc w:val="center"/>
            </w:pPr>
            <w:r>
              <w:rPr>
                <w:rFonts w:hint="eastAsia"/>
              </w:rPr>
              <w:t>长期有效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可持续影响指标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促进我区经济建设有效发展</w:t>
            </w:r>
          </w:p>
          <w:p>
            <w:pPr>
              <w:spacing w:line="314" w:lineRule="exact"/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spacing w:line="306" w:lineRule="exact"/>
              <w:ind w:firstLine="210" w:firstLineChars="100"/>
              <w:jc w:val="center"/>
            </w:pPr>
            <w:r>
              <w:rPr>
                <w:rFonts w:hint="eastAsia"/>
              </w:rPr>
              <w:t>长期有效</w:t>
            </w:r>
          </w:p>
        </w:tc>
        <w:tc>
          <w:tcPr>
            <w:tcW w:w="1334" w:type="dxa"/>
            <w:vAlign w:val="center"/>
          </w:tcPr>
          <w:p>
            <w:pPr>
              <w:spacing w:line="306" w:lineRule="exact"/>
              <w:ind w:firstLine="210" w:firstLineChars="100"/>
              <w:jc w:val="center"/>
            </w:pPr>
            <w:r>
              <w:rPr>
                <w:rFonts w:hint="eastAsia"/>
              </w:rPr>
              <w:t>长期有效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满意度指标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服务对象满意度指标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公众满意度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服务对象满意度95%以上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服务对象满意度95%以上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政府机构人员满意度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服务对象满意度95%以上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服务对象满意度95%以上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Ansi="黑体" w:eastAsia="黑体"/>
          <w:color w:val="000000"/>
          <w:kern w:val="0"/>
          <w:sz w:val="32"/>
          <w:szCs w:val="32"/>
        </w:rPr>
      </w:pPr>
    </w:p>
    <w:p>
      <w:pPr>
        <w:pStyle w:val="2"/>
        <w:ind w:left="735" w:hanging="735"/>
      </w:pPr>
    </w:p>
    <w:p/>
    <w:p>
      <w:pPr>
        <w:widowControl/>
      </w:pPr>
    </w:p>
    <w:p>
      <w:pPr>
        <w:pStyle w:val="2"/>
        <w:ind w:left="735" w:hanging="735"/>
      </w:pPr>
    </w:p>
    <w:p>
      <w:pPr>
        <w:widowControl/>
        <w:rPr>
          <w:rFonts w:hAnsi="黑体" w:eastAsia="黑体"/>
          <w:color w:val="000000"/>
          <w:kern w:val="0"/>
          <w:sz w:val="32"/>
          <w:szCs w:val="32"/>
        </w:rPr>
      </w:pPr>
    </w:p>
    <w:p>
      <w:pPr>
        <w:widowControl/>
        <w:rPr>
          <w:rFonts w:hAnsi="黑体" w:eastAsia="黑体"/>
          <w:color w:val="000000"/>
          <w:kern w:val="0"/>
          <w:sz w:val="32"/>
          <w:szCs w:val="32"/>
        </w:rPr>
      </w:pPr>
    </w:p>
    <w:p>
      <w:pPr>
        <w:pStyle w:val="2"/>
        <w:spacing w:line="240" w:lineRule="exact"/>
        <w:ind w:left="0" w:leftChars="0" w:firstLine="0" w:firstLineChars="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871" w:right="1531" w:bottom="1928" w:left="1531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210" w:leftChars="100" w:right="210" w:rightChars="10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9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NkYjdmMWU0NmU0YzFmNDA0NmE0OWUxNDg5YzU3YTMifQ=="/>
  </w:docVars>
  <w:rsids>
    <w:rsidRoot w:val="1F3D259F"/>
    <w:rsid w:val="00006DAB"/>
    <w:rsid w:val="00165CCF"/>
    <w:rsid w:val="00176A07"/>
    <w:rsid w:val="001F1C68"/>
    <w:rsid w:val="00203E62"/>
    <w:rsid w:val="00264879"/>
    <w:rsid w:val="002914E3"/>
    <w:rsid w:val="002F6458"/>
    <w:rsid w:val="003656E7"/>
    <w:rsid w:val="003B46B0"/>
    <w:rsid w:val="003E4D73"/>
    <w:rsid w:val="00420EB3"/>
    <w:rsid w:val="004766D1"/>
    <w:rsid w:val="0049520C"/>
    <w:rsid w:val="004B2681"/>
    <w:rsid w:val="004C491E"/>
    <w:rsid w:val="004F75A8"/>
    <w:rsid w:val="005071A9"/>
    <w:rsid w:val="00532AAB"/>
    <w:rsid w:val="00536F89"/>
    <w:rsid w:val="005A4BA0"/>
    <w:rsid w:val="005D5C8A"/>
    <w:rsid w:val="005E4466"/>
    <w:rsid w:val="006754D1"/>
    <w:rsid w:val="006B6B61"/>
    <w:rsid w:val="006F4D39"/>
    <w:rsid w:val="00A76EDD"/>
    <w:rsid w:val="00C348C0"/>
    <w:rsid w:val="00C67505"/>
    <w:rsid w:val="00CB174B"/>
    <w:rsid w:val="00E10E0A"/>
    <w:rsid w:val="00E24E5A"/>
    <w:rsid w:val="00E43AD7"/>
    <w:rsid w:val="00E4736C"/>
    <w:rsid w:val="00EB1BB6"/>
    <w:rsid w:val="00EF5E9F"/>
    <w:rsid w:val="00F37A5F"/>
    <w:rsid w:val="01FF1E15"/>
    <w:rsid w:val="0293255D"/>
    <w:rsid w:val="02AE5E94"/>
    <w:rsid w:val="039842DB"/>
    <w:rsid w:val="04581CB1"/>
    <w:rsid w:val="04F07081"/>
    <w:rsid w:val="05594AD8"/>
    <w:rsid w:val="058D74E7"/>
    <w:rsid w:val="05DC421B"/>
    <w:rsid w:val="07101DA1"/>
    <w:rsid w:val="08713AA9"/>
    <w:rsid w:val="0A362EF5"/>
    <w:rsid w:val="0B161F7E"/>
    <w:rsid w:val="0B430409"/>
    <w:rsid w:val="0C116221"/>
    <w:rsid w:val="0C1464BD"/>
    <w:rsid w:val="0C2A7A8F"/>
    <w:rsid w:val="0C5B6F9C"/>
    <w:rsid w:val="0CCF2E51"/>
    <w:rsid w:val="0DBC0F94"/>
    <w:rsid w:val="0F081A37"/>
    <w:rsid w:val="0FD83CA6"/>
    <w:rsid w:val="10294318"/>
    <w:rsid w:val="10510716"/>
    <w:rsid w:val="11D81D3B"/>
    <w:rsid w:val="14AF31D2"/>
    <w:rsid w:val="14F670A8"/>
    <w:rsid w:val="151C4634"/>
    <w:rsid w:val="15A563D8"/>
    <w:rsid w:val="15B841BB"/>
    <w:rsid w:val="168E59D7"/>
    <w:rsid w:val="172123D6"/>
    <w:rsid w:val="184D2420"/>
    <w:rsid w:val="187000D5"/>
    <w:rsid w:val="18F51424"/>
    <w:rsid w:val="18FD7E22"/>
    <w:rsid w:val="190A2AF7"/>
    <w:rsid w:val="190B50EC"/>
    <w:rsid w:val="191775ED"/>
    <w:rsid w:val="196A5795"/>
    <w:rsid w:val="19F02B82"/>
    <w:rsid w:val="1A76380C"/>
    <w:rsid w:val="1ABF7F3C"/>
    <w:rsid w:val="1ADD121D"/>
    <w:rsid w:val="1BC755CA"/>
    <w:rsid w:val="1BDD2D6F"/>
    <w:rsid w:val="1CA94A00"/>
    <w:rsid w:val="1E122A78"/>
    <w:rsid w:val="1E1257C2"/>
    <w:rsid w:val="1E6D57B3"/>
    <w:rsid w:val="1E9B2A6E"/>
    <w:rsid w:val="1EE515E8"/>
    <w:rsid w:val="1F3D259F"/>
    <w:rsid w:val="1F8D685B"/>
    <w:rsid w:val="1FEA3D08"/>
    <w:rsid w:val="2006664D"/>
    <w:rsid w:val="205D447F"/>
    <w:rsid w:val="20A7251B"/>
    <w:rsid w:val="218E68BA"/>
    <w:rsid w:val="229B128E"/>
    <w:rsid w:val="22BF31CF"/>
    <w:rsid w:val="22DC645B"/>
    <w:rsid w:val="22F5559F"/>
    <w:rsid w:val="231C67DE"/>
    <w:rsid w:val="23ED304B"/>
    <w:rsid w:val="23F97C4C"/>
    <w:rsid w:val="247164C1"/>
    <w:rsid w:val="24B94DEE"/>
    <w:rsid w:val="25D40A00"/>
    <w:rsid w:val="261F645E"/>
    <w:rsid w:val="267C3E43"/>
    <w:rsid w:val="267E0CAB"/>
    <w:rsid w:val="26F35BCF"/>
    <w:rsid w:val="27B23302"/>
    <w:rsid w:val="280F0CD3"/>
    <w:rsid w:val="281A4A03"/>
    <w:rsid w:val="2959155B"/>
    <w:rsid w:val="295B42F7"/>
    <w:rsid w:val="29C736D6"/>
    <w:rsid w:val="2B7C0842"/>
    <w:rsid w:val="2B8A087C"/>
    <w:rsid w:val="2C6609A6"/>
    <w:rsid w:val="2CF411DB"/>
    <w:rsid w:val="2D557A16"/>
    <w:rsid w:val="2D8D7A26"/>
    <w:rsid w:val="2DFE5BF4"/>
    <w:rsid w:val="2E6E3F9E"/>
    <w:rsid w:val="2ED62CC0"/>
    <w:rsid w:val="2EE762D2"/>
    <w:rsid w:val="2EF06C16"/>
    <w:rsid w:val="2F570F08"/>
    <w:rsid w:val="30673CC0"/>
    <w:rsid w:val="31232B7B"/>
    <w:rsid w:val="314F5F8F"/>
    <w:rsid w:val="31B93075"/>
    <w:rsid w:val="32BA12BD"/>
    <w:rsid w:val="32FF75A8"/>
    <w:rsid w:val="345C4FB9"/>
    <w:rsid w:val="3523490A"/>
    <w:rsid w:val="352D5BCD"/>
    <w:rsid w:val="35CD46D8"/>
    <w:rsid w:val="371303A8"/>
    <w:rsid w:val="376B5EE7"/>
    <w:rsid w:val="37A1780E"/>
    <w:rsid w:val="37DA41AF"/>
    <w:rsid w:val="37E82428"/>
    <w:rsid w:val="380C2ECE"/>
    <w:rsid w:val="39584E34"/>
    <w:rsid w:val="39904B26"/>
    <w:rsid w:val="3B00217F"/>
    <w:rsid w:val="3B5B60FB"/>
    <w:rsid w:val="3BF43905"/>
    <w:rsid w:val="3C4732C1"/>
    <w:rsid w:val="3CB21ABD"/>
    <w:rsid w:val="3CBD6CB3"/>
    <w:rsid w:val="3CE27D8E"/>
    <w:rsid w:val="3D9557FB"/>
    <w:rsid w:val="3DAE43BE"/>
    <w:rsid w:val="3DE65ADD"/>
    <w:rsid w:val="3DF8713D"/>
    <w:rsid w:val="3EDC080D"/>
    <w:rsid w:val="3FB74EB9"/>
    <w:rsid w:val="3FEF133C"/>
    <w:rsid w:val="40644B50"/>
    <w:rsid w:val="40966FE5"/>
    <w:rsid w:val="410F4ECA"/>
    <w:rsid w:val="41D61543"/>
    <w:rsid w:val="41EB5D1A"/>
    <w:rsid w:val="421B1721"/>
    <w:rsid w:val="426C473B"/>
    <w:rsid w:val="43243B9B"/>
    <w:rsid w:val="432A5FEB"/>
    <w:rsid w:val="43674A32"/>
    <w:rsid w:val="44020D16"/>
    <w:rsid w:val="44C32B9A"/>
    <w:rsid w:val="458F6EB9"/>
    <w:rsid w:val="4692640C"/>
    <w:rsid w:val="483B292C"/>
    <w:rsid w:val="495A5E2F"/>
    <w:rsid w:val="4E395C2A"/>
    <w:rsid w:val="4E404914"/>
    <w:rsid w:val="4FA7316D"/>
    <w:rsid w:val="4FD27B6B"/>
    <w:rsid w:val="50887115"/>
    <w:rsid w:val="50D224FE"/>
    <w:rsid w:val="51B6159E"/>
    <w:rsid w:val="51B66201"/>
    <w:rsid w:val="51FD3802"/>
    <w:rsid w:val="5305327E"/>
    <w:rsid w:val="53B360BE"/>
    <w:rsid w:val="548B440F"/>
    <w:rsid w:val="550B27BD"/>
    <w:rsid w:val="55647666"/>
    <w:rsid w:val="55E464CD"/>
    <w:rsid w:val="5613290E"/>
    <w:rsid w:val="56B22127"/>
    <w:rsid w:val="57A24DBD"/>
    <w:rsid w:val="57DD3ED9"/>
    <w:rsid w:val="57F02618"/>
    <w:rsid w:val="588274E3"/>
    <w:rsid w:val="5984305C"/>
    <w:rsid w:val="5A37536C"/>
    <w:rsid w:val="5A7140A7"/>
    <w:rsid w:val="5B6D31BC"/>
    <w:rsid w:val="5D932F5E"/>
    <w:rsid w:val="5E65287A"/>
    <w:rsid w:val="5F542FC1"/>
    <w:rsid w:val="5FBB029F"/>
    <w:rsid w:val="61045C75"/>
    <w:rsid w:val="61CA6D11"/>
    <w:rsid w:val="61CF0031"/>
    <w:rsid w:val="63E861DD"/>
    <w:rsid w:val="64013DB6"/>
    <w:rsid w:val="65982E30"/>
    <w:rsid w:val="65B04DEC"/>
    <w:rsid w:val="663914F1"/>
    <w:rsid w:val="66622660"/>
    <w:rsid w:val="66FF1BA8"/>
    <w:rsid w:val="672F1572"/>
    <w:rsid w:val="67751BF4"/>
    <w:rsid w:val="68965CC1"/>
    <w:rsid w:val="68C15B84"/>
    <w:rsid w:val="6942733B"/>
    <w:rsid w:val="69C53868"/>
    <w:rsid w:val="6BCA5761"/>
    <w:rsid w:val="6BD665D1"/>
    <w:rsid w:val="6C405E11"/>
    <w:rsid w:val="6E5E5CB9"/>
    <w:rsid w:val="6E963C85"/>
    <w:rsid w:val="6ED76777"/>
    <w:rsid w:val="6F110FC3"/>
    <w:rsid w:val="6F7A2919"/>
    <w:rsid w:val="70772393"/>
    <w:rsid w:val="710F044A"/>
    <w:rsid w:val="71FE6D4C"/>
    <w:rsid w:val="72514749"/>
    <w:rsid w:val="727000C0"/>
    <w:rsid w:val="72A55F1A"/>
    <w:rsid w:val="72C45A1E"/>
    <w:rsid w:val="73017AB9"/>
    <w:rsid w:val="75932CCC"/>
    <w:rsid w:val="774958ED"/>
    <w:rsid w:val="776B1CAD"/>
    <w:rsid w:val="77FA7033"/>
    <w:rsid w:val="782B7A82"/>
    <w:rsid w:val="783248D8"/>
    <w:rsid w:val="78BB2C66"/>
    <w:rsid w:val="78E14732"/>
    <w:rsid w:val="797A0290"/>
    <w:rsid w:val="79A8143C"/>
    <w:rsid w:val="79C8563A"/>
    <w:rsid w:val="79EB757B"/>
    <w:rsid w:val="7A1E61C9"/>
    <w:rsid w:val="7A2B7A09"/>
    <w:rsid w:val="7A8645D1"/>
    <w:rsid w:val="7AC73B44"/>
    <w:rsid w:val="7AE2272C"/>
    <w:rsid w:val="7BA06143"/>
    <w:rsid w:val="7BA83151"/>
    <w:rsid w:val="7BBA7205"/>
    <w:rsid w:val="7D6E3220"/>
    <w:rsid w:val="7DBF34A2"/>
    <w:rsid w:val="7E1F77F3"/>
    <w:rsid w:val="7EF374AC"/>
    <w:rsid w:val="7F271055"/>
    <w:rsid w:val="7F363046"/>
    <w:rsid w:val="7F8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580" w:lineRule="exact"/>
      <w:ind w:left="350" w:hanging="350" w:hangingChars="350"/>
    </w:pPr>
    <w:rPr>
      <w:rFonts w:ascii="仿宋_GB2312" w:hAnsi="Calibri" w:cs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新正文"/>
    <w:basedOn w:val="1"/>
    <w:qFormat/>
    <w:uiPriority w:val="0"/>
    <w:pPr>
      <w:spacing w:line="610" w:lineRule="exact"/>
      <w:ind w:firstLine="880" w:firstLineChars="200"/>
    </w:pPr>
    <w:rPr>
      <w:rFonts w:eastAsia="仿宋_GB2312"/>
      <w:sz w:val="32"/>
    </w:rPr>
  </w:style>
  <w:style w:type="character" w:customStyle="1" w:styleId="15">
    <w:name w:val="Character Style 1"/>
    <w:qFormat/>
    <w:uiPriority w:val="0"/>
    <w:rPr>
      <w:sz w:val="20"/>
      <w:szCs w:val="20"/>
    </w:rPr>
  </w:style>
  <w:style w:type="character" w:customStyle="1" w:styleId="16">
    <w:name w:val="bsharetext"/>
    <w:basedOn w:val="7"/>
    <w:qFormat/>
    <w:uiPriority w:val="0"/>
  </w:style>
  <w:style w:type="character" w:customStyle="1" w:styleId="17">
    <w:name w:val="before"/>
    <w:basedOn w:val="7"/>
    <w:qFormat/>
    <w:uiPriority w:val="0"/>
    <w:rPr>
      <w:shd w:val="clear" w:color="auto" w:fill="0281DF"/>
    </w:rPr>
  </w:style>
  <w:style w:type="character" w:customStyle="1" w:styleId="18">
    <w:name w:val="wx-space"/>
    <w:basedOn w:val="7"/>
    <w:qFormat/>
    <w:uiPriority w:val="0"/>
  </w:style>
  <w:style w:type="character" w:customStyle="1" w:styleId="19">
    <w:name w:val="wx-space1"/>
    <w:basedOn w:val="7"/>
    <w:qFormat/>
    <w:uiPriority w:val="0"/>
  </w:style>
  <w:style w:type="character" w:customStyle="1" w:styleId="20">
    <w:name w:val="tgspan"/>
    <w:basedOn w:val="7"/>
    <w:qFormat/>
    <w:uiPriority w:val="0"/>
  </w:style>
  <w:style w:type="character" w:customStyle="1" w:styleId="21">
    <w:name w:val="yzm"/>
    <w:basedOn w:val="7"/>
    <w:qFormat/>
    <w:uiPriority w:val="0"/>
  </w:style>
  <w:style w:type="character" w:customStyle="1" w:styleId="22">
    <w:name w:val="hover7"/>
    <w:basedOn w:val="7"/>
    <w:qFormat/>
    <w:uiPriority w:val="0"/>
    <w:rPr>
      <w:color w:val="00000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4658</Words>
  <Characters>5062</Characters>
  <Lines>8</Lines>
  <Paragraphs>14</Paragraphs>
  <TotalTime>4</TotalTime>
  <ScaleCrop>false</ScaleCrop>
  <LinksUpToDate>false</LinksUpToDate>
  <CharactersWithSpaces>5138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2021-09-29T09:47:00Z</dcterms:created>
  <dc:creator>abby</dc:creator>
  <cp:lastModifiedBy>Administrator</cp:lastModifiedBy>
  <cp:lastPrinted>2021-11-19T02:22:00Z</cp:lastPrinted>
  <dcterms:modified xsi:type="dcterms:W3CDTF">2023-05-04T07:44:49Z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ICV">
    <vt:lpwstr>066596DB74EF4223B44C2A4938724AB8</vt:lpwstr>
  </property>
</Properties>
</file>