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eastAsia="仿宋_GB2312" w:cs="仿宋_GB2312"/>
          <w:color w:val="000000"/>
          <w:sz w:val="32"/>
          <w:szCs w:val="32"/>
        </w:rPr>
      </w:pPr>
      <w:r>
        <w:rPr>
          <w:rFonts w:hint="eastAsia"/>
          <w:lang w:eastAsia="zh-CN"/>
        </w:rPr>
        <w:t>卫生健康事业专项绩效自评</w:t>
      </w:r>
      <w:r>
        <w:rPr>
          <w:rFonts w:hint="eastAsia"/>
        </w:rPr>
        <w:t>报告</w:t>
      </w:r>
    </w:p>
    <w:p>
      <w:pPr>
        <w:overflowPunct w:val="0"/>
        <w:autoSpaceDE w:val="0"/>
        <w:spacing w:line="592" w:lineRule="exact"/>
        <w:jc w:val="both"/>
        <w:rPr>
          <w:rFonts w:hint="eastAsia" w:ascii="仿宋" w:hAnsi="仿宋" w:eastAsia="仿宋" w:cs="仿宋"/>
          <w:b/>
          <w:bCs/>
          <w:color w:val="000000"/>
          <w:sz w:val="32"/>
          <w:szCs w:val="32"/>
          <w:lang w:eastAsia="zh-CN"/>
        </w:rPr>
      </w:pPr>
      <w:r>
        <w:rPr>
          <w:rFonts w:hint="eastAsia" w:ascii="仿宋" w:hAnsi="仿宋" w:eastAsia="仿宋" w:cs="仿宋"/>
          <w:color w:val="000000"/>
          <w:sz w:val="32"/>
          <w:szCs w:val="32"/>
          <w:lang w:val="en-US" w:eastAsia="zh-CN"/>
        </w:rPr>
        <w:t xml:space="preserve">  </w:t>
      </w:r>
      <w:r>
        <w:rPr>
          <w:rFonts w:hint="eastAsia" w:eastAsia="仿宋_GB2312" w:cs="仿宋_GB2312"/>
          <w:color w:val="000000"/>
          <w:sz w:val="32"/>
          <w:szCs w:val="32"/>
        </w:rPr>
        <w:t>根据《益阳市大通湖区发展改革和财政局关于做好区级预算绩效自评工作的通知》文件</w:t>
      </w:r>
      <w:r>
        <w:rPr>
          <w:rFonts w:hint="eastAsia" w:eastAsia="仿宋_GB2312" w:cs="仿宋_GB2312"/>
          <w:color w:val="000000"/>
          <w:sz w:val="32"/>
          <w:szCs w:val="32"/>
          <w:lang w:eastAsia="zh-CN"/>
        </w:rPr>
        <w:t>精神</w:t>
      </w:r>
      <w:r>
        <w:rPr>
          <w:rFonts w:hint="eastAsia" w:ascii="仿宋" w:hAnsi="仿宋" w:eastAsia="仿宋" w:cs="仿宋"/>
          <w:color w:val="000000"/>
          <w:sz w:val="32"/>
          <w:szCs w:val="32"/>
        </w:rPr>
        <w:t>，进一步规范和加强财政资金管理，切实提高财政资金使用效益和政策实施效果，我</w:t>
      </w:r>
      <w:r>
        <w:rPr>
          <w:rFonts w:hint="eastAsia" w:ascii="仿宋" w:hAnsi="仿宋" w:eastAsia="仿宋" w:cs="仿宋"/>
          <w:color w:val="000000"/>
          <w:sz w:val="32"/>
          <w:szCs w:val="32"/>
          <w:lang w:eastAsia="zh-CN"/>
        </w:rPr>
        <w:t>局</w:t>
      </w:r>
      <w:r>
        <w:rPr>
          <w:rFonts w:hint="eastAsia" w:ascii="仿宋" w:hAnsi="仿宋" w:eastAsia="仿宋" w:cs="仿宋"/>
          <w:color w:val="000000"/>
          <w:sz w:val="32"/>
          <w:szCs w:val="32"/>
        </w:rPr>
        <w:t>对202</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年度</w:t>
      </w:r>
      <w:r>
        <w:rPr>
          <w:rFonts w:hint="eastAsia" w:ascii="仿宋" w:hAnsi="仿宋" w:eastAsia="仿宋" w:cs="仿宋"/>
          <w:color w:val="000000"/>
          <w:sz w:val="32"/>
          <w:szCs w:val="32"/>
          <w:lang w:eastAsia="zh-CN"/>
        </w:rPr>
        <w:t>卫生健康事业专项区级资</w:t>
      </w:r>
      <w:r>
        <w:rPr>
          <w:rFonts w:hint="eastAsia" w:ascii="仿宋" w:hAnsi="仿宋" w:eastAsia="仿宋" w:cs="仿宋"/>
          <w:color w:val="000000"/>
          <w:sz w:val="32"/>
          <w:szCs w:val="32"/>
        </w:rPr>
        <w:t>金进行了绩效评价，现将有关情况报告如下</w:t>
      </w:r>
      <w:r>
        <w:rPr>
          <w:rFonts w:hint="eastAsia" w:ascii="仿宋" w:hAnsi="仿宋" w:eastAsia="仿宋" w:cs="仿宋"/>
          <w:color w:val="000000"/>
          <w:sz w:val="32"/>
          <w:szCs w:val="32"/>
          <w:lang w:eastAsia="zh-CN"/>
        </w:rPr>
        <w:t>：</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一、项目基本情况</w:t>
      </w:r>
    </w:p>
    <w:p>
      <w:pPr>
        <w:spacing w:line="592" w:lineRule="exact"/>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（一）项目概况</w:t>
      </w:r>
    </w:p>
    <w:p>
      <w:pPr>
        <w:spacing w:line="592" w:lineRule="exact"/>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本项目主要由区疾控中心</w:t>
      </w:r>
      <w:r>
        <w:rPr>
          <w:rFonts w:hint="eastAsia" w:ascii="仿宋" w:hAnsi="仿宋" w:eastAsia="仿宋" w:cs="仿宋"/>
          <w:b w:val="0"/>
          <w:bCs w:val="0"/>
          <w:color w:val="000000"/>
          <w:sz w:val="32"/>
          <w:szCs w:val="32"/>
          <w:lang w:eastAsia="zh-CN"/>
        </w:rPr>
        <w:t>、人口监测与家庭发展股及医政医管办</w:t>
      </w:r>
      <w:r>
        <w:rPr>
          <w:rFonts w:hint="eastAsia" w:ascii="仿宋" w:hAnsi="仿宋" w:eastAsia="仿宋" w:cs="仿宋"/>
          <w:b w:val="0"/>
          <w:bCs w:val="0"/>
          <w:color w:val="000000"/>
          <w:sz w:val="32"/>
          <w:szCs w:val="32"/>
        </w:rPr>
        <w:t>负责，</w:t>
      </w:r>
      <w:r>
        <w:rPr>
          <w:rFonts w:hint="eastAsia" w:ascii="仿宋" w:hAnsi="仿宋" w:eastAsia="仿宋" w:cs="仿宋"/>
          <w:b w:val="0"/>
          <w:bCs w:val="0"/>
          <w:color w:val="000000"/>
          <w:sz w:val="32"/>
          <w:szCs w:val="32"/>
          <w:lang w:eastAsia="zh-CN"/>
        </w:rPr>
        <w:t>我局</w:t>
      </w:r>
      <w:r>
        <w:rPr>
          <w:rFonts w:hint="eastAsia" w:ascii="仿宋" w:hAnsi="仿宋" w:eastAsia="仿宋" w:cs="仿宋"/>
          <w:b w:val="0"/>
          <w:bCs w:val="0"/>
          <w:color w:val="000000"/>
          <w:sz w:val="32"/>
          <w:szCs w:val="32"/>
        </w:rPr>
        <w:t>严格贯彻执行国家疾病预防控制</w:t>
      </w:r>
      <w:r>
        <w:rPr>
          <w:rFonts w:hint="eastAsia" w:ascii="仿宋" w:hAnsi="仿宋" w:eastAsia="仿宋" w:cs="仿宋"/>
          <w:b w:val="0"/>
          <w:bCs w:val="0"/>
          <w:color w:val="000000"/>
          <w:sz w:val="32"/>
          <w:szCs w:val="32"/>
          <w:lang w:eastAsia="zh-CN"/>
        </w:rPr>
        <w:t>、人口监测等</w:t>
      </w:r>
      <w:r>
        <w:rPr>
          <w:rFonts w:hint="eastAsia" w:ascii="仿宋" w:hAnsi="仿宋" w:eastAsia="仿宋" w:cs="仿宋"/>
          <w:b w:val="0"/>
          <w:bCs w:val="0"/>
          <w:color w:val="000000"/>
          <w:sz w:val="32"/>
          <w:szCs w:val="32"/>
        </w:rPr>
        <w:t>相关法律法规，项目资金主要用于教师节、护士节等活动及无偿献血、中医药事业发展专项、职业病防治经费、医调委、医疗纠纷调处中心经费、传染病防控、免疫规划、艾滋病防控、肺结核病防控、尘肺病防治攻坚、老年优待证的发放管理、老年人意外伤害保险；湖南省卫生健康委“银龄安康”工程“敬老月”活动等方面。</w:t>
      </w:r>
    </w:p>
    <w:p>
      <w:pPr>
        <w:numPr>
          <w:ilvl w:val="0"/>
          <w:numId w:val="1"/>
        </w:numPr>
        <w:spacing w:line="592" w:lineRule="exact"/>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项目绩效目标</w:t>
      </w:r>
    </w:p>
    <w:p>
      <w:pPr>
        <w:numPr>
          <w:ilvl w:val="0"/>
          <w:numId w:val="0"/>
        </w:numPr>
        <w:spacing w:line="592" w:lineRule="exact"/>
        <w:ind w:firstLine="640" w:firstLineChars="200"/>
        <w:rPr>
          <w:rFonts w:hint="default" w:ascii="仿宋" w:hAnsi="仿宋" w:eastAsia="仿宋_GB2312" w:cs="仿宋"/>
          <w:b w:val="0"/>
          <w:bCs w:val="0"/>
          <w:color w:val="000000"/>
          <w:sz w:val="32"/>
          <w:szCs w:val="32"/>
          <w:lang w:val="en-US" w:eastAsia="zh-CN"/>
        </w:rPr>
      </w:pPr>
      <w:r>
        <w:rPr>
          <w:rFonts w:hint="eastAsia" w:ascii="仿宋" w:hAnsi="仿宋" w:eastAsia="仿宋" w:cs="仿宋"/>
          <w:b w:val="0"/>
          <w:bCs w:val="0"/>
          <w:color w:val="000000"/>
          <w:sz w:val="32"/>
          <w:szCs w:val="32"/>
        </w:rPr>
        <w:t>进一步做好</w:t>
      </w:r>
      <w:r>
        <w:rPr>
          <w:rFonts w:hint="eastAsia" w:ascii="仿宋" w:hAnsi="仿宋" w:eastAsia="仿宋" w:cs="仿宋"/>
          <w:b w:val="0"/>
          <w:bCs w:val="0"/>
          <w:color w:val="000000"/>
          <w:sz w:val="32"/>
          <w:szCs w:val="32"/>
          <w:lang w:eastAsia="zh-CN"/>
        </w:rPr>
        <w:t>教</w:t>
      </w:r>
      <w:r>
        <w:rPr>
          <w:rFonts w:hint="eastAsia" w:ascii="仿宋" w:hAnsi="仿宋" w:eastAsia="仿宋" w:cs="仿宋"/>
          <w:b w:val="0"/>
          <w:bCs w:val="0"/>
          <w:color w:val="000000"/>
          <w:sz w:val="32"/>
          <w:szCs w:val="32"/>
        </w:rPr>
        <w:t>师节、护士节</w:t>
      </w:r>
      <w:r>
        <w:rPr>
          <w:rFonts w:hint="eastAsia" w:ascii="仿宋" w:hAnsi="仿宋" w:eastAsia="仿宋" w:cs="仿宋"/>
          <w:b w:val="0"/>
          <w:bCs w:val="0"/>
          <w:color w:val="000000"/>
          <w:sz w:val="32"/>
          <w:szCs w:val="32"/>
          <w:lang w:eastAsia="zh-CN"/>
        </w:rPr>
        <w:t>等活动、</w:t>
      </w:r>
      <w:r>
        <w:rPr>
          <w:rFonts w:hint="eastAsia" w:ascii="仿宋" w:hAnsi="仿宋" w:eastAsia="仿宋" w:cs="仿宋"/>
          <w:b w:val="0"/>
          <w:bCs w:val="0"/>
          <w:color w:val="000000"/>
          <w:sz w:val="32"/>
          <w:szCs w:val="32"/>
        </w:rPr>
        <w:t>无偿献</w:t>
      </w:r>
      <w:r>
        <w:rPr>
          <w:rFonts w:hint="eastAsia" w:ascii="仿宋" w:hAnsi="仿宋" w:eastAsia="仿宋" w:cs="仿宋"/>
          <w:b w:val="0"/>
          <w:bCs w:val="0"/>
          <w:color w:val="000000"/>
          <w:sz w:val="32"/>
          <w:szCs w:val="32"/>
          <w:lang w:eastAsia="zh-CN"/>
        </w:rPr>
        <w:t>血及</w:t>
      </w:r>
      <w:r>
        <w:rPr>
          <w:rFonts w:hint="eastAsia" w:ascii="仿宋" w:hAnsi="仿宋" w:eastAsia="仿宋" w:cs="仿宋"/>
          <w:b w:val="0"/>
          <w:bCs w:val="0"/>
          <w:color w:val="000000"/>
          <w:sz w:val="32"/>
          <w:szCs w:val="32"/>
        </w:rPr>
        <w:t>全年度中医药事业发展专项、职业病防治经费、医调委、医疗纠纷调处中心经费、传染病防控、免疫规划、艾滋病防控、肺结核病防控、尘肺病防治攻坚</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老年优待证的发放管理、老年人意外伤害保险；湖南省卫生健康委“银龄安康”工程“敬老月”活动</w:t>
      </w:r>
      <w:r>
        <w:rPr>
          <w:rFonts w:hint="eastAsia" w:ascii="仿宋" w:hAnsi="仿宋" w:eastAsia="仿宋" w:cs="仿宋"/>
          <w:b w:val="0"/>
          <w:bCs w:val="0"/>
          <w:color w:val="000000"/>
          <w:sz w:val="32"/>
          <w:szCs w:val="32"/>
          <w:lang w:eastAsia="zh-CN"/>
        </w:rPr>
        <w:t>等</w:t>
      </w:r>
      <w:r>
        <w:rPr>
          <w:rFonts w:hint="eastAsia" w:ascii="仿宋" w:hAnsi="仿宋" w:eastAsia="仿宋" w:cs="仿宋"/>
          <w:b w:val="0"/>
          <w:bCs w:val="0"/>
          <w:color w:val="000000"/>
          <w:sz w:val="32"/>
          <w:szCs w:val="32"/>
        </w:rPr>
        <w:t>工作，主要表现</w:t>
      </w:r>
      <w:r>
        <w:rPr>
          <w:rFonts w:hint="eastAsia" w:ascii="仿宋" w:hAnsi="仿宋" w:eastAsia="仿宋" w:cs="仿宋"/>
          <w:b w:val="0"/>
          <w:bCs w:val="0"/>
          <w:color w:val="000000"/>
          <w:sz w:val="32"/>
          <w:szCs w:val="32"/>
          <w:lang w:eastAsia="zh-CN"/>
        </w:rPr>
        <w:t>医调委津贴发放率</w:t>
      </w:r>
      <w:r>
        <w:rPr>
          <w:rFonts w:hint="eastAsia" w:ascii="仿宋" w:hAnsi="仿宋" w:eastAsia="仿宋" w:cs="仿宋"/>
          <w:b w:val="0"/>
          <w:bCs w:val="0"/>
          <w:color w:val="000000"/>
          <w:sz w:val="32"/>
          <w:szCs w:val="32"/>
          <w:lang w:val="en-US" w:eastAsia="zh-CN"/>
        </w:rPr>
        <w:t>100%，</w:t>
      </w:r>
      <w:r>
        <w:rPr>
          <w:rFonts w:hint="eastAsia" w:eastAsia="仿宋_GB2312" w:cs="仿宋_GB2312"/>
          <w:color w:val="000000"/>
          <w:sz w:val="32"/>
          <w:szCs w:val="32"/>
          <w:lang w:val="en-US" w:eastAsia="zh-CN"/>
        </w:rPr>
        <w:t>治辖区无新增尘肺病患者，</w:t>
      </w:r>
      <w:r>
        <w:rPr>
          <w:rFonts w:hint="eastAsia" w:ascii="仿宋_GB2312" w:eastAsia="仿宋_GB2312"/>
          <w:sz w:val="32"/>
          <w:szCs w:val="32"/>
          <w:lang w:val="en-US" w:eastAsia="zh-CN"/>
        </w:rPr>
        <w:t>保障全区疫苗冷链储存，各预防接种单位疫苗冷链储存设备达到数量要求，艾滋病防控</w:t>
      </w:r>
      <w:r>
        <w:rPr>
          <w:rFonts w:hint="eastAsia" w:ascii="仿宋_GB2312" w:hAnsi="Times New Roman" w:eastAsia="仿宋_GB2312" w:cs="Times New Roman"/>
          <w:sz w:val="32"/>
          <w:szCs w:val="32"/>
        </w:rPr>
        <w:t>符合治疗条件的感染者和病人中接受抗病毒治疗的比例达到</w:t>
      </w:r>
      <w:r>
        <w:rPr>
          <w:rFonts w:hint="eastAsia" w:ascii="仿宋_GB2312" w:hAnsi="Times New Roman" w:eastAsia="仿宋_GB2312" w:cs="Times New Roman"/>
          <w:sz w:val="32"/>
          <w:szCs w:val="32"/>
          <w:lang w:val="en-US" w:eastAsia="zh-CN"/>
        </w:rPr>
        <w:t>94.44</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艾滋病规范化随访干预比例达到</w:t>
      </w:r>
      <w:r>
        <w:rPr>
          <w:rFonts w:hint="eastAsia" w:ascii="仿宋_GB2312" w:hAnsi="Times New Roman" w:eastAsia="仿宋_GB2312" w:cs="Times New Roman"/>
          <w:sz w:val="32"/>
          <w:szCs w:val="32"/>
          <w:lang w:val="en-US" w:eastAsia="zh-CN"/>
        </w:rPr>
        <w:t>97.22</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报告肺结核患者和疑似肺结核患者的总体到位率达到95%，病原学阳性肺结核患者的密切接触者筛查率达到95%，肺结核患者病原学阳性率达到50%，肺结核患者成功治疗率达到90%，病人规则服药率达到90%，新生入学肺结核筛查率达到95%，符合条件老年人意外保险参保率</w:t>
      </w:r>
      <w:r>
        <w:rPr>
          <w:rFonts w:hint="eastAsia" w:ascii="仿宋_GB2312" w:hAnsi="Times New Roman" w:eastAsia="仿宋_GB2312" w:cs="Times New Roman"/>
          <w:sz w:val="32"/>
          <w:szCs w:val="32"/>
          <w:lang w:val="en-US" w:eastAsia="zh-CN"/>
        </w:rPr>
        <w:t>100%。</w:t>
      </w:r>
    </w:p>
    <w:p>
      <w:pPr>
        <w:numPr>
          <w:ilvl w:val="0"/>
          <w:numId w:val="1"/>
        </w:numPr>
        <w:spacing w:line="592" w:lineRule="exact"/>
        <w:ind w:left="0" w:leftChars="0"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项目实施情况分析</w:t>
      </w:r>
    </w:p>
    <w:p>
      <w:pPr>
        <w:numPr>
          <w:ilvl w:val="0"/>
          <w:numId w:val="0"/>
        </w:numPr>
        <w:spacing w:line="592" w:lineRule="exact"/>
        <w:ind w:firstLine="640" w:firstLineChars="200"/>
        <w:rPr>
          <w:rFonts w:hint="eastAsia" w:ascii="仿宋" w:hAnsi="仿宋" w:eastAsia="仿宋" w:cs="仿宋"/>
          <w:b w:val="0"/>
          <w:bCs w:val="0"/>
          <w:color w:val="000000"/>
          <w:sz w:val="32"/>
          <w:szCs w:val="32"/>
          <w:lang w:val="en-US" w:eastAsia="zh-CN"/>
        </w:rPr>
      </w:pPr>
      <w:r>
        <w:rPr>
          <w:rFonts w:hint="eastAsia" w:ascii="仿宋" w:hAnsi="仿宋" w:eastAsia="仿宋" w:cs="仿宋"/>
          <w:b w:val="0"/>
          <w:bCs w:val="0"/>
          <w:color w:val="000000"/>
          <w:sz w:val="32"/>
          <w:szCs w:val="32"/>
          <w:lang w:val="en-US" w:eastAsia="zh-CN"/>
        </w:rPr>
        <w:t xml:space="preserve"> </w:t>
      </w:r>
      <w:r>
        <w:rPr>
          <w:rFonts w:hint="eastAsia" w:ascii="仿宋" w:hAnsi="仿宋" w:eastAsia="仿宋" w:cs="仿宋"/>
          <w:b w:val="0"/>
          <w:bCs w:val="0"/>
          <w:color w:val="000000"/>
          <w:sz w:val="32"/>
          <w:szCs w:val="32"/>
        </w:rPr>
        <w:t>202</w:t>
      </w:r>
      <w:r>
        <w:rPr>
          <w:rFonts w:hint="eastAsia" w:ascii="仿宋" w:hAnsi="仿宋" w:eastAsia="仿宋" w:cs="仿宋"/>
          <w:b w:val="0"/>
          <w:bCs w:val="0"/>
          <w:color w:val="000000"/>
          <w:sz w:val="32"/>
          <w:szCs w:val="32"/>
          <w:lang w:val="en-US" w:eastAsia="zh-CN"/>
        </w:rPr>
        <w:t>2</w:t>
      </w:r>
      <w:r>
        <w:rPr>
          <w:rFonts w:hint="eastAsia" w:ascii="仿宋" w:hAnsi="仿宋" w:eastAsia="仿宋" w:cs="仿宋"/>
          <w:b w:val="0"/>
          <w:bCs w:val="0"/>
          <w:color w:val="000000"/>
          <w:sz w:val="32"/>
          <w:szCs w:val="32"/>
        </w:rPr>
        <w:t>年度</w:t>
      </w:r>
      <w:r>
        <w:rPr>
          <w:rFonts w:hint="eastAsia" w:ascii="仿宋" w:hAnsi="仿宋" w:eastAsia="仿宋" w:cs="仿宋"/>
          <w:b w:val="0"/>
          <w:bCs w:val="0"/>
          <w:color w:val="000000"/>
          <w:sz w:val="32"/>
          <w:szCs w:val="32"/>
          <w:lang w:eastAsia="zh-CN"/>
        </w:rPr>
        <w:t>卫生健康事业专项年初预算</w:t>
      </w:r>
      <w:r>
        <w:rPr>
          <w:rFonts w:hint="eastAsia" w:ascii="仿宋" w:hAnsi="仿宋" w:eastAsia="仿宋" w:cs="仿宋"/>
          <w:b w:val="0"/>
          <w:bCs w:val="0"/>
          <w:color w:val="000000"/>
          <w:sz w:val="32"/>
          <w:szCs w:val="32"/>
          <w:lang w:val="en-US" w:eastAsia="zh-CN"/>
        </w:rPr>
        <w:t>75万元，全年实际实际支出75万元，主要用于传染病防控16万，免疫规划18万，艾滋病防控3万，肺结核7万、职业病防治4万、中医药事业发展2万、尘肺病防治攻坚2万、医调委、医疗纠纷调处中心经费3万、老年人优待证发放管理及意外保险15万、健康大通湖行动5万。</w:t>
      </w:r>
    </w:p>
    <w:p>
      <w:pPr>
        <w:numPr>
          <w:ilvl w:val="0"/>
          <w:numId w:val="0"/>
        </w:numPr>
        <w:spacing w:line="592" w:lineRule="exact"/>
        <w:ind w:firstLine="640" w:firstLineChars="200"/>
        <w:rPr>
          <w:rFonts w:hint="eastAsia" w:ascii="黑体" w:hAnsi="黑体" w:eastAsia="黑体" w:cs="仿宋_GB2312"/>
          <w:b w:val="0"/>
          <w:bCs w:val="0"/>
          <w:color w:val="000000"/>
          <w:sz w:val="32"/>
          <w:szCs w:val="32"/>
        </w:rPr>
      </w:pPr>
      <w:r>
        <w:rPr>
          <w:rFonts w:hint="eastAsia" w:ascii="黑体" w:hAnsi="黑体" w:eastAsia="黑体" w:cs="仿宋_GB2312"/>
          <w:b w:val="0"/>
          <w:bCs w:val="0"/>
          <w:color w:val="000000"/>
          <w:sz w:val="32"/>
          <w:szCs w:val="32"/>
        </w:rPr>
        <w:t>二、绩效评价工作情况</w:t>
      </w:r>
    </w:p>
    <w:p>
      <w:pPr>
        <w:spacing w:line="592" w:lineRule="exact"/>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（一）绩效评价目的</w:t>
      </w:r>
    </w:p>
    <w:p>
      <w:pPr>
        <w:spacing w:line="592" w:lineRule="exact"/>
        <w:ind w:firstLine="640" w:firstLineChars="200"/>
        <w:rPr>
          <w:rFonts w:hint="eastAsia" w:ascii="仿宋" w:hAnsi="仿宋" w:eastAsia="仿宋" w:cs="仿宋"/>
          <w:b w:val="0"/>
          <w:bCs w:val="0"/>
          <w:color w:val="000000"/>
          <w:sz w:val="32"/>
          <w:szCs w:val="32"/>
          <w:lang w:eastAsia="zh-CN"/>
        </w:rPr>
      </w:pPr>
      <w:r>
        <w:rPr>
          <w:rFonts w:hint="eastAsia" w:ascii="仿宋" w:hAnsi="仿宋" w:eastAsia="仿宋" w:cs="仿宋"/>
          <w:b w:val="0"/>
          <w:bCs w:val="0"/>
          <w:color w:val="000000"/>
          <w:sz w:val="32"/>
          <w:szCs w:val="32"/>
        </w:rPr>
        <w:t>为规范和加强专项资金管理，切实提高专项资金的使用绩效和管理水平，进一步做好全年</w:t>
      </w:r>
      <w:r>
        <w:rPr>
          <w:rFonts w:hint="eastAsia" w:ascii="仿宋" w:hAnsi="仿宋" w:eastAsia="仿宋" w:cs="仿宋"/>
          <w:b w:val="0"/>
          <w:bCs w:val="0"/>
          <w:color w:val="000000"/>
          <w:sz w:val="32"/>
          <w:szCs w:val="32"/>
          <w:lang w:eastAsia="zh-CN"/>
        </w:rPr>
        <w:t>卫生事业专项</w:t>
      </w:r>
      <w:r>
        <w:rPr>
          <w:rFonts w:hint="eastAsia" w:ascii="仿宋" w:hAnsi="仿宋" w:eastAsia="仿宋" w:cs="仿宋"/>
          <w:b w:val="0"/>
          <w:bCs w:val="0"/>
          <w:color w:val="000000"/>
          <w:sz w:val="32"/>
          <w:szCs w:val="32"/>
        </w:rPr>
        <w:t>工作</w:t>
      </w:r>
      <w:r>
        <w:rPr>
          <w:rFonts w:hint="eastAsia" w:ascii="仿宋" w:hAnsi="仿宋" w:eastAsia="仿宋" w:cs="仿宋"/>
          <w:b w:val="0"/>
          <w:bCs w:val="0"/>
          <w:color w:val="000000"/>
          <w:sz w:val="32"/>
          <w:szCs w:val="32"/>
          <w:lang w:eastAsia="zh-CN"/>
        </w:rPr>
        <w:t>。</w:t>
      </w:r>
    </w:p>
    <w:p>
      <w:pPr>
        <w:numPr>
          <w:ilvl w:val="0"/>
          <w:numId w:val="2"/>
        </w:numPr>
        <w:spacing w:line="592" w:lineRule="exact"/>
        <w:ind w:firstLine="640" w:firstLineChars="200"/>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绩效评价工作过程</w:t>
      </w:r>
    </w:p>
    <w:p>
      <w:pPr>
        <w:numPr>
          <w:ilvl w:val="0"/>
          <w:numId w:val="0"/>
        </w:numPr>
        <w:spacing w:line="592"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在明确评价目的、项目内容的基础上，根据绩效评价规范的要求和本次评价的实际情况，拟定了绩效评价工作计划，组成了由区疾控中心牵头，联合</w:t>
      </w:r>
      <w:r>
        <w:rPr>
          <w:rFonts w:hint="eastAsia" w:ascii="仿宋" w:hAnsi="仿宋" w:eastAsia="仿宋" w:cs="仿宋"/>
          <w:b w:val="0"/>
          <w:bCs w:val="0"/>
          <w:color w:val="000000"/>
          <w:sz w:val="32"/>
          <w:szCs w:val="32"/>
          <w:lang w:eastAsia="zh-CN"/>
        </w:rPr>
        <w:t>人口监测与家庭发展股及医政医管办</w:t>
      </w:r>
      <w:r>
        <w:rPr>
          <w:rFonts w:hint="eastAsia" w:ascii="仿宋" w:hAnsi="仿宋" w:eastAsia="仿宋" w:cs="仿宋"/>
          <w:color w:val="000000"/>
          <w:sz w:val="32"/>
          <w:szCs w:val="32"/>
          <w:lang w:eastAsia="zh-CN"/>
        </w:rPr>
        <w:t>等股室组成绩效评价工作组，通过调取平台数据、查阅资料、现场核查等方式对该项目的落实情况进行了考核评估，经综合评价，评价结果为“优”。</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三、项目主要绩效及评价结论</w:t>
      </w:r>
    </w:p>
    <w:p>
      <w:pPr>
        <w:spacing w:line="592" w:lineRule="exact"/>
        <w:ind w:firstLine="640" w:firstLineChars="200"/>
        <w:rPr>
          <w:rFonts w:hint="eastAsia" w:ascii="仿宋" w:hAnsi="仿宋" w:eastAsia="仿宋" w:cs="仿宋"/>
          <w:b w:val="0"/>
          <w:bCs/>
          <w:color w:val="000000"/>
          <w:sz w:val="32"/>
          <w:szCs w:val="32"/>
          <w:lang w:eastAsia="zh-CN"/>
        </w:rPr>
      </w:pPr>
      <w:r>
        <w:rPr>
          <w:rFonts w:hint="eastAsia" w:ascii="仿宋" w:hAnsi="仿宋" w:eastAsia="仿宋" w:cs="仿宋"/>
          <w:b w:val="0"/>
          <w:bCs/>
          <w:color w:val="000000"/>
          <w:sz w:val="32"/>
          <w:szCs w:val="32"/>
          <w:lang w:eastAsia="zh-CN"/>
        </w:rPr>
        <w:t>（一）</w:t>
      </w:r>
      <w:r>
        <w:rPr>
          <w:rFonts w:hint="eastAsia" w:ascii="仿宋" w:hAnsi="仿宋" w:eastAsia="仿宋" w:cs="仿宋"/>
          <w:b w:val="0"/>
          <w:bCs/>
          <w:color w:val="000000"/>
          <w:sz w:val="32"/>
          <w:szCs w:val="32"/>
        </w:rPr>
        <w:t>项目经济性分析</w:t>
      </w:r>
    </w:p>
    <w:p>
      <w:pPr>
        <w:spacing w:line="592"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val="en-US" w:eastAsia="zh-CN"/>
        </w:rPr>
        <w:t>在资金使用上始终坚持“突出重点、服务基层、加强监管、保证效益”的原则，按照节约、合理的原则，依据基层实际工作开展情况按需分配。把“提倡勤俭节约，反对铺张浪费”贯穿整个资金的使用和管理过程。</w:t>
      </w:r>
    </w:p>
    <w:p>
      <w:pPr>
        <w:spacing w:line="592" w:lineRule="exact"/>
        <w:ind w:firstLine="640" w:firstLineChars="200"/>
        <w:rPr>
          <w:rFonts w:hint="eastAsia" w:ascii="仿宋" w:hAnsi="仿宋" w:eastAsia="仿宋" w:cs="仿宋"/>
          <w:b w:val="0"/>
          <w:bCs w:val="0"/>
          <w:color w:val="000000"/>
          <w:sz w:val="32"/>
          <w:szCs w:val="32"/>
          <w:lang w:eastAsia="zh-CN"/>
        </w:rPr>
      </w:pPr>
      <w:r>
        <w:rPr>
          <w:rFonts w:hint="eastAsia" w:ascii="仿宋" w:hAnsi="仿宋" w:eastAsia="仿宋" w:cs="仿宋"/>
          <w:b w:val="0"/>
          <w:bCs w:val="0"/>
          <w:color w:val="000000"/>
          <w:sz w:val="32"/>
          <w:szCs w:val="32"/>
          <w:lang w:eastAsia="zh-CN"/>
        </w:rPr>
        <w:t>（二）</w:t>
      </w:r>
      <w:r>
        <w:rPr>
          <w:rFonts w:hint="eastAsia" w:ascii="仿宋" w:hAnsi="仿宋" w:eastAsia="仿宋" w:cs="仿宋"/>
          <w:b w:val="0"/>
          <w:bCs w:val="0"/>
          <w:color w:val="000000"/>
          <w:sz w:val="32"/>
          <w:szCs w:val="32"/>
        </w:rPr>
        <w:t>项目效率性分析</w:t>
      </w:r>
    </w:p>
    <w:p>
      <w:pPr>
        <w:numPr>
          <w:ilvl w:val="0"/>
          <w:numId w:val="0"/>
        </w:numPr>
        <w:spacing w:line="592" w:lineRule="exact"/>
        <w:ind w:firstLine="640" w:firstLineChars="200"/>
        <w:rPr>
          <w:rFonts w:hint="eastAsia" w:ascii="仿宋" w:hAnsi="仿宋" w:eastAsia="仿宋" w:cs="仿宋"/>
          <w:b w:val="0"/>
          <w:bCs w:val="0"/>
          <w:color w:val="000000"/>
          <w:sz w:val="32"/>
          <w:szCs w:val="32"/>
          <w:lang w:eastAsia="zh-CN"/>
        </w:rPr>
      </w:pPr>
      <w:r>
        <w:rPr>
          <w:rFonts w:hint="eastAsia" w:ascii="仿宋" w:hAnsi="仿宋" w:eastAsia="仿宋" w:cs="仿宋"/>
          <w:b w:val="0"/>
          <w:bCs w:val="0"/>
          <w:color w:val="000000"/>
          <w:sz w:val="32"/>
          <w:szCs w:val="32"/>
          <w:lang w:eastAsia="zh-CN"/>
        </w:rPr>
        <w:t>202</w:t>
      </w:r>
      <w:r>
        <w:rPr>
          <w:rFonts w:hint="eastAsia" w:ascii="仿宋" w:hAnsi="仿宋" w:eastAsia="仿宋" w:cs="仿宋"/>
          <w:b w:val="0"/>
          <w:bCs w:val="0"/>
          <w:color w:val="000000"/>
          <w:sz w:val="32"/>
          <w:szCs w:val="32"/>
          <w:lang w:val="en-US" w:eastAsia="zh-CN"/>
        </w:rPr>
        <w:t>2</w:t>
      </w:r>
      <w:r>
        <w:rPr>
          <w:rFonts w:hint="eastAsia" w:ascii="仿宋" w:hAnsi="仿宋" w:eastAsia="仿宋" w:cs="仿宋"/>
          <w:b w:val="0"/>
          <w:bCs w:val="0"/>
          <w:color w:val="000000"/>
          <w:sz w:val="32"/>
          <w:szCs w:val="32"/>
          <w:lang w:eastAsia="zh-CN"/>
        </w:rPr>
        <w:t>年我区及时处置辖区传染病预警，辖区全年无突发公共卫生事件，医调委津贴发放率</w:t>
      </w:r>
      <w:r>
        <w:rPr>
          <w:rFonts w:hint="eastAsia" w:ascii="仿宋" w:hAnsi="仿宋" w:eastAsia="仿宋" w:cs="仿宋"/>
          <w:b w:val="0"/>
          <w:bCs w:val="0"/>
          <w:color w:val="000000"/>
          <w:sz w:val="32"/>
          <w:szCs w:val="32"/>
          <w:lang w:val="en-US" w:eastAsia="zh-CN"/>
        </w:rPr>
        <w:t>100%，</w:t>
      </w:r>
      <w:r>
        <w:rPr>
          <w:rFonts w:hint="eastAsia" w:eastAsia="仿宋_GB2312" w:cs="仿宋_GB2312"/>
          <w:color w:val="000000"/>
          <w:sz w:val="32"/>
          <w:szCs w:val="32"/>
          <w:lang w:val="en-US" w:eastAsia="zh-CN"/>
        </w:rPr>
        <w:t>治辖区无新增尘肺病患者，</w:t>
      </w:r>
      <w:r>
        <w:rPr>
          <w:rFonts w:hint="eastAsia" w:ascii="仿宋_GB2312" w:eastAsia="仿宋_GB2312"/>
          <w:sz w:val="32"/>
          <w:szCs w:val="32"/>
          <w:lang w:val="en-US" w:eastAsia="zh-CN"/>
        </w:rPr>
        <w:t>各预防接种单位疫苗冷链储存设备达到数量要求，艾滋病防控</w:t>
      </w:r>
      <w:r>
        <w:rPr>
          <w:rFonts w:hint="eastAsia" w:ascii="仿宋_GB2312" w:hAnsi="Times New Roman" w:eastAsia="仿宋_GB2312" w:cs="Times New Roman"/>
          <w:sz w:val="32"/>
          <w:szCs w:val="32"/>
        </w:rPr>
        <w:t>符合治疗条件的感染者和病人中接受抗病毒治疗的比例达到</w:t>
      </w:r>
      <w:r>
        <w:rPr>
          <w:rFonts w:hint="eastAsia" w:ascii="仿宋_GB2312" w:hAnsi="Times New Roman" w:eastAsia="仿宋_GB2312" w:cs="Times New Roman"/>
          <w:sz w:val="32"/>
          <w:szCs w:val="32"/>
          <w:lang w:val="en-US" w:eastAsia="zh-CN"/>
        </w:rPr>
        <w:t>94.44</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rPr>
        <w:t>艾滋病规范化随访干预比例达到</w:t>
      </w:r>
      <w:r>
        <w:rPr>
          <w:rFonts w:hint="eastAsia" w:ascii="仿宋_GB2312" w:hAnsi="Times New Roman" w:eastAsia="仿宋_GB2312" w:cs="Times New Roman"/>
          <w:sz w:val="32"/>
          <w:szCs w:val="32"/>
          <w:lang w:val="en-US" w:eastAsia="zh-CN"/>
        </w:rPr>
        <w:t>97.22</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报告肺结核患者和疑似肺结核患者的总体到位率达到95%，病原学阳性肺结核患者的密切接触者筛查率达到95%，肺结核患者病原学阳性率达到50%，肺结核患者成功治疗率达到90%，病人规则服药率达到90%，新生入学肺结核筛查率达到95%，符合条件老年人意外保险参保率</w:t>
      </w:r>
      <w:r>
        <w:rPr>
          <w:rFonts w:hint="eastAsia" w:ascii="仿宋_GB2312" w:hAnsi="Times New Roman" w:eastAsia="仿宋_GB2312" w:cs="Times New Roman"/>
          <w:sz w:val="32"/>
          <w:szCs w:val="32"/>
          <w:lang w:val="en-US" w:eastAsia="zh-CN"/>
        </w:rPr>
        <w:t>100%。</w:t>
      </w:r>
    </w:p>
    <w:p>
      <w:pPr>
        <w:spacing w:line="592" w:lineRule="exact"/>
        <w:ind w:firstLine="643" w:firstLineChars="200"/>
        <w:rPr>
          <w:rFonts w:hint="eastAsia" w:ascii="楷体" w:hAnsi="楷体" w:eastAsia="楷体" w:cs="楷体"/>
          <w:b/>
          <w:bCs/>
          <w:color w:val="000000"/>
          <w:sz w:val="32"/>
          <w:szCs w:val="32"/>
          <w:lang w:eastAsia="zh-CN"/>
        </w:rPr>
      </w:pPr>
      <w:r>
        <w:rPr>
          <w:rFonts w:hint="eastAsia" w:ascii="楷体" w:hAnsi="楷体" w:eastAsia="楷体" w:cs="楷体"/>
          <w:b/>
          <w:bCs/>
          <w:color w:val="000000"/>
          <w:sz w:val="32"/>
          <w:szCs w:val="32"/>
          <w:lang w:eastAsia="zh-CN"/>
        </w:rPr>
        <w:t>（三）</w:t>
      </w:r>
      <w:r>
        <w:rPr>
          <w:rFonts w:hint="eastAsia" w:ascii="楷体" w:hAnsi="楷体" w:eastAsia="楷体" w:cs="楷体"/>
          <w:b/>
          <w:bCs/>
          <w:color w:val="000000"/>
          <w:sz w:val="32"/>
          <w:szCs w:val="32"/>
        </w:rPr>
        <w:t>项目效益性分析</w:t>
      </w:r>
    </w:p>
    <w:p>
      <w:pPr>
        <w:keepNext w:val="0"/>
        <w:keepLines w:val="0"/>
        <w:pageBreakBefore w:val="0"/>
        <w:widowControl w:val="0"/>
        <w:kinsoku/>
        <w:wordWrap/>
        <w:overflowPunct/>
        <w:topLinePunct w:val="0"/>
        <w:autoSpaceDE/>
        <w:autoSpaceDN/>
        <w:bidi w:val="0"/>
        <w:adjustRightInd/>
        <w:snapToGrid/>
        <w:spacing w:line="592" w:lineRule="exact"/>
        <w:ind w:left="0" w:leftChars="0" w:firstLine="640" w:firstLineChars="200"/>
        <w:jc w:val="left"/>
        <w:textAlignment w:val="auto"/>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从经济效益上看，促进了全区医疗卫生和计生事业的发展；社会效益上，居民健康保健意识和健康知识知晓率逐步提高，有效的维护了社会公共安全，从生态效益上看，医疗废物处理全部完成，可持续性影响上，促进了医疗事业的长期发，群众满意度高。</w:t>
      </w:r>
    </w:p>
    <w:p>
      <w:pPr>
        <w:numPr>
          <w:ilvl w:val="0"/>
          <w:numId w:val="3"/>
        </w:numPr>
        <w:spacing w:line="592" w:lineRule="exact"/>
        <w:ind w:firstLine="640" w:firstLineChars="200"/>
        <w:rPr>
          <w:rFonts w:hint="eastAsia" w:ascii="仿宋" w:hAnsi="仿宋" w:eastAsia="仿宋" w:cs="仿宋"/>
          <w:bCs/>
          <w:color w:val="000000"/>
          <w:sz w:val="32"/>
          <w:szCs w:val="32"/>
          <w:lang w:val="en-US" w:eastAsia="zh-CN"/>
        </w:rPr>
      </w:pPr>
      <w:r>
        <w:rPr>
          <w:rFonts w:hint="eastAsia" w:ascii="黑体" w:hAnsi="黑体" w:eastAsia="黑体" w:cs="仿宋_GB2312"/>
          <w:bCs/>
          <w:color w:val="000000"/>
          <w:sz w:val="32"/>
          <w:szCs w:val="32"/>
        </w:rPr>
        <w:t>存在的问题</w:t>
      </w:r>
    </w:p>
    <w:p>
      <w:pPr>
        <w:keepNext w:val="0"/>
        <w:keepLines w:val="0"/>
        <w:pageBreakBefore w:val="0"/>
        <w:widowControl w:val="0"/>
        <w:numPr>
          <w:ilvl w:val="0"/>
          <w:numId w:val="0"/>
        </w:numPr>
        <w:kinsoku/>
        <w:wordWrap/>
        <w:overflowPunct w:val="0"/>
        <w:topLinePunct w:val="0"/>
        <w:autoSpaceDE w:val="0"/>
        <w:autoSpaceDN w:val="0"/>
        <w:bidi w:val="0"/>
        <w:adjustRightInd/>
        <w:snapToGrid/>
        <w:spacing w:line="592" w:lineRule="exact"/>
        <w:ind w:firstLine="640" w:firstLineChars="200"/>
        <w:textAlignment w:val="auto"/>
        <w:rPr>
          <w:rFonts w:hint="eastAsia" w:ascii="仿宋" w:hAnsi="仿宋" w:eastAsia="仿宋" w:cs="仿宋"/>
          <w:bCs/>
          <w:color w:val="000000"/>
          <w:sz w:val="32"/>
          <w:szCs w:val="32"/>
          <w:lang w:val="en-US" w:eastAsia="zh-CN"/>
        </w:rPr>
      </w:pPr>
      <w:r>
        <w:rPr>
          <w:rFonts w:hint="eastAsia" w:ascii="仿宋" w:hAnsi="仿宋" w:eastAsia="仿宋" w:cs="仿宋"/>
          <w:bCs/>
          <w:color w:val="000000"/>
          <w:sz w:val="32"/>
          <w:szCs w:val="32"/>
          <w:lang w:val="en-US" w:eastAsia="zh-CN"/>
        </w:rPr>
        <w:t>一是预算编制欠严谨，支出项目细化量化不够，预算调整过大，项目不够完整、细化；二是由于疾病预防工作要求一年比一年细，公共卫生投入越来越多，经费存在紧缺现象。</w:t>
      </w:r>
    </w:p>
    <w:p>
      <w:pPr>
        <w:numPr>
          <w:ilvl w:val="0"/>
          <w:numId w:val="4"/>
        </w:num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有关建议</w:t>
      </w:r>
    </w:p>
    <w:p>
      <w:pPr>
        <w:spacing w:line="592" w:lineRule="exact"/>
        <w:ind w:firstLine="640" w:firstLineChars="200"/>
        <w:rPr>
          <w:rFonts w:hint="eastAsia" w:ascii="仿宋" w:hAnsi="仿宋" w:eastAsia="仿宋" w:cs="仿宋"/>
          <w:bCs/>
          <w:color w:val="000000"/>
          <w:sz w:val="32"/>
          <w:szCs w:val="32"/>
          <w:lang w:val="en-US" w:eastAsia="zh-CN"/>
        </w:rPr>
      </w:pPr>
      <w:r>
        <w:rPr>
          <w:rFonts w:hint="eastAsia" w:ascii="黑体" w:hAnsi="黑体" w:eastAsia="黑体" w:cs="仿宋_GB2312"/>
          <w:bCs/>
          <w:color w:val="000000"/>
          <w:sz w:val="32"/>
          <w:szCs w:val="32"/>
          <w:lang w:val="en-US" w:eastAsia="zh-CN"/>
        </w:rPr>
        <w:t xml:space="preserve"> </w:t>
      </w:r>
      <w:r>
        <w:rPr>
          <w:rFonts w:hint="eastAsia" w:ascii="仿宋" w:hAnsi="仿宋" w:eastAsia="仿宋" w:cs="仿宋"/>
          <w:bCs/>
          <w:color w:val="000000"/>
          <w:sz w:val="32"/>
          <w:szCs w:val="32"/>
          <w:lang w:val="en-US" w:eastAsia="zh-CN"/>
        </w:rPr>
        <w:t>一是细化预算编制工作，认真做好预算编制工作进一步加强内部机构的预算管理意识，严格按照编制的相关制度和要求，奉着“勤俭节约、确保运行”的原则进行预算编制，编制范围尽可能的全面、不漏项，进一步提高预算编制的科学性、合理性、严谨性和可控性；二是争取相关经费，建议增加对结核病防控经费的投入。</w:t>
      </w:r>
    </w:p>
    <w:p>
      <w:pPr>
        <w:spacing w:line="592" w:lineRule="exact"/>
        <w:ind w:firstLine="640" w:firstLineChars="200"/>
        <w:rPr>
          <w:rFonts w:hint="eastAsia" w:ascii="黑体" w:hAnsi="黑体" w:eastAsia="黑体" w:cs="仿宋_GB2312"/>
          <w:bCs/>
          <w:color w:val="000000"/>
          <w:sz w:val="32"/>
          <w:szCs w:val="32"/>
        </w:rPr>
      </w:pPr>
      <w:r>
        <w:rPr>
          <w:rFonts w:hint="eastAsia" w:ascii="黑体" w:hAnsi="黑体" w:eastAsia="黑体" w:cs="仿宋_GB2312"/>
          <w:bCs/>
          <w:color w:val="000000"/>
          <w:sz w:val="32"/>
          <w:szCs w:val="32"/>
        </w:rPr>
        <w:t>六、其他需要说明的问题</w:t>
      </w:r>
    </w:p>
    <w:p>
      <w:pPr>
        <w:tabs>
          <w:tab w:val="left" w:pos="1502"/>
          <w:tab w:val="left" w:pos="2455"/>
          <w:tab w:val="left" w:pos="5327"/>
        </w:tabs>
        <w:jc w:val="left"/>
        <w:rPr>
          <w:rFonts w:hint="eastAsia" w:ascii="仿宋" w:hAnsi="仿宋" w:eastAsia="仿宋" w:cs="仿宋"/>
          <w:sz w:val="32"/>
          <w:szCs w:val="32"/>
          <w:lang w:val="en-US" w:eastAsia="zh-CN"/>
        </w:rPr>
      </w:pPr>
      <w:r>
        <w:rPr>
          <w:rFonts w:hint="eastAsia"/>
          <w:sz w:val="32"/>
          <w:szCs w:val="32"/>
          <w:lang w:val="en-US" w:eastAsia="zh-CN"/>
        </w:rPr>
        <w:t xml:space="preserve"> </w:t>
      </w:r>
      <w:r>
        <w:rPr>
          <w:rFonts w:hint="eastAsia" w:ascii="仿宋" w:hAnsi="仿宋" w:eastAsia="仿宋" w:cs="仿宋"/>
          <w:sz w:val="32"/>
          <w:szCs w:val="32"/>
          <w:lang w:val="en-US" w:eastAsia="zh-CN"/>
        </w:rPr>
        <w:t xml:space="preserve">  无</w:t>
      </w:r>
    </w:p>
    <w:p>
      <w:pPr>
        <w:tabs>
          <w:tab w:val="left" w:pos="1502"/>
          <w:tab w:val="left" w:pos="2455"/>
          <w:tab w:val="left" w:pos="5327"/>
        </w:tabs>
        <w:jc w:val="left"/>
        <w:rPr>
          <w:rFonts w:hint="eastAsia" w:ascii="仿宋" w:hAnsi="仿宋" w:eastAsia="仿宋" w:cs="仿宋"/>
          <w:sz w:val="32"/>
          <w:szCs w:val="32"/>
          <w:lang w:val="en-US" w:eastAsia="zh-CN"/>
        </w:rPr>
      </w:pPr>
    </w:p>
    <w:p>
      <w:pPr>
        <w:tabs>
          <w:tab w:val="left" w:pos="1502"/>
          <w:tab w:val="left" w:pos="2455"/>
          <w:tab w:val="left" w:pos="5327"/>
        </w:tabs>
        <w:jc w:val="left"/>
        <w:rPr>
          <w:rFonts w:hint="default" w:ascii="仿宋" w:hAnsi="仿宋" w:eastAsia="仿宋" w:cs="仿宋"/>
          <w:sz w:val="32"/>
          <w:szCs w:val="32"/>
          <w:lang w:val="en-US" w:eastAsia="zh-CN"/>
        </w:rPr>
      </w:pPr>
    </w:p>
    <w:p>
      <w:pPr>
        <w:tabs>
          <w:tab w:val="left" w:pos="1502"/>
          <w:tab w:val="left" w:pos="2455"/>
          <w:tab w:val="left" w:pos="5327"/>
        </w:tabs>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益阳市大通湖区教育和卫生健康局</w:t>
      </w:r>
    </w:p>
    <w:p>
      <w:pPr>
        <w:tabs>
          <w:tab w:val="left" w:pos="1502"/>
          <w:tab w:val="left" w:pos="2455"/>
          <w:tab w:val="left" w:pos="5327"/>
        </w:tabs>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2022年5月23日</w:t>
      </w:r>
    </w:p>
    <w:p>
      <w:pPr>
        <w:tabs>
          <w:tab w:val="left" w:pos="1502"/>
          <w:tab w:val="left" w:pos="2455"/>
          <w:tab w:val="left" w:pos="5327"/>
        </w:tabs>
        <w:jc w:val="left"/>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val="0"/>
        <w:autoSpaceDN w:val="0"/>
        <w:bidi w:val="0"/>
        <w:adjustRightInd/>
        <w:snapToGrid/>
        <w:spacing w:line="592" w:lineRule="exact"/>
        <w:jc w:val="center"/>
        <w:textAlignment w:val="auto"/>
        <w:rPr>
          <w:rFonts w:hint="eastAsia" w:ascii="方正大标宋简体" w:eastAsia="方正大标宋简体" w:cs="仿宋_GB2312"/>
          <w:color w:val="000000"/>
          <w:sz w:val="44"/>
          <w:szCs w:val="44"/>
        </w:rPr>
      </w:pPr>
      <w:r>
        <w:rPr>
          <w:rFonts w:hint="eastAsia" w:ascii="方正大标宋简体" w:eastAsia="方正大标宋简体" w:cs="仿宋_GB2312"/>
          <w:color w:val="000000"/>
          <w:sz w:val="44"/>
          <w:szCs w:val="44"/>
        </w:rPr>
        <w:t>20</w:t>
      </w:r>
      <w:r>
        <w:rPr>
          <w:rFonts w:hint="eastAsia" w:ascii="方正大标宋简体" w:eastAsia="方正大标宋简体" w:cs="仿宋_GB2312"/>
          <w:color w:val="000000"/>
          <w:sz w:val="44"/>
          <w:szCs w:val="44"/>
          <w:lang w:val="en-US" w:eastAsia="zh-CN"/>
        </w:rPr>
        <w:t>22</w:t>
      </w:r>
      <w:r>
        <w:rPr>
          <w:rFonts w:hint="eastAsia" w:ascii="方正大标宋简体" w:eastAsia="方正大标宋简体" w:cs="仿宋_GB2312"/>
          <w:color w:val="000000"/>
          <w:sz w:val="44"/>
          <w:szCs w:val="44"/>
        </w:rPr>
        <w:t>年项目支出绩效自评指标计分表</w:t>
      </w:r>
    </w:p>
    <w:tbl>
      <w:tblPr>
        <w:tblStyle w:val="7"/>
        <w:tblW w:w="10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97"/>
        <w:gridCol w:w="1054"/>
        <w:gridCol w:w="1054"/>
        <w:gridCol w:w="932"/>
        <w:gridCol w:w="3000"/>
        <w:gridCol w:w="3353"/>
        <w:gridCol w:w="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37" w:hRule="atLeast"/>
          <w:tblHeader/>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一级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二级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三级</w:t>
            </w:r>
          </w:p>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指标</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自评分</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具体指标</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ascii="宋体" w:hAnsi="宋体" w:cs="仿宋_GB2312"/>
                <w:b/>
                <w:bCs/>
                <w:color w:val="000000"/>
                <w:kern w:val="0"/>
                <w:sz w:val="24"/>
              </w:rPr>
              <w:t>评价标准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
                <w:bCs/>
                <w:color w:val="000000"/>
                <w:kern w:val="0"/>
                <w:sz w:val="24"/>
              </w:rPr>
            </w:pPr>
            <w:r>
              <w:rPr>
                <w:rFonts w:hint="eastAsia" w:cs="宋体"/>
                <w:b/>
                <w:color w:val="000000"/>
                <w:kern w:val="0"/>
                <w:sz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3"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策</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（15分）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过程</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依据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有关法律法规的明确规定；某一经济社会发展规划；某部门年度工作计划；某一实际问题和需求</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符合法律法规（1分）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符合经济社会发展规划（1分）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部门年度工作计划（1分）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针对某一实际问题和需求（1分）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84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决策</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程序</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项目符合申报条件；申报、批复程序符合相关管理办法；项目调整履行了相应手续</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符合申报条件（2分）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项目申报、批复程序符合管理办法（1分）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项目调整履行了相应手续（1分）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474"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p>
            <w:pPr>
              <w:widowControl/>
              <w:spacing w:line="300" w:lineRule="exact"/>
              <w:jc w:val="center"/>
              <w:rPr>
                <w:rFonts w:hint="eastAsia" w:ascii="宋体" w:hAnsi="宋体" w:cs="仿宋_GB2312"/>
                <w:bCs/>
                <w:color w:val="000000"/>
                <w:kern w:val="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办法</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根据需要制定的相关资金管理办法；管理办法中有明确资金分配办法；资金分配因素全面、合理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有相应的资金管理办法（1分）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办法健全、规范（1分）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因素全面合理（1分）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5"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分配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结果</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资金分配符合相关管理办法；分配结果公平合理</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符合分配办法（2分）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分配公平合理（2分）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25"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 xml:space="preserve">（25分） </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到位率</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实际到位/计划到位*100%</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根据项目资金的实际到位率计算得分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00"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到位</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资金及时到位；若未及时到位，是否影响项目进度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到位及时（2分）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不及时但未影响项目进度（1分）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不及时并影响项目进度（0.5分）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670" w:hRule="atLeast"/>
          <w:jc w:val="center"/>
        </w:trPr>
        <w:tc>
          <w:tcPr>
            <w:tcW w:w="797" w:type="dxa"/>
            <w:vMerge w:val="continue"/>
            <w:tcBorders>
              <w:left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资金</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使用</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（7分）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支出依据合规，无虚列项目支出情况；无截留挤占挪用情况；无超标准开支情况；无超预算情况</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虚列套取扣4-7分 </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依据不合规扣2分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截留、挤占、挪用扣3-6分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超标准开支扣2-5分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超预算扣2-5分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4"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财务</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资金管理、费用支出等制度健全；制度执行严格；会计核算规范</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财务制度健全（1分）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严格执行制度（1分）</w:t>
            </w:r>
          </w:p>
          <w:p>
            <w:pPr>
              <w:widowControl/>
              <w:spacing w:line="300"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会计核算规范（1分）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理</w:t>
            </w:r>
          </w:p>
          <w:p>
            <w:pPr>
              <w:spacing w:line="306" w:lineRule="exact"/>
              <w:rPr>
                <w:rFonts w:hint="eastAsia" w:ascii="宋体" w:hAnsi="宋体" w:cs="仿宋_GB2312"/>
                <w:bCs/>
                <w:color w:val="000000"/>
                <w:sz w:val="24"/>
              </w:rPr>
            </w:pPr>
            <w:r>
              <w:rPr>
                <w:rFonts w:hint="eastAsia" w:ascii="宋体" w:hAnsi="宋体" w:cs="仿宋_GB2312"/>
                <w:bCs/>
                <w:color w:val="000000"/>
                <w:kern w:val="0"/>
                <w:sz w:val="24"/>
              </w:rPr>
              <w:t>（25分）</w:t>
            </w:r>
          </w:p>
        </w:tc>
        <w:tc>
          <w:tcPr>
            <w:tcW w:w="1054" w:type="dxa"/>
            <w:vMerge w:val="restart"/>
            <w:tcBorders>
              <w:top w:val="single" w:color="auto" w:sz="4" w:space="0"/>
              <w:left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（10分）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组织</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机构</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left"/>
              <w:rPr>
                <w:rFonts w:hint="eastAsia" w:ascii="宋体" w:hAnsi="宋体" w:cs="仿宋_GB2312"/>
                <w:bCs/>
                <w:color w:val="000000"/>
                <w:kern w:val="0"/>
                <w:sz w:val="24"/>
              </w:rPr>
            </w:pPr>
            <w:r>
              <w:rPr>
                <w:rFonts w:hint="eastAsia" w:ascii="宋体" w:hAnsi="宋体" w:cs="仿宋_GB2312"/>
                <w:bCs/>
                <w:color w:val="000000"/>
                <w:kern w:val="0"/>
                <w:sz w:val="24"/>
              </w:rPr>
              <w:t>机构健全、分工明确  （2分）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ind w:left="240" w:hanging="240" w:hangingChars="100"/>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50" w:hRule="atLeast"/>
          <w:jc w:val="center"/>
        </w:trPr>
        <w:tc>
          <w:tcPr>
            <w:tcW w:w="797"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实施</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（3分）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项目按计划开工；按计划进度开展；按计划完工</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按计划开工（1分）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 xml:space="preserve">按计划开展（1分）   </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按计划完工（1分）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left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管理</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制度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项目管理制度健全；严格执行相关管理制度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管理制度健全（2分）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制度执行严格（3分）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绩</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（60分）</w:t>
            </w: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（20分）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数量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根据该项目实际，标识具体明确的产出数量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对照绩效目标，按实际产出数量率计算得分（5分）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质量</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根据该项目实际，标识具体明确的产出质量</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对照绩效目标，按实际产出质量率计算得分（5分）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时效</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根据该项目实际，标识具体明确的产出时效</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对照绩效目标，按实际产出时效率计算得分（5分）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产出</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成本</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（5分）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根据该项目实际，标识具体明确的产出成本</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对照绩效目标，按实际产出成本率计算得分（5分）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990"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rPr>
                <w:rFonts w:hint="eastAsia" w:ascii="宋体" w:hAnsi="宋体" w:cs="仿宋_GB2312"/>
                <w:bCs/>
                <w:color w:val="000000"/>
                <w:kern w:val="0"/>
                <w:sz w:val="24"/>
              </w:rPr>
            </w:pP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项目</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效果</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（40分）</w:t>
            </w: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经济</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根据项目实际，标识所产生的直接或间接的经济效益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对照绩效目标，按经济效益实现程度计算得分（8分）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2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社会</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根据项目实际，标识所产生的社会效益</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对照绩效目标，按社会效益实现程度计算得分（8分）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81"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环境</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效益</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6</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根据项目实际，标识对环境所产生的积极或消极影响</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对照绩效目标，按对环境所产生的实际影响程度计算得分（8分）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可持续影响</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项目产出能持续运用；项目运行所依赖的政策制度能持续执行</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项目产出能持续运用（4分）</w:t>
            </w:r>
          </w:p>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所依赖的政策制度能持续执行（4分）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797"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306" w:lineRule="exact"/>
              <w:rPr>
                <w:rFonts w:hint="eastAsia" w:ascii="宋体" w:hAnsi="宋体" w:cs="仿宋_GB2312"/>
                <w:bCs/>
                <w:color w:val="000000"/>
                <w:sz w:val="24"/>
              </w:rPr>
            </w:pPr>
          </w:p>
        </w:tc>
        <w:tc>
          <w:tcPr>
            <w:tcW w:w="1054"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服务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对象</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满意度</w:t>
            </w:r>
          </w:p>
          <w:p>
            <w:pPr>
              <w:widowControl/>
              <w:spacing w:line="306"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（8分）</w:t>
            </w:r>
          </w:p>
        </w:tc>
        <w:tc>
          <w:tcPr>
            <w:tcW w:w="932"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c>
          <w:tcPr>
            <w:tcW w:w="3000"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项目预期服务对象对项目实施的满意程度</w:t>
            </w:r>
          </w:p>
        </w:tc>
        <w:tc>
          <w:tcPr>
            <w:tcW w:w="3353"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left"/>
              <w:rPr>
                <w:rFonts w:hint="eastAsia" w:ascii="宋体" w:hAnsi="宋体" w:cs="仿宋_GB2312"/>
                <w:bCs/>
                <w:color w:val="000000"/>
                <w:kern w:val="0"/>
                <w:sz w:val="24"/>
              </w:rPr>
            </w:pPr>
            <w:r>
              <w:rPr>
                <w:rFonts w:hint="eastAsia" w:ascii="宋体" w:hAnsi="宋体" w:cs="仿宋_GB2312"/>
                <w:bCs/>
                <w:color w:val="000000"/>
                <w:kern w:val="0"/>
                <w:sz w:val="24"/>
              </w:rPr>
              <w:t>按收集到的项目服务对象的满意率计算得分（8分）</w:t>
            </w:r>
          </w:p>
        </w:tc>
        <w:tc>
          <w:tcPr>
            <w:tcW w:w="355" w:type="dxa"/>
            <w:tcBorders>
              <w:top w:val="single" w:color="auto" w:sz="4" w:space="0"/>
              <w:left w:val="single" w:color="auto" w:sz="4" w:space="0"/>
              <w:bottom w:val="single" w:color="auto" w:sz="4" w:space="0"/>
              <w:right w:val="single" w:color="auto" w:sz="4" w:space="0"/>
            </w:tcBorders>
            <w:noWrap w:val="0"/>
            <w:vAlign w:val="center"/>
          </w:tcPr>
          <w:p>
            <w:pPr>
              <w:widowControl/>
              <w:spacing w:line="306" w:lineRule="exact"/>
              <w:jc w:val="center"/>
              <w:rPr>
                <w:rFonts w:hint="eastAsia"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67" w:hRule="atLeast"/>
          <w:jc w:val="center"/>
        </w:trPr>
        <w:tc>
          <w:tcPr>
            <w:tcW w:w="2905"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rPr>
            </w:pPr>
            <w:r>
              <w:rPr>
                <w:rFonts w:hint="eastAsia" w:ascii="宋体" w:hAnsi="宋体" w:cs="仿宋_GB2312"/>
                <w:bCs/>
                <w:color w:val="000000"/>
                <w:kern w:val="0"/>
                <w:sz w:val="24"/>
              </w:rPr>
              <w:t>总分</w:t>
            </w:r>
          </w:p>
        </w:tc>
        <w:tc>
          <w:tcPr>
            <w:tcW w:w="7640"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宋体" w:hAnsi="宋体" w:cs="仿宋_GB2312"/>
                <w:bCs/>
                <w:color w:val="000000"/>
                <w:kern w:val="0"/>
                <w:sz w:val="24"/>
                <w:lang w:val="en-US" w:eastAsia="zh-CN"/>
              </w:rPr>
            </w:pPr>
          </w:p>
          <w:p>
            <w:pPr>
              <w:widowControl/>
              <w:spacing w:line="260" w:lineRule="exact"/>
              <w:jc w:val="center"/>
              <w:rPr>
                <w:rFonts w:hint="default" w:ascii="宋体" w:hAnsi="宋体" w:eastAsia="宋体" w:cs="仿宋_GB2312"/>
                <w:bCs/>
                <w:color w:val="000000"/>
                <w:kern w:val="0"/>
                <w:sz w:val="24"/>
                <w:lang w:val="en-US" w:eastAsia="zh-CN"/>
              </w:rPr>
            </w:pPr>
            <w:r>
              <w:rPr>
                <w:rFonts w:hint="eastAsia" w:ascii="宋体" w:hAnsi="宋体" w:cs="仿宋_GB2312"/>
                <w:bCs/>
                <w:color w:val="000000"/>
                <w:kern w:val="0"/>
                <w:sz w:val="24"/>
                <w:lang w:val="en-US" w:eastAsia="zh-CN"/>
              </w:rPr>
              <w:t>98</w:t>
            </w:r>
          </w:p>
          <w:p>
            <w:pPr>
              <w:widowControl/>
              <w:spacing w:line="260" w:lineRule="exact"/>
              <w:jc w:val="center"/>
              <w:rPr>
                <w:rFonts w:hint="eastAsia" w:ascii="宋体" w:hAnsi="宋体" w:cs="仿宋_GB2312"/>
                <w:bCs/>
                <w:color w:val="000000"/>
                <w:kern w:val="0"/>
                <w:sz w:val="24"/>
              </w:rPr>
            </w:pPr>
          </w:p>
        </w:tc>
      </w:tr>
    </w:tbl>
    <w:p/>
    <w:p>
      <w:pPr>
        <w:tabs>
          <w:tab w:val="left" w:pos="1502"/>
          <w:tab w:val="left" w:pos="2455"/>
          <w:tab w:val="left" w:pos="5327"/>
        </w:tabs>
        <w:jc w:val="left"/>
        <w:rPr>
          <w:rFonts w:hint="eastAsia"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418DB4"/>
    <w:multiLevelType w:val="singleLevel"/>
    <w:tmpl w:val="B2418DB4"/>
    <w:lvl w:ilvl="0" w:tentative="0">
      <w:start w:val="2"/>
      <w:numFmt w:val="chineseCounting"/>
      <w:suff w:val="nothing"/>
      <w:lvlText w:val="（%1）"/>
      <w:lvlJc w:val="left"/>
      <w:rPr>
        <w:rFonts w:hint="eastAsia"/>
      </w:rPr>
    </w:lvl>
  </w:abstractNum>
  <w:abstractNum w:abstractNumId="1">
    <w:nsid w:val="CDDC7731"/>
    <w:multiLevelType w:val="singleLevel"/>
    <w:tmpl w:val="CDDC7731"/>
    <w:lvl w:ilvl="0" w:tentative="0">
      <w:start w:val="2"/>
      <w:numFmt w:val="chineseCounting"/>
      <w:suff w:val="nothing"/>
      <w:lvlText w:val="（%1）"/>
      <w:lvlJc w:val="left"/>
      <w:rPr>
        <w:rFonts w:hint="eastAsia"/>
      </w:rPr>
    </w:lvl>
  </w:abstractNum>
  <w:abstractNum w:abstractNumId="2">
    <w:nsid w:val="7889C68E"/>
    <w:multiLevelType w:val="singleLevel"/>
    <w:tmpl w:val="7889C68E"/>
    <w:lvl w:ilvl="0" w:tentative="0">
      <w:start w:val="5"/>
      <w:numFmt w:val="chineseCounting"/>
      <w:suff w:val="nothing"/>
      <w:lvlText w:val="%1、"/>
      <w:lvlJc w:val="left"/>
      <w:rPr>
        <w:rFonts w:hint="eastAsia"/>
      </w:rPr>
    </w:lvl>
  </w:abstractNum>
  <w:abstractNum w:abstractNumId="3">
    <w:nsid w:val="796CBC5B"/>
    <w:multiLevelType w:val="singleLevel"/>
    <w:tmpl w:val="796CBC5B"/>
    <w:lvl w:ilvl="0" w:tentative="0">
      <w:start w:val="4"/>
      <w:numFmt w:val="chineseCounting"/>
      <w:suff w:val="nothing"/>
      <w:lvlText w:val="%1、"/>
      <w:lvlJc w:val="left"/>
      <w:rPr>
        <w:rFonts w:hint="eastAsia" w:ascii="黑体" w:hAnsi="黑体" w:eastAsia="黑体" w:cs="黑体"/>
        <w:sz w:val="32"/>
        <w:szCs w:val="32"/>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1ZmY1ZGUyNzI2NzRlZmRhZTc4ZDQ5NzVhMjcyMzgifQ=="/>
  </w:docVars>
  <w:rsids>
    <w:rsidRoot w:val="299A7C26"/>
    <w:rsid w:val="299A7C26"/>
    <w:rsid w:val="48CB049C"/>
    <w:rsid w:val="5F1715FC"/>
    <w:rsid w:val="75A20827"/>
    <w:rsid w:val="75CD1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widowControl/>
      <w:spacing w:before="100" w:beforeAutospacing="1" w:after="100" w:afterAutospacing="1"/>
      <w:jc w:val="left"/>
      <w:outlineLvl w:val="1"/>
    </w:pPr>
    <w:rPr>
      <w:rFonts w:ascii="宋体" w:hAnsi="宋体" w:cs="宋体"/>
      <w:kern w:val="0"/>
      <w:sz w:val="36"/>
      <w:szCs w:val="3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ind w:firstLine="315"/>
    </w:pPr>
    <w:rPr>
      <w:sz w:val="24"/>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2697</Words>
  <Characters>2813</Characters>
  <Lines>0</Lines>
  <Paragraphs>0</Paragraphs>
  <TotalTime>4</TotalTime>
  <ScaleCrop>false</ScaleCrop>
  <LinksUpToDate>false</LinksUpToDate>
  <CharactersWithSpaces>2886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2022-05-27T08:27:00Z</dcterms:created>
  <dc:creator>嗯！不瘦20斤我就不改名字了</dc:creator>
  <cp:lastModifiedBy>Administrator</cp:lastModifiedBy>
  <cp:lastPrinted>2022-06-10T00:30:00Z</cp:lastPrinted>
  <dcterms:modified xsi:type="dcterms:W3CDTF">2023-05-17T02:35:59Z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C44D8469D83146A5A140CD585F18FB16</vt:lpwstr>
  </property>
</Properties>
</file>