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beforeAutospacing="0" w:after="0" w:afterAutospacing="0" w:line="592"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eastAsia="zh-CN"/>
        </w:rPr>
        <w:t>大通湖区</w:t>
      </w:r>
      <w:r>
        <w:rPr>
          <w:rFonts w:hint="eastAsia" w:ascii="方正小标宋简体" w:hAnsi="方正小标宋简体" w:eastAsia="方正小标宋简体" w:cs="方正小标宋简体"/>
          <w:color w:val="000000"/>
          <w:sz w:val="44"/>
          <w:szCs w:val="44"/>
          <w:lang w:val="en-US" w:eastAsia="zh-CN"/>
        </w:rPr>
        <w:t>2022年</w:t>
      </w:r>
      <w:r>
        <w:rPr>
          <w:rFonts w:hint="eastAsia" w:ascii="方正小标宋简体" w:hAnsi="方正小标宋简体" w:eastAsia="方正小标宋简体" w:cs="方正小标宋简体"/>
          <w:color w:val="000000"/>
          <w:sz w:val="44"/>
          <w:szCs w:val="44"/>
          <w:lang w:eastAsia="zh-CN"/>
        </w:rPr>
        <w:t>独生子女父母退休奖励</w:t>
      </w:r>
      <w:r>
        <w:rPr>
          <w:rFonts w:hint="eastAsia" w:ascii="方正小标宋简体" w:hAnsi="方正小标宋简体" w:eastAsia="方正小标宋简体" w:cs="方正小标宋简体"/>
          <w:color w:val="000000"/>
          <w:sz w:val="44"/>
          <w:szCs w:val="44"/>
        </w:rPr>
        <w:t>绩效评价报告</w:t>
      </w:r>
    </w:p>
    <w:p>
      <w:pPr>
        <w:spacing w:line="592" w:lineRule="exact"/>
        <w:ind w:firstLine="643" w:firstLineChars="200"/>
        <w:rPr>
          <w:rFonts w:hint="eastAsia" w:eastAsia="仿宋_GB2312" w:cs="仿宋_GB2312"/>
          <w:b/>
          <w:bCs/>
          <w:color w:val="000000"/>
          <w:sz w:val="32"/>
          <w:szCs w:val="32"/>
        </w:rPr>
      </w:pPr>
    </w:p>
    <w:p>
      <w:pPr>
        <w:spacing w:line="592" w:lineRule="exact"/>
        <w:ind w:firstLine="640" w:firstLineChars="200"/>
        <w:rPr>
          <w:rFonts w:hint="eastAsia" w:eastAsia="仿宋_GB2312" w:cs="仿宋_GB2312"/>
          <w:color w:val="000000"/>
          <w:sz w:val="32"/>
          <w:szCs w:val="32"/>
        </w:rPr>
      </w:pPr>
      <w:r>
        <w:rPr>
          <w:rFonts w:hint="eastAsia" w:eastAsia="仿宋_GB2312" w:cs="仿宋_GB2312"/>
          <w:color w:val="000000"/>
          <w:sz w:val="32"/>
          <w:szCs w:val="32"/>
        </w:rPr>
        <w:t>根据《益阳市大通湖区发展改革和财政局关于做好区级预算绩效自评工作的通知》文件的要求，对我区20</w:t>
      </w:r>
      <w:r>
        <w:rPr>
          <w:rFonts w:hint="eastAsia" w:eastAsia="仿宋_GB2312" w:cs="仿宋_GB2312"/>
          <w:color w:val="000000"/>
          <w:sz w:val="32"/>
          <w:szCs w:val="32"/>
          <w:lang w:val="en-US" w:eastAsia="zh-CN"/>
        </w:rPr>
        <w:t>22</w:t>
      </w:r>
      <w:r>
        <w:rPr>
          <w:rFonts w:hint="eastAsia" w:eastAsia="仿宋_GB2312" w:cs="仿宋_GB2312"/>
          <w:color w:val="000000"/>
          <w:sz w:val="32"/>
          <w:szCs w:val="32"/>
        </w:rPr>
        <w:t>年城镇独生子女父母奖励专项资金情况进行了绩效评价，现将有关情况报告如下：</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一、项目基本情况</w:t>
      </w:r>
    </w:p>
    <w:p>
      <w:pPr>
        <w:spacing w:line="592" w:lineRule="exact"/>
        <w:ind w:firstLine="640" w:firstLineChars="200"/>
        <w:rPr>
          <w:rFonts w:hint="default" w:eastAsia="仿宋_GB2312" w:cs="仿宋_GB2312"/>
          <w:color w:val="000000"/>
          <w:sz w:val="32"/>
          <w:szCs w:val="32"/>
          <w:lang w:val="en-US" w:eastAsia="zh-CN"/>
        </w:rPr>
      </w:pPr>
      <w:r>
        <w:rPr>
          <w:rFonts w:hint="eastAsia" w:ascii="楷体" w:hAnsi="楷体" w:eastAsia="楷体" w:cs="楷体"/>
          <w:b w:val="0"/>
          <w:bCs w:val="0"/>
          <w:color w:val="000000"/>
          <w:sz w:val="32"/>
          <w:szCs w:val="32"/>
        </w:rPr>
        <w:t>（一）项目概况。</w:t>
      </w:r>
      <w:r>
        <w:rPr>
          <w:rFonts w:hint="eastAsia" w:eastAsia="仿宋_GB2312" w:cs="仿宋_GB2312"/>
          <w:color w:val="000000"/>
          <w:sz w:val="32"/>
          <w:szCs w:val="32"/>
        </w:rPr>
        <w:t>计划生育城镇独生子女父母奖励政策，是对计划生育家庭做出的奉献和牺牲给予必要的奖励和补偿，使他们优先分享改革发展成果，是党和国家惠民政策的重要组成部分，具有重要的政策导向作用。20</w:t>
      </w:r>
      <w:r>
        <w:rPr>
          <w:rFonts w:hint="eastAsia" w:eastAsia="仿宋_GB2312" w:cs="仿宋_GB2312"/>
          <w:color w:val="000000"/>
          <w:sz w:val="32"/>
          <w:szCs w:val="32"/>
          <w:lang w:val="en-US" w:eastAsia="zh-CN"/>
        </w:rPr>
        <w:t>22</w:t>
      </w:r>
      <w:r>
        <w:rPr>
          <w:rFonts w:hint="eastAsia" w:eastAsia="仿宋_GB2312" w:cs="仿宋_GB2312"/>
          <w:color w:val="000000"/>
          <w:sz w:val="32"/>
          <w:szCs w:val="32"/>
        </w:rPr>
        <w:t>年</w:t>
      </w:r>
      <w:r>
        <w:rPr>
          <w:rFonts w:hint="eastAsia" w:eastAsia="仿宋_GB2312" w:cs="仿宋_GB2312"/>
          <w:color w:val="000000"/>
          <w:sz w:val="32"/>
          <w:szCs w:val="32"/>
          <w:lang w:eastAsia="zh-CN"/>
        </w:rPr>
        <w:t>，全区</w:t>
      </w:r>
      <w:r>
        <w:rPr>
          <w:rFonts w:hint="eastAsia" w:eastAsia="仿宋_GB2312" w:cs="仿宋_GB2312"/>
          <w:color w:val="000000"/>
          <w:sz w:val="32"/>
          <w:szCs w:val="32"/>
        </w:rPr>
        <w:t>享受城镇独生子女父母奖励</w:t>
      </w:r>
      <w:r>
        <w:rPr>
          <w:rFonts w:hint="eastAsia" w:eastAsia="仿宋_GB2312" w:cs="仿宋_GB2312"/>
          <w:color w:val="000000"/>
          <w:sz w:val="32"/>
          <w:szCs w:val="32"/>
          <w:lang w:val="en-US" w:eastAsia="zh-CN"/>
        </w:rPr>
        <w:t>9177</w:t>
      </w:r>
      <w:r>
        <w:rPr>
          <w:rFonts w:hint="eastAsia" w:eastAsia="仿宋_GB2312" w:cs="仿宋_GB2312"/>
          <w:color w:val="000000"/>
          <w:sz w:val="32"/>
          <w:szCs w:val="32"/>
        </w:rPr>
        <w:t>人，其中</w:t>
      </w:r>
      <w:r>
        <w:rPr>
          <w:rFonts w:hint="eastAsia" w:eastAsia="仿宋_GB2312" w:cs="仿宋_GB2312"/>
          <w:color w:val="000000"/>
          <w:sz w:val="32"/>
          <w:szCs w:val="32"/>
          <w:lang w:eastAsia="zh-CN"/>
        </w:rPr>
        <w:t>区</w:t>
      </w:r>
      <w:r>
        <w:rPr>
          <w:rFonts w:hint="eastAsia" w:eastAsia="仿宋_GB2312" w:cs="仿宋_GB2312"/>
          <w:color w:val="000000"/>
          <w:sz w:val="32"/>
          <w:szCs w:val="32"/>
        </w:rPr>
        <w:t>人社发放</w:t>
      </w:r>
      <w:r>
        <w:rPr>
          <w:rFonts w:hint="eastAsia" w:eastAsia="仿宋_GB2312" w:cs="仿宋_GB2312"/>
          <w:color w:val="000000"/>
          <w:sz w:val="32"/>
          <w:szCs w:val="32"/>
          <w:lang w:val="en-US" w:eastAsia="zh-CN"/>
        </w:rPr>
        <w:t>9011</w:t>
      </w:r>
      <w:r>
        <w:rPr>
          <w:rFonts w:hint="eastAsia" w:eastAsia="仿宋_GB2312" w:cs="仿宋_GB2312"/>
          <w:color w:val="000000"/>
          <w:sz w:val="32"/>
          <w:szCs w:val="32"/>
        </w:rPr>
        <w:t>人，</w:t>
      </w:r>
      <w:r>
        <w:rPr>
          <w:rFonts w:hint="eastAsia" w:eastAsia="仿宋_GB2312" w:cs="仿宋_GB2312"/>
          <w:color w:val="000000"/>
          <w:sz w:val="32"/>
          <w:szCs w:val="32"/>
          <w:lang w:eastAsia="zh-CN"/>
        </w:rPr>
        <w:t>计生</w:t>
      </w:r>
      <w:r>
        <w:rPr>
          <w:rFonts w:hint="eastAsia" w:eastAsia="仿宋_GB2312" w:cs="仿宋_GB2312"/>
          <w:color w:val="000000"/>
          <w:sz w:val="32"/>
          <w:szCs w:val="32"/>
        </w:rPr>
        <w:t>发放</w:t>
      </w:r>
      <w:r>
        <w:rPr>
          <w:rFonts w:hint="eastAsia" w:eastAsia="仿宋_GB2312" w:cs="仿宋_GB2312"/>
          <w:color w:val="000000"/>
          <w:sz w:val="32"/>
          <w:szCs w:val="32"/>
          <w:lang w:val="en-US" w:eastAsia="zh-CN"/>
        </w:rPr>
        <w:t>166</w:t>
      </w:r>
      <w:r>
        <w:rPr>
          <w:rFonts w:hint="eastAsia" w:eastAsia="仿宋_GB2312" w:cs="仿宋_GB2312"/>
          <w:color w:val="000000"/>
          <w:sz w:val="32"/>
          <w:szCs w:val="32"/>
        </w:rPr>
        <w:t>人，</w:t>
      </w:r>
      <w:r>
        <w:rPr>
          <w:rFonts w:hint="eastAsia" w:eastAsia="仿宋_GB2312" w:cs="仿宋_GB2312"/>
          <w:color w:val="000000"/>
          <w:sz w:val="32"/>
          <w:szCs w:val="32"/>
          <w:lang w:eastAsia="zh-CN"/>
        </w:rPr>
        <w:t>按照每人每月</w:t>
      </w:r>
      <w:r>
        <w:rPr>
          <w:rFonts w:hint="eastAsia" w:eastAsia="仿宋_GB2312" w:cs="仿宋_GB2312"/>
          <w:color w:val="000000"/>
          <w:sz w:val="32"/>
          <w:szCs w:val="32"/>
          <w:lang w:val="en-US" w:eastAsia="zh-CN"/>
        </w:rPr>
        <w:t>80元的标准发放奖励金。</w:t>
      </w:r>
    </w:p>
    <w:p>
      <w:pPr>
        <w:spacing w:line="592" w:lineRule="exact"/>
        <w:ind w:firstLine="640" w:firstLineChars="200"/>
        <w:rPr>
          <w:rFonts w:hint="eastAsia" w:eastAsia="仿宋_GB2312" w:cs="仿宋_GB2312"/>
          <w:color w:val="000000"/>
          <w:sz w:val="32"/>
          <w:szCs w:val="32"/>
        </w:rPr>
      </w:pPr>
      <w:r>
        <w:rPr>
          <w:rFonts w:hint="eastAsia" w:eastAsia="仿宋_GB2312" w:cs="仿宋_GB2312"/>
          <w:color w:val="000000"/>
          <w:sz w:val="32"/>
          <w:szCs w:val="32"/>
        </w:rPr>
        <w:t>政策依据：根据湖南省2007年9月29日修改的《湖南省人口与计划生育条例》、湖南省人民政府关于印发《湖南省完善城镇独生子女父母奖励办法若干规定》的通知（湘政发〔2014〕27号）、湖南省卫生计生委、财政厅、人力资源和社会保障厅、国资委关于印发《湖南省城镇独生子女父母奖励制度政策解释及操作办法》的通知（湘人口发〔2014〕12号）及其他法律法规和政策。</w:t>
      </w:r>
    </w:p>
    <w:p>
      <w:pPr>
        <w:spacing w:line="592" w:lineRule="exact"/>
        <w:ind w:firstLine="640" w:firstLineChars="200"/>
        <w:rPr>
          <w:rFonts w:hint="eastAsia" w:eastAsia="仿宋_GB2312" w:cs="仿宋_GB2312"/>
          <w:color w:val="000000"/>
          <w:sz w:val="32"/>
          <w:szCs w:val="32"/>
        </w:rPr>
      </w:pPr>
      <w:r>
        <w:rPr>
          <w:rFonts w:hint="eastAsia" w:ascii="楷体" w:hAnsi="楷体" w:eastAsia="楷体" w:cs="楷体"/>
          <w:b w:val="0"/>
          <w:bCs w:val="0"/>
          <w:color w:val="000000"/>
          <w:sz w:val="32"/>
          <w:szCs w:val="32"/>
        </w:rPr>
        <w:t>（二）项目绩效目标。</w:t>
      </w:r>
      <w:r>
        <w:rPr>
          <w:rFonts w:hint="eastAsia" w:eastAsia="仿宋_GB2312" w:cs="仿宋_GB2312"/>
          <w:color w:val="000000"/>
          <w:sz w:val="32"/>
          <w:szCs w:val="32"/>
        </w:rPr>
        <w:t>对城镇独生子女家庭做出的奉献和牺牲给予必要的奖励和补偿，使他们优先分享改革发展成果，是党和国家惠民政策的重要组成部分，具有重要的政策导向作用</w:t>
      </w:r>
      <w:r>
        <w:rPr>
          <w:rFonts w:hint="eastAsia" w:eastAsia="仿宋_GB2312" w:cs="仿宋_GB2312"/>
          <w:color w:val="000000"/>
          <w:sz w:val="32"/>
          <w:szCs w:val="32"/>
          <w:lang w:eastAsia="zh-CN"/>
        </w:rPr>
        <w:t>。</w:t>
      </w:r>
    </w:p>
    <w:p>
      <w:pPr>
        <w:spacing w:line="592" w:lineRule="exact"/>
        <w:ind w:firstLine="640" w:firstLineChars="200"/>
        <w:rPr>
          <w:rFonts w:hint="eastAsia" w:eastAsia="仿宋_GB2312" w:cs="仿宋_GB2312"/>
          <w:color w:val="000000"/>
          <w:sz w:val="32"/>
          <w:szCs w:val="32"/>
          <w:lang w:val="en-US" w:eastAsia="zh-CN"/>
        </w:rPr>
      </w:pPr>
      <w:r>
        <w:rPr>
          <w:rFonts w:hint="eastAsia" w:ascii="楷体" w:hAnsi="楷体" w:eastAsia="楷体" w:cs="楷体"/>
          <w:b w:val="0"/>
          <w:bCs w:val="0"/>
          <w:color w:val="000000"/>
          <w:sz w:val="32"/>
          <w:szCs w:val="32"/>
        </w:rPr>
        <w:t>（三）项目实施情况分析。</w:t>
      </w:r>
      <w:r>
        <w:rPr>
          <w:rFonts w:hint="eastAsia" w:eastAsia="仿宋_GB2312" w:cs="仿宋_GB2312"/>
          <w:color w:val="000000"/>
          <w:sz w:val="32"/>
          <w:szCs w:val="32"/>
          <w:lang w:val="en-US" w:eastAsia="zh-CN"/>
        </w:rPr>
        <w:t>2022</w:t>
      </w:r>
      <w:r>
        <w:rPr>
          <w:rFonts w:hint="eastAsia" w:eastAsia="仿宋_GB2312" w:cs="仿宋_GB2312"/>
          <w:color w:val="000000"/>
          <w:sz w:val="32"/>
          <w:szCs w:val="32"/>
        </w:rPr>
        <w:t>年区级配套</w:t>
      </w:r>
      <w:r>
        <w:rPr>
          <w:rFonts w:hint="eastAsia" w:eastAsia="仿宋_GB2312" w:cs="仿宋_GB2312"/>
          <w:color w:val="000000"/>
          <w:sz w:val="32"/>
          <w:szCs w:val="32"/>
          <w:lang w:eastAsia="zh-CN"/>
        </w:rPr>
        <w:t>资金</w:t>
      </w:r>
      <w:r>
        <w:rPr>
          <w:rFonts w:hint="eastAsia" w:eastAsia="仿宋_GB2312" w:cs="仿宋_GB2312"/>
          <w:color w:val="000000"/>
          <w:sz w:val="32"/>
          <w:szCs w:val="32"/>
          <w:lang w:val="en-US" w:eastAsia="zh-CN"/>
        </w:rPr>
        <w:t>545</w:t>
      </w:r>
      <w:r>
        <w:rPr>
          <w:rFonts w:hint="eastAsia" w:eastAsia="仿宋_GB2312" w:cs="仿宋_GB2312"/>
          <w:color w:val="000000"/>
          <w:sz w:val="32"/>
          <w:szCs w:val="32"/>
        </w:rPr>
        <w:t>万元，全区享受城镇独生子女父母奖励对象</w:t>
      </w:r>
      <w:r>
        <w:rPr>
          <w:rFonts w:hint="eastAsia" w:eastAsia="仿宋_GB2312" w:cs="仿宋_GB2312"/>
          <w:color w:val="000000"/>
          <w:sz w:val="32"/>
          <w:szCs w:val="32"/>
          <w:lang w:val="en-US" w:eastAsia="zh-CN"/>
        </w:rPr>
        <w:t>9177</w:t>
      </w:r>
      <w:r>
        <w:rPr>
          <w:rFonts w:hint="eastAsia" w:eastAsia="仿宋_GB2312" w:cs="仿宋_GB2312"/>
          <w:color w:val="000000"/>
          <w:sz w:val="32"/>
          <w:szCs w:val="32"/>
        </w:rPr>
        <w:t>人，</w:t>
      </w:r>
      <w:r>
        <w:rPr>
          <w:rFonts w:hint="eastAsia" w:eastAsia="仿宋_GB2312" w:cs="仿宋_GB2312"/>
          <w:color w:val="000000"/>
          <w:sz w:val="32"/>
          <w:szCs w:val="32"/>
          <w:lang w:eastAsia="zh-CN"/>
        </w:rPr>
        <w:t>其中通过人社发放</w:t>
      </w:r>
      <w:r>
        <w:rPr>
          <w:rFonts w:hint="eastAsia" w:eastAsia="仿宋_GB2312" w:cs="仿宋_GB2312"/>
          <w:color w:val="000000"/>
          <w:sz w:val="32"/>
          <w:szCs w:val="32"/>
          <w:lang w:val="en-US" w:eastAsia="zh-CN"/>
        </w:rPr>
        <w:t>9011人，计生发放166人，按照每人每月80元的标准发放，共打卡发放区级配套资金545万元。</w:t>
      </w:r>
    </w:p>
    <w:p>
      <w:pPr>
        <w:spacing w:line="592" w:lineRule="exact"/>
        <w:ind w:firstLine="640" w:firstLineChars="200"/>
        <w:rPr>
          <w:rFonts w:hint="default" w:eastAsia="仿宋_GB2312" w:cs="仿宋_GB2312"/>
          <w:color w:val="000000"/>
          <w:sz w:val="32"/>
          <w:szCs w:val="32"/>
          <w:lang w:val="en-US" w:eastAsia="zh-CN"/>
        </w:rPr>
      </w:pPr>
      <w:r>
        <w:rPr>
          <w:rFonts w:hint="default" w:eastAsia="仿宋_GB2312" w:cs="仿宋_GB2312"/>
          <w:color w:val="000000"/>
          <w:sz w:val="32"/>
          <w:szCs w:val="32"/>
          <w:lang w:val="en-US" w:eastAsia="zh-CN"/>
        </w:rPr>
        <w:t>我</w:t>
      </w:r>
      <w:r>
        <w:rPr>
          <w:rFonts w:hint="eastAsia" w:eastAsia="仿宋_GB2312" w:cs="仿宋_GB2312"/>
          <w:color w:val="000000"/>
          <w:sz w:val="32"/>
          <w:szCs w:val="32"/>
          <w:lang w:val="en-US" w:eastAsia="zh-CN"/>
        </w:rPr>
        <w:t>区</w:t>
      </w:r>
      <w:r>
        <w:rPr>
          <w:rFonts w:hint="default" w:eastAsia="仿宋_GB2312" w:cs="仿宋_GB2312"/>
          <w:color w:val="000000"/>
          <w:sz w:val="32"/>
          <w:szCs w:val="32"/>
          <w:lang w:val="en-US" w:eastAsia="zh-CN"/>
        </w:rPr>
        <w:t>城镇独生子女父母奖励资金使用无违反财务管理、财经纪律情况发生，会计核算真实完整，项目资金支出和原定用途、预算批复用途相符。支出符合国家财经法规和财务管理制度，资金拨付程序规范，资产管理制度健全，定期对资金使用情况进行检查，严格确保项目质量，财务管理按规定执行，符合有关财务会计管理规定，资金使用不存在截留、挤占、挪用、虚列支出等情况。</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二、绩效评价工作情况</w:t>
      </w:r>
    </w:p>
    <w:p>
      <w:pPr>
        <w:spacing w:line="592" w:lineRule="exact"/>
        <w:ind w:firstLine="640" w:firstLineChars="200"/>
        <w:rPr>
          <w:rFonts w:hint="eastAsia" w:eastAsia="仿宋_GB2312" w:cs="仿宋_GB2312"/>
          <w:color w:val="000000"/>
          <w:sz w:val="32"/>
          <w:szCs w:val="32"/>
          <w:lang w:eastAsia="zh-CN"/>
        </w:rPr>
      </w:pPr>
      <w:r>
        <w:rPr>
          <w:rFonts w:hint="eastAsia" w:ascii="楷体" w:hAnsi="楷体" w:eastAsia="楷体" w:cs="楷体"/>
          <w:b w:val="0"/>
          <w:bCs w:val="0"/>
          <w:color w:val="000000"/>
          <w:sz w:val="32"/>
          <w:szCs w:val="32"/>
        </w:rPr>
        <w:t>（一）绩效评价目的。</w:t>
      </w:r>
      <w:r>
        <w:rPr>
          <w:rFonts w:hint="eastAsia" w:eastAsia="仿宋_GB2312" w:cs="仿宋_GB2312"/>
          <w:color w:val="000000"/>
          <w:sz w:val="32"/>
          <w:szCs w:val="32"/>
          <w:lang w:eastAsia="zh-CN"/>
        </w:rPr>
        <w:t>通过绩效评价，了解我区</w:t>
      </w:r>
      <w:r>
        <w:rPr>
          <w:rFonts w:hint="eastAsia" w:eastAsia="仿宋_GB2312" w:cs="仿宋_GB2312"/>
          <w:color w:val="000000"/>
          <w:sz w:val="32"/>
          <w:szCs w:val="32"/>
        </w:rPr>
        <w:t>城镇独生子女父母奖励专项资金</w:t>
      </w:r>
      <w:r>
        <w:rPr>
          <w:rFonts w:hint="eastAsia" w:eastAsia="仿宋_GB2312" w:cs="仿宋_GB2312"/>
          <w:color w:val="000000"/>
          <w:sz w:val="32"/>
          <w:szCs w:val="32"/>
          <w:lang w:eastAsia="zh-CN"/>
        </w:rPr>
        <w:t>使用情况及取得的效果，总结项目资金管理的经验，发现项目资金管理中存在的问题，为提高我区</w:t>
      </w:r>
      <w:r>
        <w:rPr>
          <w:rFonts w:hint="eastAsia" w:eastAsia="仿宋_GB2312" w:cs="仿宋_GB2312"/>
          <w:color w:val="000000"/>
          <w:sz w:val="32"/>
          <w:szCs w:val="32"/>
        </w:rPr>
        <w:t>城镇独生子女父母奖励专项</w:t>
      </w:r>
      <w:r>
        <w:rPr>
          <w:rFonts w:hint="eastAsia" w:eastAsia="仿宋_GB2312" w:cs="仿宋_GB2312"/>
          <w:color w:val="000000"/>
          <w:sz w:val="32"/>
          <w:szCs w:val="32"/>
          <w:lang w:eastAsia="zh-CN"/>
        </w:rPr>
        <w:t>经费的使用效益，加强财政支出的规范化管理，健全和完善支出项目和资金使用管理办法，完善预算编制、加强绩效目标管理和绩效考核工作提供重要的参考依据，以及提出相关的建议和应采取的措施等。</w:t>
      </w:r>
    </w:p>
    <w:p>
      <w:pPr>
        <w:spacing w:line="592" w:lineRule="exact"/>
        <w:ind w:firstLine="640" w:firstLineChars="200"/>
        <w:rPr>
          <w:rFonts w:hint="eastAsia" w:eastAsia="仿宋_GB2312" w:cs="仿宋_GB2312"/>
          <w:color w:val="000000"/>
          <w:sz w:val="32"/>
          <w:szCs w:val="32"/>
        </w:rPr>
      </w:pPr>
      <w:r>
        <w:rPr>
          <w:rFonts w:hint="eastAsia" w:ascii="楷体" w:hAnsi="楷体" w:eastAsia="楷体" w:cs="楷体"/>
          <w:b w:val="0"/>
          <w:bCs w:val="0"/>
          <w:color w:val="000000"/>
          <w:sz w:val="32"/>
          <w:szCs w:val="32"/>
        </w:rPr>
        <w:t>（二）绩效评价工作过程。</w:t>
      </w:r>
      <w:r>
        <w:rPr>
          <w:rFonts w:hint="eastAsia" w:eastAsia="仿宋_GB2312" w:cs="仿宋_GB2312"/>
          <w:color w:val="000000"/>
          <w:sz w:val="32"/>
          <w:szCs w:val="32"/>
        </w:rPr>
        <w:t>在明确评价目的、项目内容的基础上，根据绩效评价规范的要求和本次评价的实际情况，拟定了绩效评价工作计划，组成了项目评价工作小组，严格按照《益阳市大通湖区发展改革和财政局关于做好区级预算绩效自评工作的通知》文件精神开展绩效评价。</w:t>
      </w:r>
    </w:p>
    <w:p>
      <w:pPr>
        <w:spacing w:line="592" w:lineRule="exact"/>
        <w:ind w:firstLine="640" w:firstLineChars="200"/>
        <w:rPr>
          <w:rFonts w:hint="eastAsia" w:eastAsia="仿宋_GB2312" w:cs="仿宋_GB2312"/>
          <w:color w:val="000000"/>
          <w:sz w:val="32"/>
          <w:szCs w:val="32"/>
        </w:rPr>
      </w:pPr>
      <w:r>
        <w:rPr>
          <w:rFonts w:hint="eastAsia" w:eastAsia="仿宋_GB2312" w:cs="仿宋_GB2312"/>
          <w:color w:val="000000"/>
          <w:sz w:val="32"/>
          <w:szCs w:val="32"/>
        </w:rPr>
        <w:t>在城镇独生子女父母奖励项目实施过程中，我们确保公平、公正、公开，</w:t>
      </w:r>
      <w:r>
        <w:rPr>
          <w:rFonts w:hint="eastAsia" w:eastAsia="仿宋_GB2312" w:cs="仿宋_GB2312"/>
          <w:color w:val="000000"/>
          <w:sz w:val="32"/>
          <w:szCs w:val="32"/>
          <w:lang w:eastAsia="zh-CN"/>
        </w:rPr>
        <w:t>按照</w:t>
      </w:r>
      <w:r>
        <w:rPr>
          <w:rFonts w:hint="eastAsia" w:eastAsia="仿宋_GB2312" w:cs="仿宋_GB2312"/>
          <w:color w:val="000000"/>
          <w:sz w:val="32"/>
          <w:szCs w:val="32"/>
        </w:rPr>
        <w:t>本人申请—村委会民主评议、审查、公示、上报—乡镇审查、公示、上报—区级审查、公示、确认</w:t>
      </w:r>
      <w:r>
        <w:rPr>
          <w:rFonts w:hint="eastAsia" w:eastAsia="仿宋_GB2312" w:cs="仿宋_GB2312"/>
          <w:color w:val="000000"/>
          <w:sz w:val="32"/>
          <w:szCs w:val="32"/>
          <w:lang w:eastAsia="zh-CN"/>
        </w:rPr>
        <w:t>的申报程序，确认独生子女父母奖励对象，奖励对象个案建档率、奖励资金发放到位率均达100%</w:t>
      </w:r>
      <w:r>
        <w:rPr>
          <w:rFonts w:hint="eastAsia" w:eastAsia="仿宋_GB2312" w:cs="仿宋_GB2312"/>
          <w:color w:val="000000"/>
          <w:sz w:val="32"/>
          <w:szCs w:val="32"/>
        </w:rPr>
        <w:t>。城镇独生子女父母奖励资金使用无违反财务管理、财经纪律情况发生，会计核算真实完整，项目资金支出和原定用途、预算批复用途相符。支出符合国家财经法规和财务管理制度，资金拨付程序规范，资产管理制度健全，定期对资金使用情况进行检查，严格确保项目质量。财务管理按规定执行，符合有关财务会计管理规定，资金专账核算，不存在截留、挤占、挪用、虚列支出等现象。</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三、项目主要绩效及评价结论</w:t>
      </w:r>
    </w:p>
    <w:p>
      <w:pPr>
        <w:spacing w:line="592" w:lineRule="exact"/>
        <w:ind w:firstLine="640" w:firstLineChars="200"/>
        <w:rPr>
          <w:rFonts w:hint="default" w:eastAsia="仿宋_GB2312" w:cs="仿宋_GB2312"/>
          <w:color w:val="000000"/>
          <w:sz w:val="32"/>
          <w:szCs w:val="32"/>
          <w:lang w:val="en-US" w:eastAsia="zh-CN"/>
        </w:rPr>
      </w:pPr>
      <w:r>
        <w:rPr>
          <w:rFonts w:hint="eastAsia" w:ascii="楷体" w:hAnsi="楷体" w:eastAsia="楷体" w:cs="楷体"/>
          <w:b w:val="0"/>
          <w:bCs w:val="0"/>
          <w:color w:val="000000"/>
          <w:sz w:val="32"/>
          <w:szCs w:val="32"/>
          <w:lang w:val="en-US" w:eastAsia="zh-CN"/>
        </w:rPr>
        <w:t>1.项目经济性分析：</w:t>
      </w:r>
      <w:r>
        <w:rPr>
          <w:rFonts w:hint="eastAsia" w:eastAsia="仿宋_GB2312" w:cs="仿宋_GB2312"/>
          <w:color w:val="000000"/>
          <w:sz w:val="32"/>
          <w:szCs w:val="32"/>
        </w:rPr>
        <w:t>全区享受城镇独生子女父母奖励对象</w:t>
      </w:r>
      <w:r>
        <w:rPr>
          <w:rFonts w:hint="eastAsia" w:eastAsia="仿宋_GB2312" w:cs="仿宋_GB2312"/>
          <w:color w:val="000000"/>
          <w:sz w:val="32"/>
          <w:szCs w:val="32"/>
          <w:lang w:val="en-US" w:eastAsia="zh-CN"/>
        </w:rPr>
        <w:t>9177</w:t>
      </w:r>
      <w:r>
        <w:rPr>
          <w:rFonts w:hint="eastAsia" w:eastAsia="仿宋_GB2312" w:cs="仿宋_GB2312"/>
          <w:color w:val="000000"/>
          <w:sz w:val="32"/>
          <w:szCs w:val="32"/>
        </w:rPr>
        <w:t>人，</w:t>
      </w:r>
      <w:r>
        <w:rPr>
          <w:rFonts w:hint="eastAsia" w:eastAsia="仿宋_GB2312" w:cs="仿宋_GB2312"/>
          <w:color w:val="000000"/>
          <w:sz w:val="32"/>
          <w:szCs w:val="32"/>
          <w:lang w:eastAsia="zh-CN"/>
        </w:rPr>
        <w:t>其中通过人社发放</w:t>
      </w:r>
      <w:r>
        <w:rPr>
          <w:rFonts w:hint="eastAsia" w:eastAsia="仿宋_GB2312" w:cs="仿宋_GB2312"/>
          <w:color w:val="000000"/>
          <w:sz w:val="32"/>
          <w:szCs w:val="32"/>
          <w:lang w:val="en-US" w:eastAsia="zh-CN"/>
        </w:rPr>
        <w:t>9011人，该部分奖励金随工资按月发放；计生发放166人，奖励金由区财政局补贴通过“一卡通”渠道发放到对象本人，一年发放一次，2022年共打卡发放区级配套545万元。</w:t>
      </w:r>
    </w:p>
    <w:p>
      <w:pPr>
        <w:spacing w:line="592" w:lineRule="exact"/>
        <w:ind w:firstLine="640" w:firstLineChars="200"/>
        <w:rPr>
          <w:rFonts w:hint="eastAsia" w:eastAsia="仿宋_GB2312" w:cs="仿宋_GB2312"/>
          <w:color w:val="000000"/>
          <w:sz w:val="32"/>
          <w:szCs w:val="32"/>
        </w:rPr>
      </w:pPr>
      <w:r>
        <w:rPr>
          <w:rFonts w:hint="eastAsia" w:ascii="楷体" w:hAnsi="楷体" w:eastAsia="楷体" w:cs="楷体"/>
          <w:b w:val="0"/>
          <w:bCs w:val="0"/>
          <w:color w:val="000000"/>
          <w:sz w:val="32"/>
          <w:szCs w:val="32"/>
          <w:lang w:val="en-US" w:eastAsia="zh-CN"/>
        </w:rPr>
        <w:t>2.项目效率性分析：</w:t>
      </w:r>
      <w:r>
        <w:rPr>
          <w:rFonts w:hint="eastAsia" w:eastAsia="仿宋_GB2312" w:cs="仿宋_GB2312"/>
          <w:color w:val="000000"/>
          <w:sz w:val="32"/>
          <w:szCs w:val="32"/>
        </w:rPr>
        <w:t>为全面落实好湖南省城镇独生子女父母奖励政策，一是我们坚持统一把关，按照文件规定的程序、条件和奖励标准，达到公开透明，切实保障群众的合法权益，确保政策的一致性，力争做到一个不错，一个不漏。二是通过“三级”审核，“三级”公示，群众举报，社会监督等措施，确保政策执行的公平性。三是直接发放到人，通过区人社和区乡财局直接把奖励金打到对象卡上</w:t>
      </w:r>
      <w:r>
        <w:rPr>
          <w:rFonts w:hint="eastAsia" w:eastAsia="仿宋_GB2312" w:cs="仿宋_GB2312"/>
          <w:color w:val="000000"/>
          <w:sz w:val="32"/>
          <w:szCs w:val="32"/>
          <w:lang w:eastAsia="zh-CN"/>
        </w:rPr>
        <w:t>，我区于年底前已将资金发放到位，资金到位率达</w:t>
      </w:r>
      <w:r>
        <w:rPr>
          <w:rFonts w:hint="eastAsia" w:eastAsia="仿宋_GB2312" w:cs="仿宋_GB2312"/>
          <w:color w:val="000000"/>
          <w:sz w:val="32"/>
          <w:szCs w:val="32"/>
          <w:lang w:val="en-US" w:eastAsia="zh-CN"/>
        </w:rPr>
        <w:t>100%</w:t>
      </w:r>
      <w:r>
        <w:rPr>
          <w:rFonts w:hint="eastAsia" w:eastAsia="仿宋_GB2312" w:cs="仿宋_GB2312"/>
          <w:color w:val="000000"/>
          <w:sz w:val="32"/>
          <w:szCs w:val="32"/>
        </w:rPr>
        <w:t>。</w:t>
      </w:r>
    </w:p>
    <w:p>
      <w:pPr>
        <w:spacing w:line="592" w:lineRule="exact"/>
        <w:ind w:firstLine="640" w:firstLineChars="200"/>
        <w:rPr>
          <w:rFonts w:hint="eastAsia" w:eastAsia="仿宋_GB2312" w:cs="仿宋_GB2312"/>
          <w:color w:val="000000"/>
          <w:sz w:val="32"/>
          <w:szCs w:val="32"/>
        </w:rPr>
      </w:pPr>
      <w:r>
        <w:rPr>
          <w:rFonts w:hint="eastAsia" w:ascii="楷体" w:hAnsi="楷体" w:eastAsia="楷体" w:cs="楷体"/>
          <w:b w:val="0"/>
          <w:bCs w:val="0"/>
          <w:color w:val="000000"/>
          <w:sz w:val="32"/>
          <w:szCs w:val="32"/>
          <w:lang w:val="en-US" w:eastAsia="zh-CN"/>
        </w:rPr>
        <w:t>3.项目效益性分析</w:t>
      </w:r>
      <w:r>
        <w:rPr>
          <w:rFonts w:hint="eastAsia" w:ascii="楷体" w:hAnsi="楷体" w:eastAsia="楷体" w:cs="楷体"/>
          <w:b/>
          <w:bCs/>
          <w:color w:val="000000"/>
          <w:sz w:val="32"/>
          <w:szCs w:val="32"/>
          <w:lang w:val="en-US" w:eastAsia="zh-CN"/>
        </w:rPr>
        <w:t>：</w:t>
      </w:r>
      <w:r>
        <w:rPr>
          <w:rFonts w:hint="eastAsia" w:eastAsia="仿宋_GB2312" w:cs="仿宋_GB2312"/>
          <w:color w:val="000000"/>
          <w:sz w:val="32"/>
          <w:szCs w:val="32"/>
        </w:rPr>
        <w:t>建立城镇独生子女父母奖励制度，维护了广大城镇独生子女父母权益、促进社会稳定和谐。从2014年全面实施湖南省城镇独生子女父母奖励制度以来，目前已有</w:t>
      </w:r>
      <w:r>
        <w:rPr>
          <w:rFonts w:hint="eastAsia" w:eastAsia="仿宋_GB2312" w:cs="仿宋_GB2312"/>
          <w:color w:val="000000"/>
          <w:sz w:val="32"/>
          <w:szCs w:val="32"/>
          <w:lang w:val="en-US" w:eastAsia="zh-CN"/>
        </w:rPr>
        <w:t>9177</w:t>
      </w:r>
      <w:r>
        <w:rPr>
          <w:rFonts w:hint="eastAsia" w:eastAsia="仿宋_GB2312" w:cs="仿宋_GB2312"/>
          <w:color w:val="000000"/>
          <w:sz w:val="32"/>
          <w:szCs w:val="32"/>
        </w:rPr>
        <w:t>人享受了政策，从群众的反映和这次绩效评估表明，实施城镇独生子女父母制度，进一步完善了计划生育利益导向机制，促进了</w:t>
      </w:r>
      <w:r>
        <w:rPr>
          <w:rFonts w:hint="eastAsia" w:eastAsia="仿宋_GB2312" w:cs="仿宋_GB2312"/>
          <w:color w:val="000000"/>
          <w:sz w:val="32"/>
          <w:szCs w:val="32"/>
          <w:lang w:eastAsia="zh-CN"/>
        </w:rPr>
        <w:t>卫健</w:t>
      </w:r>
      <w:r>
        <w:rPr>
          <w:rFonts w:hint="eastAsia" w:eastAsia="仿宋_GB2312" w:cs="仿宋_GB2312"/>
          <w:color w:val="000000"/>
          <w:sz w:val="32"/>
          <w:szCs w:val="32"/>
        </w:rPr>
        <w:t>工作的开展，受到了社会的广泛认可，真正把国家的奖励政策落实到了每个计生家庭。</w:t>
      </w:r>
    </w:p>
    <w:p>
      <w:pPr>
        <w:spacing w:line="592" w:lineRule="exact"/>
        <w:ind w:firstLine="640" w:firstLineChars="200"/>
        <w:rPr>
          <w:rFonts w:hint="eastAsia" w:eastAsia="仿宋_GB2312" w:cs="仿宋_GB2312"/>
          <w:color w:val="000000"/>
          <w:sz w:val="32"/>
          <w:szCs w:val="32"/>
        </w:rPr>
      </w:pPr>
      <w:r>
        <w:rPr>
          <w:rFonts w:hint="eastAsia" w:eastAsia="仿宋_GB2312" w:cs="仿宋_GB2312"/>
          <w:color w:val="000000"/>
          <w:sz w:val="32"/>
          <w:szCs w:val="32"/>
        </w:rPr>
        <w:t>本次项目绩效评价为98分，该项目管理有效，社会、经济效益明显，群众满意度较高。项目实施有相应的资金保障、制度保障和人员保障，能够形成可持续的影响，促进了社会和谐稳定。</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四、存在的问题</w:t>
      </w:r>
    </w:p>
    <w:p>
      <w:pPr>
        <w:spacing w:line="592" w:lineRule="exact"/>
        <w:ind w:firstLine="640" w:firstLineChars="200"/>
        <w:rPr>
          <w:rFonts w:hint="eastAsia" w:eastAsia="仿宋_GB2312" w:cs="仿宋_GB2312"/>
          <w:color w:val="000000"/>
          <w:sz w:val="32"/>
          <w:szCs w:val="32"/>
        </w:rPr>
      </w:pPr>
      <w:r>
        <w:rPr>
          <w:rFonts w:hint="eastAsia" w:eastAsia="仿宋_GB2312" w:cs="仿宋_GB2312"/>
          <w:color w:val="000000"/>
          <w:sz w:val="32"/>
          <w:szCs w:val="32"/>
        </w:rPr>
        <w:t>基层工作人员业务有待加强，摸底不够全面，会有个别漏报现象发生。</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五、有关建议</w:t>
      </w:r>
    </w:p>
    <w:p>
      <w:pPr>
        <w:spacing w:line="592" w:lineRule="exact"/>
        <w:rPr>
          <w:rFonts w:hint="default" w:ascii="黑体" w:hAnsi="黑体" w:eastAsia="黑体" w:cs="仿宋_GB2312"/>
          <w:bCs/>
          <w:color w:val="000000"/>
          <w:sz w:val="32"/>
          <w:szCs w:val="32"/>
          <w:lang w:val="en-US" w:eastAsia="zh-CN"/>
        </w:rPr>
      </w:pPr>
      <w:r>
        <w:rPr>
          <w:rFonts w:hint="eastAsia" w:ascii="黑体" w:hAnsi="黑体" w:eastAsia="黑体" w:cs="仿宋_GB2312"/>
          <w:bCs/>
          <w:color w:val="000000"/>
          <w:sz w:val="32"/>
          <w:szCs w:val="32"/>
          <w:lang w:val="en-US" w:eastAsia="zh-CN"/>
        </w:rPr>
        <w:t xml:space="preserve">   </w:t>
      </w:r>
      <w:r>
        <w:rPr>
          <w:rFonts w:hint="eastAsia" w:eastAsia="仿宋_GB2312" w:cs="仿宋_GB2312"/>
          <w:color w:val="000000"/>
          <w:sz w:val="32"/>
          <w:szCs w:val="32"/>
          <w:lang w:val="en-US" w:eastAsia="zh-CN"/>
        </w:rPr>
        <w:t xml:space="preserve"> </w:t>
      </w:r>
      <w:r>
        <w:rPr>
          <w:rFonts w:hint="eastAsia" w:eastAsia="仿宋_GB2312" w:cs="仿宋_GB2312"/>
          <w:color w:val="000000"/>
          <w:sz w:val="32"/>
          <w:szCs w:val="32"/>
        </w:rPr>
        <w:t>严格申报审核程序。多入户，多走访，做到实时上报，杜绝漏报、错报和延迟上报，确保及时率。</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六、其他需要说明的问题</w:t>
      </w:r>
    </w:p>
    <w:p>
      <w:pPr>
        <w:spacing w:line="592" w:lineRule="exact"/>
        <w:ind w:firstLine="640"/>
        <w:rPr>
          <w:rFonts w:hint="eastAsia" w:eastAsia="仿宋_GB2312" w:cs="仿宋_GB2312"/>
          <w:color w:val="000000"/>
          <w:sz w:val="32"/>
          <w:szCs w:val="32"/>
          <w:lang w:val="en-US" w:eastAsia="zh-CN"/>
        </w:rPr>
      </w:pPr>
      <w:r>
        <w:rPr>
          <w:rFonts w:hint="eastAsia" w:eastAsia="仿宋_GB2312" w:cs="仿宋_GB2312"/>
          <w:color w:val="000000"/>
          <w:sz w:val="32"/>
          <w:szCs w:val="32"/>
          <w:lang w:val="en-US" w:eastAsia="zh-CN"/>
        </w:rPr>
        <w:t>无</w:t>
      </w:r>
    </w:p>
    <w:p>
      <w:pPr>
        <w:spacing w:line="592" w:lineRule="exact"/>
        <w:ind w:firstLine="640"/>
        <w:rPr>
          <w:rFonts w:hint="default" w:eastAsia="仿宋_GB2312" w:cs="仿宋_GB2312"/>
          <w:color w:val="000000"/>
          <w:sz w:val="32"/>
          <w:szCs w:val="32"/>
          <w:lang w:val="en-US" w:eastAsia="zh-CN"/>
        </w:rPr>
      </w:pPr>
    </w:p>
    <w:p>
      <w:pPr>
        <w:spacing w:line="592" w:lineRule="exact"/>
        <w:ind w:firstLine="640"/>
        <w:rPr>
          <w:rFonts w:hint="default" w:eastAsia="仿宋_GB2312" w:cs="仿宋_GB2312"/>
          <w:color w:val="000000"/>
          <w:sz w:val="32"/>
          <w:szCs w:val="32"/>
          <w:lang w:val="en-US" w:eastAsia="zh-CN"/>
        </w:rPr>
      </w:pPr>
    </w:p>
    <w:p>
      <w:pPr>
        <w:autoSpaceDE w:val="0"/>
        <w:autoSpaceDN w:val="0"/>
        <w:spacing w:line="360" w:lineRule="auto"/>
        <w:jc w:val="center"/>
        <w:rPr>
          <w:rFonts w:hint="eastAsia" w:ascii="方正大标宋简体" w:eastAsia="方正大标宋简体" w:cs="仿宋_GB2312"/>
          <w:color w:val="000000"/>
          <w:sz w:val="44"/>
          <w:szCs w:val="44"/>
        </w:rPr>
      </w:pPr>
    </w:p>
    <w:p>
      <w:pPr>
        <w:autoSpaceDE w:val="0"/>
        <w:autoSpaceDN w:val="0"/>
        <w:spacing w:line="360" w:lineRule="auto"/>
        <w:jc w:val="center"/>
        <w:rPr>
          <w:rFonts w:hint="eastAsia" w:ascii="方正大标宋简体" w:eastAsia="方正大标宋简体" w:cs="仿宋_GB2312"/>
          <w:color w:val="000000"/>
          <w:sz w:val="44"/>
          <w:szCs w:val="44"/>
        </w:rPr>
      </w:pPr>
    </w:p>
    <w:p>
      <w:pPr>
        <w:autoSpaceDE w:val="0"/>
        <w:autoSpaceDN w:val="0"/>
        <w:spacing w:line="360" w:lineRule="auto"/>
        <w:jc w:val="center"/>
        <w:rPr>
          <w:rFonts w:hint="eastAsia" w:ascii="方正大标宋简体" w:eastAsia="方正大标宋简体" w:cs="仿宋_GB2312"/>
          <w:color w:val="000000"/>
          <w:sz w:val="44"/>
          <w:szCs w:val="44"/>
        </w:rPr>
      </w:pPr>
    </w:p>
    <w:p>
      <w:pPr>
        <w:autoSpaceDE w:val="0"/>
        <w:autoSpaceDN w:val="0"/>
        <w:spacing w:line="360" w:lineRule="auto"/>
        <w:jc w:val="center"/>
        <w:rPr>
          <w:rFonts w:hint="eastAsia" w:ascii="方正大标宋简体" w:eastAsia="方正大标宋简体" w:cs="仿宋_GB2312"/>
          <w:color w:val="000000"/>
          <w:sz w:val="44"/>
          <w:szCs w:val="44"/>
        </w:rPr>
      </w:pPr>
    </w:p>
    <w:p>
      <w:pPr>
        <w:autoSpaceDE w:val="0"/>
        <w:autoSpaceDN w:val="0"/>
        <w:spacing w:line="360" w:lineRule="auto"/>
        <w:jc w:val="center"/>
        <w:rPr>
          <w:rFonts w:hint="eastAsia" w:ascii="方正大标宋简体" w:eastAsia="方正大标宋简体" w:cs="仿宋_GB2312"/>
          <w:color w:val="000000"/>
          <w:sz w:val="44"/>
          <w:szCs w:val="44"/>
        </w:rPr>
      </w:pPr>
    </w:p>
    <w:p>
      <w:pPr>
        <w:autoSpaceDE w:val="0"/>
        <w:autoSpaceDN w:val="0"/>
        <w:spacing w:line="360" w:lineRule="auto"/>
        <w:jc w:val="center"/>
        <w:rPr>
          <w:rFonts w:hint="eastAsia" w:ascii="方正大标宋简体" w:eastAsia="方正大标宋简体" w:cs="仿宋_GB2312"/>
          <w:color w:val="000000"/>
          <w:sz w:val="44"/>
          <w:szCs w:val="44"/>
        </w:rPr>
      </w:pPr>
    </w:p>
    <w:p>
      <w:pPr>
        <w:autoSpaceDE w:val="0"/>
        <w:autoSpaceDN w:val="0"/>
        <w:spacing w:line="360" w:lineRule="auto"/>
        <w:jc w:val="center"/>
        <w:rPr>
          <w:rFonts w:hint="eastAsia" w:ascii="方正大标宋简体" w:eastAsia="方正大标宋简体" w:cs="仿宋_GB2312"/>
          <w:color w:val="000000"/>
          <w:sz w:val="44"/>
          <w:szCs w:val="44"/>
        </w:rPr>
      </w:pPr>
    </w:p>
    <w:p>
      <w:pPr>
        <w:autoSpaceDE w:val="0"/>
        <w:autoSpaceDN w:val="0"/>
        <w:spacing w:line="360" w:lineRule="auto"/>
        <w:jc w:val="center"/>
        <w:rPr>
          <w:rFonts w:hint="eastAsia" w:ascii="方正大标宋简体" w:eastAsia="方正大标宋简体" w:cs="仿宋_GB2312"/>
          <w:color w:val="000000"/>
          <w:sz w:val="44"/>
          <w:szCs w:val="44"/>
        </w:rPr>
      </w:pPr>
    </w:p>
    <w:p>
      <w:pPr>
        <w:autoSpaceDE w:val="0"/>
        <w:autoSpaceDN w:val="0"/>
        <w:spacing w:line="360" w:lineRule="auto"/>
        <w:jc w:val="center"/>
        <w:rPr>
          <w:rFonts w:hint="eastAsia" w:ascii="方正大标宋简体" w:eastAsia="方正大标宋简体" w:cs="仿宋_GB2312"/>
          <w:color w:val="000000"/>
          <w:sz w:val="44"/>
          <w:szCs w:val="44"/>
        </w:rPr>
      </w:pPr>
    </w:p>
    <w:p>
      <w:pPr>
        <w:autoSpaceDE w:val="0"/>
        <w:autoSpaceDN w:val="0"/>
        <w:spacing w:line="360" w:lineRule="auto"/>
        <w:jc w:val="both"/>
        <w:rPr>
          <w:rFonts w:hint="eastAsia" w:ascii="方正大标宋简体" w:eastAsia="方正大标宋简体" w:cs="仿宋_GB2312"/>
          <w:color w:val="000000"/>
          <w:sz w:val="44"/>
          <w:szCs w:val="44"/>
        </w:rPr>
      </w:pPr>
    </w:p>
    <w:p>
      <w:pPr>
        <w:autoSpaceDE w:val="0"/>
        <w:autoSpaceDN w:val="0"/>
        <w:spacing w:line="360" w:lineRule="auto"/>
        <w:jc w:val="center"/>
        <w:rPr>
          <w:rFonts w:hint="eastAsia" w:ascii="方正大标宋简体" w:eastAsia="方正大标宋简体" w:cs="仿宋_GB2312"/>
          <w:color w:val="000000"/>
          <w:sz w:val="44"/>
          <w:szCs w:val="44"/>
        </w:rPr>
      </w:pPr>
      <w:r>
        <w:rPr>
          <w:rFonts w:hint="eastAsia" w:ascii="方正大标宋简体" w:eastAsia="方正大标宋简体" w:cs="仿宋_GB2312"/>
          <w:color w:val="000000"/>
          <w:sz w:val="44"/>
          <w:szCs w:val="44"/>
        </w:rPr>
        <w:t>20</w:t>
      </w:r>
      <w:r>
        <w:rPr>
          <w:rFonts w:hint="eastAsia" w:ascii="方正大标宋简体" w:eastAsia="方正大标宋简体" w:cs="仿宋_GB2312"/>
          <w:color w:val="000000"/>
          <w:sz w:val="44"/>
          <w:szCs w:val="44"/>
          <w:lang w:val="en-US" w:eastAsia="zh-CN"/>
        </w:rPr>
        <w:t>22</w:t>
      </w:r>
      <w:r>
        <w:rPr>
          <w:rFonts w:hint="eastAsia" w:ascii="方正大标宋简体" w:eastAsia="方正大标宋简体" w:cs="仿宋_GB2312"/>
          <w:color w:val="000000"/>
          <w:sz w:val="44"/>
          <w:szCs w:val="44"/>
        </w:rPr>
        <w:t>年项目支出绩效自评指标计分表</w:t>
      </w:r>
    </w:p>
    <w:tbl>
      <w:tblPr>
        <w:tblStyle w:val="3"/>
        <w:tblW w:w="10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97"/>
        <w:gridCol w:w="1054"/>
        <w:gridCol w:w="1054"/>
        <w:gridCol w:w="932"/>
        <w:gridCol w:w="3000"/>
        <w:gridCol w:w="3353"/>
        <w:gridCol w:w="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blHeader/>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一级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二级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三级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自评分</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具体指标</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评价标准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cs="宋体"/>
                <w:b/>
                <w:color w:val="000000"/>
                <w:kern w:val="0"/>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903"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策</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（15分）</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过程</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依据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有关法律法规的明确规定；某一经济社会发展规划；某部门年度工作计划；某一实际问题和需求</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符合法律法规（1分）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符合经济社会发展规划（1分）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部门年度工作计划（1分）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针对某一实际问题和需求（1分）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95"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程序</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项目符合申报条件；申报、批复程序符合相关管理办法；项目调整履行了相应手续</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符合申报条件（2分）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项目申报、批复程序符合管理办法（1分）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项目调整履行了相应手续（1分）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4"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p>
            <w:pPr>
              <w:widowControl/>
              <w:spacing w:line="300" w:lineRule="exact"/>
              <w:jc w:val="center"/>
              <w:rPr>
                <w:rFonts w:hint="eastAsia" w:ascii="宋体" w:hAnsi="宋体" w:cs="仿宋_GB2312"/>
                <w:bCs/>
                <w:color w:val="000000"/>
                <w:kern w:val="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办法</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根据需要制定的相关资金管理办法；管理办法中有明确资金分配办法；资金分配因素全面、合理</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有相应的资金管理办法（1分）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办法健全、规范（1分）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因素全面合理（1分）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结果</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default"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资金分配符合相关管理办法；分配结果公平合理</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符合分配办法（2分）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分配公平合理（2分）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80" w:hRule="atLeast"/>
          <w:jc w:val="center"/>
        </w:trPr>
        <w:tc>
          <w:tcPr>
            <w:tcW w:w="797" w:type="dxa"/>
            <w:vMerge w:val="restart"/>
            <w:tcBorders>
              <w:top w:val="single" w:color="auto" w:sz="4" w:space="0"/>
              <w:left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 xml:space="preserve">（25分） </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到位率</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实际到位/计划到位*100%</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根据项目资金的实际到位率计算得分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5" w:hRule="atLeast"/>
          <w:jc w:val="center"/>
        </w:trPr>
        <w:tc>
          <w:tcPr>
            <w:tcW w:w="797" w:type="dxa"/>
            <w:vMerge w:val="continue"/>
            <w:tcBorders>
              <w:left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资金及时到位；若未及时到位，是否影响项目进度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到位及时（2分）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不及时但未影响项目进度（1分）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不及时并影响项目进度（0.5分）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95" w:hRule="atLeast"/>
          <w:jc w:val="center"/>
        </w:trPr>
        <w:tc>
          <w:tcPr>
            <w:tcW w:w="797" w:type="dxa"/>
            <w:vMerge w:val="continue"/>
            <w:tcBorders>
              <w:left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使用</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支出依据合规，无虚列项目支出情况；无截留挤占挪用情况；无超标准开支情况；无超预算情况</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虚列套取扣4-7分 </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依据不合规扣2分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截留、挤占、挪用扣3-6分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超标准开支扣2-5分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超预算扣2-5分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4"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财务</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资金管理、费用支出等制度健全；制度执行严格；会计核算规范</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财务制度健全（1分）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严格执行制度（1分）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会计核算规范（1分）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pPr>
              <w:spacing w:line="306" w:lineRule="exact"/>
              <w:rPr>
                <w:rFonts w:hint="eastAsia" w:ascii="宋体" w:hAnsi="宋体" w:cs="仿宋_GB2312"/>
                <w:bCs/>
                <w:color w:val="000000"/>
                <w:sz w:val="24"/>
              </w:rPr>
            </w:pPr>
            <w:r>
              <w:rPr>
                <w:rFonts w:hint="eastAsia" w:ascii="宋体" w:hAnsi="宋体" w:cs="仿宋_GB2312"/>
                <w:bCs/>
                <w:color w:val="000000"/>
                <w:kern w:val="0"/>
                <w:sz w:val="24"/>
              </w:rPr>
              <w:t>（25分）</w:t>
            </w:r>
          </w:p>
        </w:tc>
        <w:tc>
          <w:tcPr>
            <w:tcW w:w="1054" w:type="dxa"/>
            <w:vMerge w:val="restart"/>
            <w:tcBorders>
              <w:top w:val="single" w:color="auto" w:sz="4" w:space="0"/>
              <w:left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机构</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ind w:left="240" w:hanging="240" w:hangingChars="100"/>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  （2分）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ind w:left="240" w:hanging="240" w:hangingChars="100"/>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0" w:hRule="atLeast"/>
          <w:jc w:val="center"/>
        </w:trPr>
        <w:tc>
          <w:tcPr>
            <w:tcW w:w="797"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项目按计划开工；按计划进度开展；按计划完工</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按计划开工（1分）   </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按计划开展（1分）   </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按计划完工（1分）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制度</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项目管理制度健全；严格执行相关管理制度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管理制度健全（2分）</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制度执行严格（3分）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绩</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（60分）</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数量</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根据该项目实际，标识具体明确的产出数量</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对照绩效目标，按实际产出数量率计算得分（5分）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质量</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根据该项目实际，标识具体明确的产出质量</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对照绩效目标，按实际产出质量率计算得分（5分）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根据该项目实际，标识具体明确的产出时效</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对照绩效目标，按实际产出时效率计算得分（5分）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成本</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根据该项目实际，标识具体明确的产出成本</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对照绩效目标，按实际产出成本率计算得分（5分）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0"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效果</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经济</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根据项目实际，标识所产生的直接或间接的经济效益</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对照绩效目标，按经济效益实现程度计算得分（8分）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社会</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根据项目实际，标识所产生的社会效益</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对照绩效目标，按社会效益实现程度计算得分（8分）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1"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环境</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根据项目实际，标识对环境所产生的积极或消极影响</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对照绩效目标，按对环境所产生的实际影响程度计算得分（8分）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可持续影响</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项目产出能持续运用；项目运行所依赖的政策制度能持续执行</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项目产出能持续运用（4分）</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所依赖的政策制度能持续执行（4分）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服务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对象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满意度</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bookmarkStart w:id="0" w:name="_GoBack"/>
            <w:bookmarkEnd w:id="0"/>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项目预期服务对象对项目实施的满意程度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按收集到的项目服务对象的满意率计算得分（8分）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290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总分</w:t>
            </w:r>
          </w:p>
        </w:tc>
        <w:tc>
          <w:tcPr>
            <w:tcW w:w="764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　</w:t>
            </w:r>
          </w:p>
          <w:p>
            <w:pPr>
              <w:widowControl/>
              <w:spacing w:line="260" w:lineRule="exact"/>
              <w:jc w:val="center"/>
              <w:rPr>
                <w:rFonts w:hint="default"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98</w:t>
            </w:r>
          </w:p>
          <w:p>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　</w:t>
            </w:r>
          </w:p>
        </w:tc>
      </w:tr>
    </w:tbl>
    <w:p/>
    <w:sectPr>
      <w:pgSz w:w="11906" w:h="16838"/>
      <w:pgMar w:top="1928"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iODg3ZjY0MmMxNTM0ODZhNzNmZTQzY2IwNWY1NWMifQ=="/>
  </w:docVars>
  <w:rsids>
    <w:rsidRoot w:val="28626ADB"/>
    <w:rsid w:val="0C324988"/>
    <w:rsid w:val="0D6006E1"/>
    <w:rsid w:val="10946A64"/>
    <w:rsid w:val="14190974"/>
    <w:rsid w:val="24A14E21"/>
    <w:rsid w:val="28626ADB"/>
    <w:rsid w:val="52D80B6F"/>
    <w:rsid w:val="58E168D8"/>
    <w:rsid w:val="6BFB0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unhideWhenUsed/>
    <w:qFormat/>
    <w:uiPriority w:val="0"/>
    <w:pPr>
      <w:widowControl/>
      <w:spacing w:before="100" w:beforeAutospacing="1" w:after="100" w:afterAutospacing="1"/>
      <w:jc w:val="left"/>
      <w:outlineLvl w:val="1"/>
    </w:pPr>
    <w:rPr>
      <w:rFonts w:ascii="宋体" w:hAnsi="宋体" w:eastAsia="宋体" w:cs="宋体"/>
      <w:kern w:val="0"/>
      <w:sz w:val="36"/>
      <w:szCs w:val="36"/>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3408</Words>
  <Characters>3521</Characters>
  <Lines>0</Lines>
  <Paragraphs>0</Paragraphs>
  <TotalTime>14</TotalTime>
  <ScaleCrop>false</ScaleCrop>
  <LinksUpToDate>false</LinksUpToDate>
  <CharactersWithSpaces>3537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2021-08-17T09:04:00Z</dcterms:created>
  <dc:creator>WPS_1618711780</dc:creator>
  <cp:lastModifiedBy>WPS_1618711780</cp:lastModifiedBy>
  <dcterms:modified xsi:type="dcterms:W3CDTF">2023-03-18T02:56:56Z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A4DA94454E37474E843FEC01809950BA</vt:lpwstr>
  </property>
</Properties>
</file>