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eastAsia="黑体"/>
          <w:color w:val="000000"/>
          <w:kern w:val="0"/>
          <w:sz w:val="32"/>
          <w:szCs w:val="32"/>
        </w:rPr>
      </w:pPr>
      <w:r>
        <w:rPr>
          <w:rFonts w:hAnsi="黑体" w:eastAsia="黑体"/>
          <w:color w:val="000000"/>
          <w:kern w:val="0"/>
          <w:sz w:val="32"/>
          <w:szCs w:val="32"/>
        </w:rPr>
        <w:t>附件</w:t>
      </w:r>
      <w:r>
        <w:rPr>
          <w:rFonts w:eastAsia="黑体"/>
          <w:color w:val="000000"/>
          <w:kern w:val="0"/>
          <w:sz w:val="32"/>
          <w:szCs w:val="32"/>
        </w:rPr>
        <w:t>3</w:t>
      </w:r>
    </w:p>
    <w:p>
      <w:pPr>
        <w:spacing w:line="360" w:lineRule="auto"/>
        <w:jc w:val="center"/>
        <w:rPr>
          <w:rFonts w:hint="default" w:hAnsi="黑体" w:eastAsia="黑体"/>
          <w:color w:val="000000"/>
          <w:kern w:val="0"/>
          <w:sz w:val="32"/>
          <w:szCs w:val="32"/>
          <w:lang w:val="en-US" w:eastAsia="zh-CN"/>
        </w:rPr>
      </w:pPr>
      <w:r>
        <w:rPr>
          <w:rFonts w:hint="eastAsia" w:ascii="方正大标宋简体" w:eastAsia="方正大标宋简体" w:cs="仿宋_GB2312"/>
          <w:color w:val="000000"/>
          <w:sz w:val="44"/>
          <w:szCs w:val="44"/>
        </w:rPr>
        <w:t>20</w:t>
      </w:r>
      <w:r>
        <w:rPr>
          <w:rFonts w:hint="eastAsia" w:ascii="方正大标宋简体" w:eastAsia="方正大标宋简体" w:cs="仿宋_GB2312"/>
          <w:color w:val="000000"/>
          <w:sz w:val="44"/>
          <w:szCs w:val="44"/>
          <w:lang w:val="en-US" w:eastAsia="zh-CN"/>
        </w:rPr>
        <w:t>22</w:t>
      </w:r>
      <w:r>
        <w:rPr>
          <w:rFonts w:hint="eastAsia" w:ascii="方正大标宋简体" w:eastAsia="方正大标宋简体" w:cs="仿宋_GB2312"/>
          <w:color w:val="000000"/>
          <w:sz w:val="44"/>
          <w:szCs w:val="44"/>
        </w:rPr>
        <w:t>年部门整体支出绩效自评表</w:t>
      </w:r>
    </w:p>
    <w:tbl>
      <w:tblPr>
        <w:tblStyle w:val="6"/>
        <w:tblW w:w="10459"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710"/>
        <w:gridCol w:w="1382"/>
        <w:gridCol w:w="522"/>
        <w:gridCol w:w="81"/>
        <w:gridCol w:w="1885"/>
        <w:gridCol w:w="1622"/>
        <w:gridCol w:w="5"/>
        <w:gridCol w:w="1535"/>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3450" w:type="dxa"/>
            <w:gridSpan w:val="3"/>
            <w:noWrap w:val="0"/>
            <w:vAlign w:val="center"/>
          </w:tcPr>
          <w:p>
            <w:pPr>
              <w:spacing w:line="360" w:lineRule="auto"/>
              <w:jc w:val="center"/>
              <w:rPr>
                <w:rFonts w:hAnsi="黑体" w:eastAsia="黑体"/>
                <w:color w:val="000000"/>
                <w:kern w:val="0"/>
                <w:sz w:val="32"/>
                <w:szCs w:val="32"/>
                <w:vertAlign w:val="baseline"/>
              </w:rPr>
            </w:pPr>
            <w:r>
              <w:rPr>
                <w:rFonts w:hint="eastAsia" w:cs="宋体"/>
                <w:color w:val="000000"/>
                <w:sz w:val="24"/>
                <w:lang w:val="en-US" w:eastAsia="zh-CN"/>
              </w:rPr>
              <w:t>预算单位名称</w:t>
            </w:r>
          </w:p>
        </w:tc>
        <w:tc>
          <w:tcPr>
            <w:tcW w:w="7009" w:type="dxa"/>
            <w:gridSpan w:val="7"/>
            <w:noWrap w:val="0"/>
            <w:vAlign w:val="center"/>
          </w:tcPr>
          <w:p>
            <w:pPr>
              <w:spacing w:line="360" w:lineRule="auto"/>
              <w:jc w:val="center"/>
              <w:rPr>
                <w:rFonts w:hAnsi="黑体" w:eastAsia="黑体"/>
                <w:color w:val="000000"/>
                <w:kern w:val="0"/>
                <w:sz w:val="32"/>
                <w:szCs w:val="32"/>
                <w:vertAlign w:val="baseline"/>
              </w:rPr>
            </w:pPr>
            <w:r>
              <w:rPr>
                <w:rFonts w:hint="eastAsia" w:ascii="宋体" w:hAnsi="宋体" w:eastAsia="宋体" w:cs="宋体"/>
                <w:color w:val="000000"/>
                <w:kern w:val="0"/>
                <w:sz w:val="24"/>
                <w:szCs w:val="24"/>
                <w:vertAlign w:val="baseline"/>
                <w:lang w:val="en-US" w:eastAsia="zh-CN"/>
              </w:rPr>
              <w:t>大通湖区教育和卫生健康局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年度预算资金（万元）</w:t>
            </w:r>
          </w:p>
        </w:tc>
        <w:tc>
          <w:tcPr>
            <w:tcW w:w="2695" w:type="dxa"/>
            <w:gridSpan w:val="4"/>
            <w:noWrap w:val="0"/>
            <w:vAlign w:val="center"/>
          </w:tcPr>
          <w:p>
            <w:pPr>
              <w:spacing w:line="360" w:lineRule="auto"/>
              <w:jc w:val="center"/>
              <w:rPr>
                <w:rFonts w:hAnsi="黑体" w:eastAsia="黑体"/>
                <w:color w:val="000000"/>
                <w:kern w:val="0"/>
                <w:sz w:val="32"/>
                <w:szCs w:val="32"/>
                <w:vertAlign w:val="baseline"/>
              </w:rPr>
            </w:pPr>
          </w:p>
        </w:tc>
        <w:tc>
          <w:tcPr>
            <w:tcW w:w="188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年初预算数</w:t>
            </w:r>
          </w:p>
        </w:tc>
        <w:tc>
          <w:tcPr>
            <w:tcW w:w="1622"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全年预算数</w:t>
            </w:r>
          </w:p>
        </w:tc>
        <w:tc>
          <w:tcPr>
            <w:tcW w:w="1540" w:type="dxa"/>
            <w:gridSpan w:val="2"/>
            <w:noWrap w:val="0"/>
            <w:vAlign w:val="center"/>
          </w:tcPr>
          <w:p>
            <w:pPr>
              <w:spacing w:line="360" w:lineRule="auto"/>
              <w:jc w:val="center"/>
              <w:rPr>
                <w:rFonts w:hint="default" w:hAnsi="黑体" w:eastAsia="黑体"/>
                <w:color w:val="000000"/>
                <w:kern w:val="0"/>
                <w:sz w:val="32"/>
                <w:szCs w:val="32"/>
                <w:vertAlign w:val="baseline"/>
                <w:lang w:val="en-US" w:eastAsia="zh-CN"/>
              </w:rPr>
            </w:pPr>
            <w:r>
              <w:rPr>
                <w:rFonts w:hint="eastAsia" w:cs="宋体"/>
                <w:color w:val="000000"/>
                <w:sz w:val="24"/>
                <w:lang w:val="en-US" w:eastAsia="zh-CN"/>
              </w:rPr>
              <w:t>全年执行数</w:t>
            </w:r>
          </w:p>
        </w:tc>
        <w:tc>
          <w:tcPr>
            <w:tcW w:w="1359"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Merge w:val="continue"/>
            <w:noWrap w:val="0"/>
            <w:vAlign w:val="center"/>
          </w:tcPr>
          <w:p>
            <w:pPr>
              <w:spacing w:line="360" w:lineRule="auto"/>
              <w:jc w:val="center"/>
              <w:rPr>
                <w:rFonts w:hint="eastAsia" w:cs="宋体"/>
                <w:color w:val="000000"/>
                <w:sz w:val="24"/>
                <w:lang w:val="en-US" w:eastAsia="zh-CN"/>
              </w:rPr>
            </w:pPr>
          </w:p>
        </w:tc>
        <w:tc>
          <w:tcPr>
            <w:tcW w:w="2695" w:type="dxa"/>
            <w:gridSpan w:val="4"/>
            <w:noWrap w:val="0"/>
            <w:vAlign w:val="center"/>
          </w:tcPr>
          <w:p>
            <w:pPr>
              <w:spacing w:line="360" w:lineRule="auto"/>
              <w:jc w:val="center"/>
              <w:rPr>
                <w:rFonts w:hint="default" w:hAnsi="黑体" w:eastAsia="黑体"/>
                <w:color w:val="000000"/>
                <w:kern w:val="0"/>
                <w:sz w:val="32"/>
                <w:szCs w:val="32"/>
                <w:vertAlign w:val="baseline"/>
                <w:lang w:val="en-US" w:eastAsia="zh-CN"/>
              </w:rPr>
            </w:pPr>
            <w:r>
              <w:rPr>
                <w:rFonts w:hint="eastAsia" w:cs="宋体"/>
                <w:color w:val="000000"/>
                <w:sz w:val="24"/>
                <w:lang w:val="en-US" w:eastAsia="zh-CN"/>
              </w:rPr>
              <w:t>年度资金总额</w:t>
            </w:r>
          </w:p>
        </w:tc>
        <w:tc>
          <w:tcPr>
            <w:tcW w:w="188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1404.95</w:t>
            </w:r>
          </w:p>
        </w:tc>
        <w:tc>
          <w:tcPr>
            <w:tcW w:w="1622"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13277.37</w:t>
            </w:r>
          </w:p>
        </w:tc>
        <w:tc>
          <w:tcPr>
            <w:tcW w:w="1540"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13277.37</w:t>
            </w:r>
          </w:p>
        </w:tc>
        <w:tc>
          <w:tcPr>
            <w:tcW w:w="1359"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Merge w:val="continue"/>
            <w:noWrap w:val="0"/>
            <w:vAlign w:val="center"/>
          </w:tcPr>
          <w:p>
            <w:pPr>
              <w:spacing w:line="360" w:lineRule="auto"/>
              <w:jc w:val="center"/>
              <w:rPr>
                <w:rFonts w:hint="eastAsia" w:cs="宋体"/>
                <w:color w:val="000000"/>
                <w:sz w:val="24"/>
                <w:lang w:val="en-US" w:eastAsia="zh-CN"/>
              </w:rPr>
            </w:pPr>
          </w:p>
        </w:tc>
        <w:tc>
          <w:tcPr>
            <w:tcW w:w="2695" w:type="dxa"/>
            <w:gridSpan w:val="4"/>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其中：当年财政拨款</w:t>
            </w:r>
          </w:p>
        </w:tc>
        <w:tc>
          <w:tcPr>
            <w:tcW w:w="188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1404.95</w:t>
            </w:r>
          </w:p>
        </w:tc>
        <w:tc>
          <w:tcPr>
            <w:tcW w:w="1622"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12924.33</w:t>
            </w:r>
          </w:p>
        </w:tc>
        <w:tc>
          <w:tcPr>
            <w:tcW w:w="1540"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12924.33</w:t>
            </w:r>
          </w:p>
        </w:tc>
        <w:tc>
          <w:tcPr>
            <w:tcW w:w="1359"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Merge w:val="continue"/>
            <w:noWrap w:val="0"/>
            <w:vAlign w:val="center"/>
          </w:tcPr>
          <w:p>
            <w:pPr>
              <w:spacing w:line="360" w:lineRule="auto"/>
              <w:jc w:val="center"/>
              <w:rPr>
                <w:rFonts w:hint="eastAsia" w:cs="宋体"/>
                <w:color w:val="000000"/>
                <w:sz w:val="24"/>
                <w:lang w:val="en-US" w:eastAsia="zh-CN"/>
              </w:rPr>
            </w:pPr>
          </w:p>
        </w:tc>
        <w:tc>
          <w:tcPr>
            <w:tcW w:w="2695" w:type="dxa"/>
            <w:gridSpan w:val="4"/>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上年结转资金</w:t>
            </w:r>
          </w:p>
        </w:tc>
        <w:tc>
          <w:tcPr>
            <w:tcW w:w="1885" w:type="dxa"/>
            <w:noWrap w:val="0"/>
            <w:vAlign w:val="center"/>
          </w:tcPr>
          <w:p>
            <w:pPr>
              <w:spacing w:line="360" w:lineRule="auto"/>
              <w:jc w:val="center"/>
              <w:rPr>
                <w:rFonts w:hint="eastAsia" w:cs="宋体"/>
                <w:color w:val="000000"/>
                <w:sz w:val="24"/>
                <w:lang w:val="en-US" w:eastAsia="zh-CN"/>
              </w:rPr>
            </w:pPr>
          </w:p>
        </w:tc>
        <w:tc>
          <w:tcPr>
            <w:tcW w:w="1622" w:type="dxa"/>
            <w:noWrap w:val="0"/>
            <w:vAlign w:val="center"/>
          </w:tcPr>
          <w:p>
            <w:pPr>
              <w:spacing w:line="360" w:lineRule="auto"/>
              <w:jc w:val="center"/>
              <w:rPr>
                <w:rFonts w:hint="eastAsia" w:cs="宋体"/>
                <w:color w:val="000000"/>
                <w:sz w:val="24"/>
                <w:lang w:val="en-US" w:eastAsia="zh-CN"/>
              </w:rPr>
            </w:pPr>
          </w:p>
        </w:tc>
        <w:tc>
          <w:tcPr>
            <w:tcW w:w="1540" w:type="dxa"/>
            <w:gridSpan w:val="2"/>
            <w:noWrap w:val="0"/>
            <w:vAlign w:val="center"/>
          </w:tcPr>
          <w:p>
            <w:pPr>
              <w:spacing w:line="360" w:lineRule="auto"/>
              <w:jc w:val="center"/>
              <w:rPr>
                <w:rFonts w:hint="eastAsia" w:cs="宋体"/>
                <w:color w:val="000000"/>
                <w:sz w:val="24"/>
                <w:lang w:val="en-US" w:eastAsia="zh-CN"/>
              </w:rPr>
            </w:pP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Merge w:val="continue"/>
            <w:noWrap w:val="0"/>
            <w:vAlign w:val="center"/>
          </w:tcPr>
          <w:p>
            <w:pPr>
              <w:spacing w:line="360" w:lineRule="auto"/>
              <w:jc w:val="center"/>
              <w:rPr>
                <w:rFonts w:hint="eastAsia" w:cs="宋体"/>
                <w:color w:val="000000"/>
                <w:sz w:val="24"/>
                <w:lang w:val="en-US" w:eastAsia="zh-CN"/>
              </w:rPr>
            </w:pPr>
          </w:p>
        </w:tc>
        <w:tc>
          <w:tcPr>
            <w:tcW w:w="2695" w:type="dxa"/>
            <w:gridSpan w:val="4"/>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其他资金</w:t>
            </w:r>
          </w:p>
        </w:tc>
        <w:tc>
          <w:tcPr>
            <w:tcW w:w="1885" w:type="dxa"/>
            <w:noWrap w:val="0"/>
            <w:vAlign w:val="center"/>
          </w:tcPr>
          <w:p>
            <w:pPr>
              <w:spacing w:line="360" w:lineRule="auto"/>
              <w:jc w:val="center"/>
              <w:rPr>
                <w:rFonts w:hint="eastAsia" w:cs="宋体"/>
                <w:color w:val="000000"/>
                <w:sz w:val="24"/>
                <w:lang w:val="en-US" w:eastAsia="zh-CN"/>
              </w:rPr>
            </w:pPr>
          </w:p>
        </w:tc>
        <w:tc>
          <w:tcPr>
            <w:tcW w:w="1622"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353.04</w:t>
            </w:r>
          </w:p>
        </w:tc>
        <w:tc>
          <w:tcPr>
            <w:tcW w:w="1540"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353.04</w:t>
            </w:r>
          </w:p>
        </w:tc>
        <w:tc>
          <w:tcPr>
            <w:tcW w:w="1359"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68"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年度总体目标</w:t>
            </w:r>
          </w:p>
        </w:tc>
        <w:tc>
          <w:tcPr>
            <w:tcW w:w="3870" w:type="dxa"/>
            <w:gridSpan w:val="4"/>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预期目标</w:t>
            </w:r>
          </w:p>
        </w:tc>
        <w:tc>
          <w:tcPr>
            <w:tcW w:w="4521" w:type="dxa"/>
            <w:gridSpan w:val="4"/>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trPr>
        <w:tc>
          <w:tcPr>
            <w:tcW w:w="2068" w:type="dxa"/>
            <w:gridSpan w:val="2"/>
            <w:vMerge w:val="continue"/>
            <w:noWrap w:val="0"/>
            <w:vAlign w:val="center"/>
          </w:tcPr>
          <w:p>
            <w:pPr>
              <w:spacing w:line="360" w:lineRule="auto"/>
              <w:jc w:val="center"/>
              <w:rPr>
                <w:rFonts w:hint="eastAsia" w:cs="宋体"/>
                <w:color w:val="000000"/>
                <w:sz w:val="24"/>
                <w:lang w:val="en-US" w:eastAsia="zh-CN"/>
              </w:rPr>
            </w:pPr>
          </w:p>
        </w:tc>
        <w:tc>
          <w:tcPr>
            <w:tcW w:w="3870" w:type="dxa"/>
            <w:gridSpan w:val="4"/>
            <w:noWrap w:val="0"/>
            <w:vAlign w:val="center"/>
          </w:tcPr>
          <w:p>
            <w:pPr>
              <w:spacing w:line="36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目标1：制定全区教育、与卫生工作的方针和事业建设总体规划，并组织实施、完成每项工作。</w:t>
            </w:r>
          </w:p>
          <w:p>
            <w:pPr>
              <w:spacing w:line="36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目标2</w:t>
            </w:r>
            <w:r>
              <w:rPr>
                <w:rFonts w:hint="eastAsia" w:ascii="宋体" w:hAnsi="宋体" w:cs="宋体"/>
                <w:color w:val="000000"/>
                <w:sz w:val="24"/>
                <w:szCs w:val="24"/>
                <w:lang w:val="en-US" w:eastAsia="zh-CN"/>
              </w:rPr>
              <w:t>：统筹医疗卫生与卫生经费，合理编制部门预算，做好资金分配方案，推进医疗卫生与教育事业发展。</w:t>
            </w:r>
          </w:p>
          <w:p>
            <w:pPr>
              <w:spacing w:line="36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目标</w:t>
            </w:r>
            <w:r>
              <w:rPr>
                <w:rFonts w:hint="eastAsia" w:ascii="宋体" w:hAnsi="宋体" w:cs="宋体"/>
                <w:color w:val="000000"/>
                <w:sz w:val="24"/>
                <w:szCs w:val="24"/>
                <w:lang w:val="en-US" w:eastAsia="zh-CN"/>
              </w:rPr>
              <w:t>3</w:t>
            </w:r>
            <w:r>
              <w:rPr>
                <w:rFonts w:hint="eastAsia" w:ascii="宋体" w:hAnsi="宋体" w:eastAsia="宋体" w:cs="宋体"/>
                <w:color w:val="000000"/>
                <w:sz w:val="24"/>
                <w:szCs w:val="24"/>
                <w:lang w:val="en-US" w:eastAsia="zh-CN"/>
              </w:rPr>
              <w:t>：保障本单位人员工资及正常运行，加强公用经费管理。</w:t>
            </w:r>
          </w:p>
          <w:p>
            <w:pPr>
              <w:spacing w:line="36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目标</w:t>
            </w:r>
            <w:r>
              <w:rPr>
                <w:rFonts w:hint="eastAsia" w:ascii="宋体" w:hAnsi="宋体" w:cs="宋体"/>
                <w:color w:val="000000"/>
                <w:sz w:val="24"/>
                <w:szCs w:val="24"/>
                <w:lang w:val="en-US" w:eastAsia="zh-CN"/>
              </w:rPr>
              <w:t>4</w:t>
            </w:r>
            <w:r>
              <w:rPr>
                <w:rFonts w:hint="eastAsia" w:ascii="宋体" w:hAnsi="宋体" w:eastAsia="宋体" w:cs="宋体"/>
                <w:color w:val="000000"/>
                <w:sz w:val="24"/>
                <w:szCs w:val="24"/>
                <w:lang w:val="en-US" w:eastAsia="zh-CN"/>
              </w:rPr>
              <w:t>：项目资金专款专用，专用设备购置和工程项目，执行招投标及政府采购程序。</w:t>
            </w:r>
          </w:p>
          <w:p>
            <w:pPr>
              <w:spacing w:line="36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目标</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lang w:val="en-US" w:eastAsia="zh-CN"/>
              </w:rPr>
              <w:t>：建立健全财务制度，加强经济核算，加强资产管理，合理配置和有效利用资产，防止资产流失，防范财务风险。</w:t>
            </w:r>
          </w:p>
          <w:p>
            <w:pPr>
              <w:spacing w:line="360" w:lineRule="auto"/>
              <w:jc w:val="center"/>
              <w:rPr>
                <w:rFonts w:hint="eastAsia" w:cs="宋体"/>
                <w:color w:val="000000"/>
                <w:sz w:val="24"/>
                <w:lang w:val="en-US" w:eastAsia="zh-CN"/>
              </w:rPr>
            </w:pPr>
          </w:p>
        </w:tc>
        <w:tc>
          <w:tcPr>
            <w:tcW w:w="4521" w:type="dxa"/>
            <w:gridSpan w:val="4"/>
            <w:noWrap w:val="0"/>
            <w:vAlign w:val="center"/>
          </w:tcPr>
          <w:p>
            <w:pPr>
              <w:spacing w:line="36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目标1：制定了全县教育</w:t>
            </w:r>
            <w:r>
              <w:rPr>
                <w:rFonts w:hint="eastAsia" w:ascii="宋体" w:hAnsi="宋体" w:cs="宋体"/>
                <w:color w:val="000000"/>
                <w:sz w:val="24"/>
                <w:szCs w:val="24"/>
                <w:lang w:val="en-US" w:eastAsia="zh-CN"/>
              </w:rPr>
              <w:t>和卫生</w:t>
            </w:r>
            <w:r>
              <w:rPr>
                <w:rFonts w:hint="eastAsia" w:ascii="宋体" w:hAnsi="宋体" w:eastAsia="宋体" w:cs="宋体"/>
                <w:color w:val="000000"/>
                <w:sz w:val="24"/>
                <w:szCs w:val="24"/>
                <w:lang w:val="en-US" w:eastAsia="zh-CN"/>
              </w:rPr>
              <w:t>工作的方针和事业建设总体规划，并组织实施、尽职尽责完成每项工作</w:t>
            </w:r>
            <w:r>
              <w:rPr>
                <w:rFonts w:hint="eastAsia" w:ascii="宋体" w:hAnsi="宋体" w:cs="宋体"/>
                <w:color w:val="000000"/>
                <w:sz w:val="24"/>
                <w:szCs w:val="24"/>
                <w:lang w:val="en-US" w:eastAsia="zh-CN"/>
              </w:rPr>
              <w:t>。</w:t>
            </w:r>
          </w:p>
          <w:p>
            <w:pPr>
              <w:spacing w:line="360" w:lineRule="auto"/>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目标2：健全预算管理制度，按文件要求合理分配财政资金。</w:t>
            </w:r>
          </w:p>
          <w:p>
            <w:pPr>
              <w:spacing w:line="360" w:lineRule="auto"/>
              <w:jc w:val="left"/>
              <w:rPr>
                <w:rFonts w:hint="eastAsia" w:ascii="宋体" w:hAnsi="宋体" w:cs="宋体"/>
                <w:color w:val="000000"/>
                <w:sz w:val="24"/>
                <w:szCs w:val="24"/>
                <w:lang w:val="en-US" w:eastAsia="zh-CN"/>
              </w:rPr>
            </w:pPr>
            <w:r>
              <w:rPr>
                <w:rFonts w:hint="eastAsia" w:ascii="宋体" w:hAnsi="宋体" w:eastAsia="宋体" w:cs="宋体"/>
                <w:color w:val="000000"/>
                <w:sz w:val="24"/>
                <w:szCs w:val="24"/>
                <w:lang w:val="en-US" w:eastAsia="zh-CN"/>
              </w:rPr>
              <w:t>目标</w:t>
            </w:r>
            <w:r>
              <w:rPr>
                <w:rFonts w:hint="eastAsia" w:ascii="宋体" w:hAnsi="宋体" w:cs="宋体"/>
                <w:color w:val="000000"/>
                <w:sz w:val="24"/>
                <w:szCs w:val="24"/>
                <w:lang w:val="en-US" w:eastAsia="zh-CN"/>
              </w:rPr>
              <w:t>3</w:t>
            </w:r>
            <w:r>
              <w:rPr>
                <w:rFonts w:hint="eastAsia" w:ascii="宋体" w:hAnsi="宋体" w:eastAsia="宋体" w:cs="宋体"/>
                <w:color w:val="000000"/>
                <w:sz w:val="24"/>
                <w:szCs w:val="24"/>
                <w:lang w:val="en-US" w:eastAsia="zh-CN"/>
              </w:rPr>
              <w:t>：严格按年度目标完成，切实加强公用经费的使用管理，规范公用经费支出，提高资金使用效益。</w:t>
            </w:r>
            <w:r>
              <w:rPr>
                <w:rFonts w:hint="eastAsia" w:ascii="宋体" w:hAnsi="宋体" w:eastAsia="宋体" w:cs="宋体"/>
                <w:color w:val="FF0000"/>
                <w:sz w:val="24"/>
                <w:szCs w:val="24"/>
                <w:lang w:val="en-US" w:eastAsia="zh-CN"/>
              </w:rPr>
              <w:t xml:space="preserve">   </w:t>
            </w:r>
            <w:r>
              <w:rPr>
                <w:rFonts w:hint="eastAsia" w:ascii="宋体" w:hAnsi="宋体" w:eastAsia="宋体" w:cs="宋体"/>
                <w:color w:val="000000"/>
                <w:sz w:val="24"/>
                <w:szCs w:val="24"/>
                <w:lang w:val="en-US" w:eastAsia="zh-CN"/>
              </w:rPr>
              <w:t xml:space="preserve">                                     目标</w:t>
            </w:r>
            <w:r>
              <w:rPr>
                <w:rFonts w:hint="eastAsia" w:ascii="宋体" w:hAnsi="宋体" w:cs="宋体"/>
                <w:color w:val="000000"/>
                <w:sz w:val="24"/>
                <w:szCs w:val="24"/>
                <w:lang w:val="en-US" w:eastAsia="zh-CN"/>
              </w:rPr>
              <w:t>4</w:t>
            </w:r>
            <w:r>
              <w:rPr>
                <w:rFonts w:hint="eastAsia" w:ascii="宋体" w:hAnsi="宋体" w:eastAsia="宋体" w:cs="宋体"/>
                <w:color w:val="000000"/>
                <w:sz w:val="24"/>
                <w:szCs w:val="24"/>
                <w:lang w:val="en-US" w:eastAsia="zh-CN"/>
              </w:rPr>
              <w:t>：项目资金实现专款专用，统一管理，专用设备购置和工程项目，严格执行招投标及政府采购程序，严格按项目和进度执行，提高部门预算收支管理水平；                                                                     目标</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lang w:val="en-US" w:eastAsia="zh-CN"/>
              </w:rPr>
              <w:t>：建立健全财务制度及厉行节约制度，加强经费审批和控制，规范支出并严格执行，加强资产管理，合理配置和有效利用资产，防止资产流失，防范财务风险</w:t>
            </w:r>
            <w:r>
              <w:rPr>
                <w:rFonts w:hint="eastAsia" w:ascii="宋体" w:hAnsi="宋体" w:cs="宋体"/>
                <w:color w:val="000000"/>
                <w:sz w:val="24"/>
                <w:szCs w:val="24"/>
                <w:lang w:val="en-US" w:eastAsia="zh-CN"/>
              </w:rPr>
              <w:t>。</w:t>
            </w:r>
          </w:p>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atLeast"/>
        </w:trPr>
        <w:tc>
          <w:tcPr>
            <w:tcW w:w="2068"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部门职能职责</w:t>
            </w:r>
          </w:p>
        </w:tc>
        <w:tc>
          <w:tcPr>
            <w:tcW w:w="8391" w:type="dxa"/>
            <w:gridSpan w:val="8"/>
            <w:noWrap w:val="0"/>
            <w:vAlign w:val="center"/>
          </w:tcPr>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（一）贯彻执行国家、省、市有关教育工作、国民健康政策及国家卫生健康法律法规，拟订全区教育改革与发展和卫生健康战略、政策和规划，并组织实施。</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二）指导各级各类学校的教育教学改革，负责教育基本信息的统计、分析和发布，指导全区教育信息化建设与应用。负责义务教育的宏观指导与协调，推进义务教育均衡发展，促进教育公平；指导普通高中教育、幼儿教育和特殊教育工作，推动素质教育的全面实施；负责管理和指导全区社会力量办学工作。</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三）统筹管理各类学历教育的招生考试和学籍、学历工作；落实中央和省、市有关普通高等学校招生考试、成人高等学校招生考试工作。负责教育人才交流的管理与服务工作。统筹规划和指导全区教师队伍建设。主管教师的职称评聘工作。指导推广普通话和规范汉字及普通话师资培训工作。</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（四）负责全区教育、教学研究工作，负责教育教学的质量评估工作。</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五）协调推进全区深化医药卫生体制改革。负责食源性疾病及与食品安全事故有关的流行病学调查。制定医疗机构、医疗服务行业管理办法并监督实施，建立医疗服务评价和监督管理体系；组织实施医疗服务规范、标准和卫生健康专业技术人员执业规则、服务规范。指导全区卫生健康工作，指导基层医疗卫生、妇幼健康服务体系建设，加强全科医生队伍建设；负责全区健康教育、健康促进和卫生健康信息化建设等工作。</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六）制定并组织落实全区疾病预防控制规划、免疫规划以及严重危害人民健康公共卫生问题的干预措施；负责卫生应急工作，组织指导突发公共卫生事件的预防控制和各类突发公共事件的医疗救援。协调开展职业病防治工作。</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（七）负责职责范围内的职业卫生、放射卫生、环境卫生、学校卫生、公共场所卫生、饮用水卫生等公共卫生的监督管理。</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（八）负责计划生育管理和服务工作，研究提出人口与家庭发展相关政策建议。组织拟订并协调落实应对老龄化的政策措施；组织拟订医养结合的政策、标准和规范，建立和完善老年健康服务体系。</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（九）负责重要来宾、重要会议与重大活动的医疗卫生保障工作，指导全区保健工作。</w:t>
            </w:r>
          </w:p>
          <w:p>
            <w:pPr>
              <w:spacing w:line="360" w:lineRule="auto"/>
              <w:jc w:val="both"/>
              <w:rPr>
                <w:rFonts w:hint="eastAsia" w:cs="宋体"/>
                <w:color w:val="000000"/>
                <w:sz w:val="24"/>
                <w:szCs w:val="24"/>
                <w:lang w:val="en-US" w:eastAsia="zh-CN"/>
              </w:rPr>
            </w:pPr>
            <w:r>
              <w:rPr>
                <w:rFonts w:hint="eastAsia" w:cs="宋体"/>
                <w:color w:val="000000"/>
                <w:sz w:val="24"/>
                <w:szCs w:val="24"/>
                <w:lang w:val="en-US" w:eastAsia="zh-CN"/>
              </w:rPr>
              <w:t>（十）承担区计划生育协会、红十字会等社会团体组织的日常工作。</w:t>
            </w:r>
          </w:p>
          <w:p>
            <w:pPr>
              <w:spacing w:line="360" w:lineRule="auto"/>
              <w:jc w:val="both"/>
              <w:rPr>
                <w:rFonts w:hint="eastAsia" w:cs="宋体"/>
                <w:color w:val="000000"/>
                <w:sz w:val="24"/>
                <w:lang w:val="en-US" w:eastAsia="zh-CN"/>
              </w:rPr>
            </w:pPr>
            <w:r>
              <w:rPr>
                <w:rFonts w:hint="eastAsia" w:cs="宋体"/>
                <w:color w:val="000000"/>
                <w:sz w:val="24"/>
                <w:szCs w:val="24"/>
                <w:lang w:val="en-US" w:eastAsia="zh-CN"/>
              </w:rPr>
              <w:t>（十一）完成区委、区管委会交办的其他任务。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358" w:type="dxa"/>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绩效指标</w:t>
            </w:r>
          </w:p>
        </w:tc>
        <w:tc>
          <w:tcPr>
            <w:tcW w:w="71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一级指标</w:t>
            </w:r>
          </w:p>
        </w:tc>
        <w:tc>
          <w:tcPr>
            <w:tcW w:w="1904" w:type="dxa"/>
            <w:gridSpan w:val="2"/>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二级指标</w:t>
            </w:r>
          </w:p>
        </w:tc>
        <w:tc>
          <w:tcPr>
            <w:tcW w:w="1966" w:type="dxa"/>
            <w:gridSpan w:val="2"/>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三级指标</w:t>
            </w:r>
          </w:p>
        </w:tc>
        <w:tc>
          <w:tcPr>
            <w:tcW w:w="1627" w:type="dxa"/>
            <w:gridSpan w:val="2"/>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年度指标值</w:t>
            </w:r>
          </w:p>
        </w:tc>
        <w:tc>
          <w:tcPr>
            <w:tcW w:w="15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实际完成值</w:t>
            </w:r>
          </w:p>
        </w:tc>
        <w:tc>
          <w:tcPr>
            <w:tcW w:w="1359"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偏差原因分析极改进措施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产生指标</w:t>
            </w: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数量指标</w:t>
            </w:r>
          </w:p>
        </w:tc>
        <w:tc>
          <w:tcPr>
            <w:tcW w:w="1966" w:type="dxa"/>
            <w:gridSpan w:val="2"/>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独生子女父母奖励人数</w:t>
            </w:r>
          </w:p>
        </w:tc>
        <w:tc>
          <w:tcPr>
            <w:tcW w:w="1535" w:type="dxa"/>
            <w:noWrap w:val="0"/>
            <w:vAlign w:val="center"/>
          </w:tcPr>
          <w:p>
            <w:pPr>
              <w:spacing w:line="360" w:lineRule="auto"/>
              <w:jc w:val="center"/>
              <w:rPr>
                <w:rFonts w:hint="eastAsia" w:cs="宋体"/>
                <w:color w:val="000000"/>
                <w:sz w:val="24"/>
                <w:lang w:val="en-US" w:eastAsia="zh-CN"/>
              </w:rPr>
            </w:pPr>
            <w:r>
              <w:rPr>
                <w:rFonts w:hint="eastAsia" w:ascii="宋体" w:hAnsi="宋体" w:eastAsia="宋体" w:cs="宋体"/>
                <w:color w:val="000000"/>
                <w:sz w:val="24"/>
                <w:szCs w:val="24"/>
                <w:lang w:val="en-US" w:eastAsia="zh-CN"/>
              </w:rPr>
              <w:t>9177人</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ascii="宋体" w:hAnsi="宋体" w:eastAsia="宋体" w:cs="宋体"/>
                <w:color w:val="000000"/>
                <w:sz w:val="24"/>
                <w:szCs w:val="24"/>
                <w:lang w:val="en-US" w:eastAsia="zh-CN"/>
              </w:rPr>
              <w:t>独生子女特别扶助对象</w:t>
            </w:r>
          </w:p>
        </w:tc>
        <w:tc>
          <w:tcPr>
            <w:tcW w:w="15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356名</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default" w:cs="宋体"/>
                <w:color w:val="FF0000"/>
                <w:sz w:val="24"/>
                <w:lang w:val="en-US" w:eastAsia="zh-CN"/>
              </w:rPr>
            </w:pPr>
            <w:r>
              <w:rPr>
                <w:rFonts w:hint="eastAsia" w:cs="宋体"/>
                <w:color w:val="000000"/>
                <w:sz w:val="24"/>
                <w:lang w:val="en-US" w:eastAsia="zh-CN"/>
              </w:rPr>
              <w:t>指标3</w:t>
            </w:r>
          </w:p>
        </w:tc>
        <w:tc>
          <w:tcPr>
            <w:tcW w:w="1627" w:type="dxa"/>
            <w:gridSpan w:val="2"/>
            <w:noWrap w:val="0"/>
            <w:vAlign w:val="center"/>
          </w:tcPr>
          <w:p>
            <w:pPr>
              <w:spacing w:line="360" w:lineRule="auto"/>
              <w:jc w:val="center"/>
              <w:rPr>
                <w:rFonts w:hint="eastAsia" w:ascii="宋体" w:hAnsi="宋体" w:eastAsia="宋体" w:cs="宋体"/>
                <w:color w:val="FF0000"/>
                <w:sz w:val="24"/>
                <w:szCs w:val="24"/>
                <w:lang w:val="en-US" w:eastAsia="zh-CN"/>
              </w:rPr>
            </w:pPr>
            <w:r>
              <w:rPr>
                <w:rFonts w:hint="eastAsia" w:ascii="宋体" w:hAnsi="宋体" w:eastAsia="宋体" w:cs="宋体"/>
                <w:sz w:val="24"/>
                <w:szCs w:val="24"/>
                <w:lang w:val="en-US" w:eastAsia="zh-CN"/>
              </w:rPr>
              <w:t>辖区艾滋病患者</w:t>
            </w:r>
          </w:p>
        </w:tc>
        <w:tc>
          <w:tcPr>
            <w:tcW w:w="1535" w:type="dxa"/>
            <w:noWrap w:val="0"/>
            <w:vAlign w:val="center"/>
          </w:tcPr>
          <w:p>
            <w:pPr>
              <w:spacing w:line="360" w:lineRule="auto"/>
              <w:jc w:val="center"/>
              <w:rPr>
                <w:rFonts w:hint="eastAsia" w:ascii="宋体" w:hAnsi="宋体" w:eastAsia="宋体" w:cs="宋体"/>
                <w:color w:val="FF0000"/>
                <w:sz w:val="24"/>
                <w:szCs w:val="24"/>
                <w:lang w:val="en-US" w:eastAsia="zh-CN"/>
              </w:rPr>
            </w:pPr>
            <w:r>
              <w:rPr>
                <w:rFonts w:hint="eastAsia" w:ascii="宋体" w:hAnsi="宋体" w:eastAsia="宋体" w:cs="宋体"/>
                <w:sz w:val="24"/>
                <w:szCs w:val="24"/>
                <w:lang w:val="en-US" w:eastAsia="zh-CN"/>
              </w:rPr>
              <w:t>68人</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质量指标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肺结核成功治疗率</w:t>
            </w:r>
          </w:p>
        </w:tc>
        <w:tc>
          <w:tcPr>
            <w:tcW w:w="1535" w:type="dxa"/>
            <w:noWrap w:val="0"/>
            <w:vAlign w:val="center"/>
          </w:tcPr>
          <w:p>
            <w:pPr>
              <w:spacing w:line="360" w:lineRule="auto"/>
              <w:jc w:val="center"/>
              <w:rPr>
                <w:rFonts w:hint="default" w:asciiTheme="minorEastAsia" w:hAnsiTheme="minorEastAsia" w:eastAsiaTheme="minorEastAsia" w:cstheme="minorEastAsia"/>
                <w:color w:val="000000"/>
                <w:kern w:val="2"/>
                <w:sz w:val="24"/>
                <w:szCs w:val="24"/>
                <w:lang w:val="en-US" w:eastAsia="zh-CN" w:bidi="ar-SA"/>
              </w:rPr>
            </w:pPr>
            <w:r>
              <w:rPr>
                <w:rFonts w:hint="default" w:ascii="Arial" w:hAnsi="Arial" w:cs="Arial" w:eastAsiaTheme="minorEastAsia"/>
                <w:color w:val="000000"/>
                <w:sz w:val="24"/>
                <w:szCs w:val="24"/>
                <w:lang w:val="en-US" w:eastAsia="zh-CN"/>
              </w:rPr>
              <w:t>≥</w:t>
            </w:r>
            <w:r>
              <w:rPr>
                <w:rFonts w:hint="eastAsia" w:asciiTheme="minorEastAsia" w:hAnsiTheme="minorEastAsia" w:eastAsiaTheme="minorEastAsia" w:cstheme="minorEastAsia"/>
                <w:color w:val="000000"/>
                <w:sz w:val="24"/>
                <w:szCs w:val="24"/>
                <w:lang w:val="en-US" w:eastAsia="zh-CN"/>
              </w:rPr>
              <w:t>90%</w:t>
            </w:r>
          </w:p>
        </w:tc>
        <w:tc>
          <w:tcPr>
            <w:tcW w:w="1359" w:type="dxa"/>
            <w:noWrap w:val="0"/>
            <w:vAlign w:val="center"/>
          </w:tcPr>
          <w:p>
            <w:pPr>
              <w:spacing w:line="360" w:lineRule="auto"/>
              <w:jc w:val="center"/>
              <w:rPr>
                <w:rFonts w:hint="eastAsia" w:asciiTheme="minorEastAsia" w:hAnsiTheme="minorEastAsia" w:eastAsiaTheme="minorEastAsia" w:cstheme="minorEastAsia"/>
                <w:color w:val="00000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独生子女父母奖励、计生奖扶特扶补助覆盖率</w:t>
            </w:r>
          </w:p>
        </w:tc>
        <w:tc>
          <w:tcPr>
            <w:tcW w:w="15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100%</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时效指标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资金使用期间</w:t>
            </w:r>
          </w:p>
        </w:tc>
        <w:tc>
          <w:tcPr>
            <w:tcW w:w="1535" w:type="dxa"/>
            <w:noWrap w:val="0"/>
            <w:vAlign w:val="center"/>
          </w:tcPr>
          <w:p>
            <w:pPr>
              <w:spacing w:line="360" w:lineRule="auto"/>
              <w:jc w:val="center"/>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sz w:val="24"/>
                <w:szCs w:val="24"/>
                <w:lang w:val="en-US" w:eastAsia="zh-CN"/>
              </w:rPr>
              <w:t>2022年1-12月</w:t>
            </w:r>
          </w:p>
        </w:tc>
        <w:tc>
          <w:tcPr>
            <w:tcW w:w="1359" w:type="dxa"/>
            <w:noWrap w:val="0"/>
            <w:vAlign w:val="center"/>
          </w:tcPr>
          <w:p>
            <w:pPr>
              <w:spacing w:line="360" w:lineRule="auto"/>
              <w:jc w:val="center"/>
              <w:rPr>
                <w:rFonts w:hint="eastAsia" w:asciiTheme="minorEastAsia" w:hAnsiTheme="minorEastAsia" w:eastAsiaTheme="minorEastAsia" w:cstheme="minorEastAsia"/>
                <w:color w:val="00000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各项工作经费及时足额拨付率</w:t>
            </w:r>
          </w:p>
        </w:tc>
        <w:tc>
          <w:tcPr>
            <w:tcW w:w="1535" w:type="dxa"/>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100%</w:t>
            </w:r>
          </w:p>
        </w:tc>
        <w:tc>
          <w:tcPr>
            <w:tcW w:w="1359" w:type="dxa"/>
            <w:noWrap w:val="0"/>
            <w:vAlign w:val="center"/>
          </w:tcPr>
          <w:p>
            <w:pPr>
              <w:spacing w:line="360" w:lineRule="auto"/>
              <w:jc w:val="center"/>
              <w:rPr>
                <w:rFonts w:hint="eastAsia"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成本指标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ascii="宋体" w:hAnsi="宋体" w:eastAsia="宋体" w:cs="宋体"/>
                <w:color w:val="000000"/>
                <w:sz w:val="24"/>
                <w:szCs w:val="24"/>
                <w:lang w:val="en-US" w:eastAsia="zh-CN"/>
              </w:rPr>
              <w:t>独生子女伤残家庭特别扶助金</w:t>
            </w:r>
          </w:p>
        </w:tc>
        <w:tc>
          <w:tcPr>
            <w:tcW w:w="1535" w:type="dxa"/>
            <w:noWrap w:val="0"/>
            <w:vAlign w:val="center"/>
          </w:tcPr>
          <w:p>
            <w:pPr>
              <w:spacing w:line="360" w:lineRule="auto"/>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700元/月/人</w:t>
            </w:r>
          </w:p>
        </w:tc>
        <w:tc>
          <w:tcPr>
            <w:tcW w:w="1359" w:type="dxa"/>
            <w:noWrap w:val="0"/>
            <w:vAlign w:val="center"/>
          </w:tcPr>
          <w:p>
            <w:pPr>
              <w:spacing w:line="360" w:lineRule="auto"/>
              <w:jc w:val="center"/>
              <w:rPr>
                <w:rFonts w:hint="eastAsia"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独生子女死亡家庭</w:t>
            </w:r>
          </w:p>
        </w:tc>
        <w:tc>
          <w:tcPr>
            <w:tcW w:w="1535" w:type="dxa"/>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940元/月/人</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效益指标</w:t>
            </w: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经济效益指标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促进我区教育事业发展</w:t>
            </w:r>
          </w:p>
        </w:tc>
        <w:tc>
          <w:tcPr>
            <w:tcW w:w="15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效果显著</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促进我区卫生事业发展</w:t>
            </w:r>
          </w:p>
        </w:tc>
        <w:tc>
          <w:tcPr>
            <w:tcW w:w="15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效果显著</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社会效益指标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2"/>
                <w:sz w:val="24"/>
                <w:szCs w:val="24"/>
                <w:lang w:val="en-US" w:eastAsia="zh-CN" w:bidi="ar-SA"/>
              </w:rPr>
              <w:t>提高</w:t>
            </w:r>
            <w:r>
              <w:rPr>
                <w:rFonts w:hint="eastAsia" w:ascii="宋体" w:hAnsi="宋体" w:eastAsia="宋体" w:cs="宋体"/>
                <w:color w:val="000000"/>
                <w:kern w:val="2"/>
                <w:sz w:val="24"/>
                <w:szCs w:val="24"/>
                <w:lang w:val="en-US" w:eastAsia="zh-CN" w:bidi="ar-SA"/>
              </w:rPr>
              <w:t>居民医疗卫生健康知识水平</w:t>
            </w:r>
          </w:p>
        </w:tc>
        <w:tc>
          <w:tcPr>
            <w:tcW w:w="1535"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lang w:val="en-US" w:eastAsia="zh-CN"/>
              </w:rPr>
              <w:t>不断提升</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提升教育教学质量和教育管理水平</w:t>
            </w:r>
          </w:p>
        </w:tc>
        <w:tc>
          <w:tcPr>
            <w:tcW w:w="1535" w:type="dxa"/>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不断提升</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生态效益指标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促进我区生态环境水平</w:t>
            </w:r>
          </w:p>
        </w:tc>
        <w:tc>
          <w:tcPr>
            <w:tcW w:w="1535"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逐步提升</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医疗废物处理</w:t>
            </w:r>
            <w:r>
              <w:rPr>
                <w:rFonts w:hint="eastAsia" w:ascii="宋体" w:hAnsi="宋体" w:cs="宋体"/>
                <w:color w:val="000000"/>
                <w:sz w:val="24"/>
                <w:szCs w:val="24"/>
                <w:lang w:val="en-US" w:eastAsia="zh-CN"/>
              </w:rPr>
              <w:t>率</w:t>
            </w:r>
          </w:p>
        </w:tc>
        <w:tc>
          <w:tcPr>
            <w:tcW w:w="1535" w:type="dxa"/>
            <w:noWrap w:val="0"/>
            <w:vAlign w:val="center"/>
          </w:tcPr>
          <w:p>
            <w:pPr>
              <w:spacing w:line="360" w:lineRule="auto"/>
              <w:jc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100%</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可持续影响指标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促进我区招生工作可持续性</w:t>
            </w:r>
          </w:p>
        </w:tc>
        <w:tc>
          <w:tcPr>
            <w:tcW w:w="1535" w:type="dxa"/>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长期有效</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保障我区教育和医疗人才可持续性</w:t>
            </w:r>
          </w:p>
        </w:tc>
        <w:tc>
          <w:tcPr>
            <w:tcW w:w="1535" w:type="dxa"/>
            <w:noWrap w:val="0"/>
            <w:vAlign w:val="center"/>
          </w:tcPr>
          <w:p>
            <w:pPr>
              <w:spacing w:line="360" w:lineRule="auto"/>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长期有效</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满意度指标</w:t>
            </w:r>
          </w:p>
        </w:tc>
        <w:tc>
          <w:tcPr>
            <w:tcW w:w="1904" w:type="dxa"/>
            <w:gridSpan w:val="2"/>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服务对象满意度指标</w:t>
            </w: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指标1</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asciiTheme="minorEastAsia" w:hAnsiTheme="minorEastAsia" w:eastAsiaTheme="minorEastAsia" w:cstheme="minorEastAsia"/>
                <w:color w:val="000000"/>
                <w:kern w:val="2"/>
                <w:sz w:val="24"/>
                <w:szCs w:val="24"/>
                <w:lang w:val="en-US" w:eastAsia="zh-CN" w:bidi="ar-SA"/>
              </w:rPr>
              <w:t>家长对教育满意度</w:t>
            </w:r>
          </w:p>
        </w:tc>
        <w:tc>
          <w:tcPr>
            <w:tcW w:w="1535" w:type="dxa"/>
            <w:noWrap w:val="0"/>
            <w:vAlign w:val="center"/>
          </w:tcPr>
          <w:p>
            <w:pPr>
              <w:spacing w:line="360" w:lineRule="auto"/>
              <w:jc w:val="center"/>
              <w:rPr>
                <w:rFonts w:hint="default" w:cs="宋体"/>
                <w:color w:val="000000"/>
                <w:sz w:val="24"/>
                <w:lang w:val="en-US" w:eastAsia="zh-CN"/>
              </w:rPr>
            </w:pPr>
            <w:r>
              <w:rPr>
                <w:rFonts w:hint="default" w:ascii="Arial" w:hAnsi="Arial" w:cs="Arial"/>
                <w:color w:val="000000"/>
                <w:sz w:val="24"/>
                <w:lang w:val="en-US" w:eastAsia="zh-CN"/>
              </w:rPr>
              <w:t>≥</w:t>
            </w:r>
            <w:r>
              <w:rPr>
                <w:rFonts w:hint="eastAsia" w:cs="宋体"/>
                <w:color w:val="000000"/>
                <w:sz w:val="24"/>
                <w:lang w:val="en-US" w:eastAsia="zh-CN"/>
              </w:rPr>
              <w:t>95%</w:t>
            </w:r>
          </w:p>
        </w:tc>
        <w:tc>
          <w:tcPr>
            <w:tcW w:w="1359"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58" w:type="dxa"/>
            <w:vMerge w:val="continue"/>
            <w:noWrap w:val="0"/>
            <w:vAlign w:val="center"/>
          </w:tcPr>
          <w:p>
            <w:pPr>
              <w:spacing w:line="360" w:lineRule="auto"/>
              <w:jc w:val="center"/>
              <w:rPr>
                <w:rFonts w:hint="eastAsia" w:cs="宋体"/>
                <w:color w:val="000000"/>
                <w:sz w:val="24"/>
                <w:lang w:val="en-US" w:eastAsia="zh-CN"/>
              </w:rPr>
            </w:pPr>
          </w:p>
        </w:tc>
        <w:tc>
          <w:tcPr>
            <w:tcW w:w="710" w:type="dxa"/>
            <w:vMerge w:val="continue"/>
            <w:noWrap w:val="0"/>
            <w:vAlign w:val="center"/>
          </w:tcPr>
          <w:p>
            <w:pPr>
              <w:spacing w:line="360" w:lineRule="auto"/>
              <w:jc w:val="center"/>
              <w:rPr>
                <w:rFonts w:hint="eastAsia" w:cs="宋体"/>
                <w:color w:val="000000"/>
                <w:sz w:val="24"/>
                <w:lang w:val="en-US" w:eastAsia="zh-CN"/>
              </w:rPr>
            </w:pPr>
          </w:p>
        </w:tc>
        <w:tc>
          <w:tcPr>
            <w:tcW w:w="1904" w:type="dxa"/>
            <w:gridSpan w:val="2"/>
            <w:vMerge w:val="continue"/>
            <w:noWrap w:val="0"/>
            <w:vAlign w:val="center"/>
          </w:tcPr>
          <w:p>
            <w:pPr>
              <w:spacing w:line="360" w:lineRule="auto"/>
              <w:jc w:val="center"/>
              <w:rPr>
                <w:rFonts w:hint="eastAsia" w:cs="宋体"/>
                <w:color w:val="000000"/>
                <w:sz w:val="24"/>
                <w:lang w:val="en-US" w:eastAsia="zh-CN"/>
              </w:rPr>
            </w:pPr>
          </w:p>
        </w:tc>
        <w:tc>
          <w:tcPr>
            <w:tcW w:w="1966" w:type="dxa"/>
            <w:gridSpan w:val="2"/>
            <w:noWrap w:val="0"/>
            <w:vAlign w:val="center"/>
          </w:tcPr>
          <w:p>
            <w:pPr>
              <w:spacing w:line="360" w:lineRule="auto"/>
              <w:jc w:val="center"/>
              <w:rPr>
                <w:rFonts w:hint="eastAsia" w:ascii="Times New Roman" w:hAnsi="Times New Roman" w:eastAsia="宋体" w:cs="宋体"/>
                <w:color w:val="000000"/>
                <w:kern w:val="2"/>
                <w:sz w:val="24"/>
                <w:szCs w:val="24"/>
                <w:lang w:val="en-US" w:eastAsia="zh-CN" w:bidi="ar-SA"/>
              </w:rPr>
            </w:pPr>
            <w:r>
              <w:rPr>
                <w:rFonts w:hint="eastAsia" w:cs="宋体"/>
                <w:color w:val="000000"/>
                <w:sz w:val="24"/>
                <w:lang w:val="en-US" w:eastAsia="zh-CN"/>
              </w:rPr>
              <w:t>指标2</w:t>
            </w:r>
          </w:p>
        </w:tc>
        <w:tc>
          <w:tcPr>
            <w:tcW w:w="1627" w:type="dxa"/>
            <w:gridSpan w:val="2"/>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患者满意度</w:t>
            </w:r>
          </w:p>
        </w:tc>
        <w:tc>
          <w:tcPr>
            <w:tcW w:w="1535" w:type="dxa"/>
            <w:noWrap w:val="0"/>
            <w:vAlign w:val="center"/>
          </w:tcPr>
          <w:p>
            <w:pPr>
              <w:spacing w:line="360" w:lineRule="auto"/>
              <w:jc w:val="center"/>
              <w:rPr>
                <w:rFonts w:hint="eastAsia" w:cs="宋体"/>
                <w:color w:val="000000"/>
                <w:sz w:val="24"/>
                <w:lang w:val="en-US" w:eastAsia="zh-CN"/>
              </w:rPr>
            </w:pPr>
            <w:r>
              <w:rPr>
                <w:rFonts w:hint="default" w:ascii="Arial" w:hAnsi="Arial" w:cs="Arial"/>
                <w:color w:val="000000"/>
                <w:sz w:val="24"/>
                <w:lang w:val="en-US" w:eastAsia="zh-CN"/>
              </w:rPr>
              <w:t>≥</w:t>
            </w:r>
            <w:r>
              <w:rPr>
                <w:rFonts w:hint="eastAsia" w:cs="宋体"/>
                <w:color w:val="000000"/>
                <w:sz w:val="24"/>
                <w:lang w:val="en-US" w:eastAsia="zh-CN"/>
              </w:rPr>
              <w:t>95%</w:t>
            </w:r>
          </w:p>
        </w:tc>
        <w:tc>
          <w:tcPr>
            <w:tcW w:w="1359" w:type="dxa"/>
            <w:noWrap w:val="0"/>
            <w:vAlign w:val="center"/>
          </w:tcPr>
          <w:p>
            <w:pPr>
              <w:spacing w:line="360" w:lineRule="auto"/>
              <w:jc w:val="center"/>
              <w:rPr>
                <w:rFonts w:hint="eastAsia" w:cs="宋体"/>
                <w:color w:val="000000"/>
                <w:sz w:val="24"/>
                <w:lang w:val="en-US" w:eastAsia="zh-CN"/>
              </w:rPr>
            </w:pPr>
          </w:p>
        </w:tc>
      </w:tr>
    </w:tbl>
    <w:p>
      <w:pPr>
        <w:spacing w:line="360" w:lineRule="auto"/>
        <w:rPr>
          <w:rFonts w:hAnsi="黑体" w:eastAsia="黑体"/>
          <w:color w:val="000000"/>
          <w:kern w:val="0"/>
          <w:sz w:val="32"/>
          <w:szCs w:val="32"/>
        </w:rPr>
      </w:pPr>
    </w:p>
    <w:p>
      <w:pPr>
        <w:spacing w:line="360" w:lineRule="auto"/>
        <w:rPr>
          <w:rFonts w:hAnsi="黑体" w:eastAsia="黑体"/>
          <w:color w:val="000000"/>
          <w:kern w:val="0"/>
          <w:sz w:val="32"/>
          <w:szCs w:val="32"/>
        </w:rPr>
      </w:pPr>
    </w:p>
    <w:p>
      <w:pPr>
        <w:widowControl/>
        <w:rPr>
          <w:rFonts w:hAnsi="黑体" w:eastAsia="黑体"/>
          <w:color w:val="000000"/>
          <w:kern w:val="0"/>
          <w:sz w:val="32"/>
          <w:szCs w:val="32"/>
        </w:rPr>
      </w:pPr>
    </w:p>
    <w:p>
      <w:pPr>
        <w:widowControl/>
        <w:rPr>
          <w:rFonts w:hAnsi="黑体" w:eastAsia="黑体"/>
          <w:color w:val="000000"/>
          <w:kern w:val="0"/>
          <w:sz w:val="32"/>
          <w:szCs w:val="32"/>
        </w:rPr>
      </w:pPr>
    </w:p>
    <w:p>
      <w:pPr>
        <w:widowControl/>
        <w:rPr>
          <w:rFonts w:hAnsi="黑体" w:eastAsia="黑体"/>
          <w:color w:val="000000"/>
          <w:kern w:val="0"/>
          <w:sz w:val="32"/>
          <w:szCs w:val="32"/>
        </w:rPr>
      </w:pPr>
    </w:p>
    <w:p>
      <w:pPr>
        <w:widowControl/>
        <w:rPr>
          <w:rFonts w:hAnsi="黑体" w:eastAsia="黑体"/>
          <w:color w:val="000000"/>
          <w:kern w:val="0"/>
          <w:sz w:val="32"/>
          <w:szCs w:val="32"/>
        </w:rPr>
      </w:pPr>
    </w:p>
    <w:p>
      <w:pPr>
        <w:widowControl/>
        <w:rPr>
          <w:rFonts w:hAnsi="黑体" w:eastAsia="黑体"/>
          <w:color w:val="000000"/>
          <w:kern w:val="0"/>
          <w:sz w:val="32"/>
          <w:szCs w:val="32"/>
        </w:rPr>
      </w:pPr>
    </w:p>
    <w:p>
      <w:pPr>
        <w:widowControl/>
        <w:rPr>
          <w:rFonts w:hAnsi="黑体" w:eastAsia="黑体"/>
          <w:color w:val="000000"/>
          <w:kern w:val="0"/>
          <w:sz w:val="32"/>
          <w:szCs w:val="32"/>
        </w:rPr>
      </w:pPr>
    </w:p>
    <w:p>
      <w:pPr>
        <w:widowControl/>
        <w:rPr>
          <w:rFonts w:hAnsi="黑体" w:eastAsia="黑体"/>
          <w:color w:val="000000"/>
          <w:kern w:val="0"/>
          <w:sz w:val="32"/>
          <w:szCs w:val="32"/>
        </w:rPr>
      </w:pPr>
    </w:p>
    <w:p>
      <w:pPr>
        <w:widowControl/>
        <w:rPr>
          <w:rFonts w:hAnsi="黑体" w:eastAsia="黑体"/>
          <w:color w:val="000000"/>
          <w:kern w:val="0"/>
          <w:sz w:val="32"/>
          <w:szCs w:val="32"/>
        </w:rPr>
      </w:pPr>
    </w:p>
    <w:p>
      <w:pPr>
        <w:widowControl/>
        <w:rPr>
          <w:rFonts w:eastAsia="黑体"/>
          <w:color w:val="000000"/>
          <w:kern w:val="0"/>
          <w:sz w:val="32"/>
          <w:szCs w:val="32"/>
        </w:rPr>
      </w:pPr>
      <w:r>
        <w:rPr>
          <w:rFonts w:hAnsi="黑体" w:eastAsia="黑体"/>
          <w:color w:val="000000"/>
          <w:kern w:val="0"/>
          <w:sz w:val="32"/>
          <w:szCs w:val="32"/>
        </w:rPr>
        <w:t>附件</w:t>
      </w:r>
      <w:r>
        <w:rPr>
          <w:rFonts w:hint="eastAsia" w:hAnsi="黑体" w:eastAsia="黑体"/>
          <w:color w:val="000000"/>
          <w:kern w:val="0"/>
          <w:sz w:val="32"/>
          <w:szCs w:val="32"/>
          <w:lang w:val="en-US" w:eastAsia="zh-CN"/>
        </w:rPr>
        <w:t>4</w:t>
      </w:r>
    </w:p>
    <w:p>
      <w:pPr>
        <w:autoSpaceDE w:val="0"/>
        <w:autoSpaceDN w:val="0"/>
        <w:spacing w:line="600" w:lineRule="exact"/>
        <w:jc w:val="center"/>
        <w:rPr>
          <w:rFonts w:hint="eastAsia" w:eastAsia="仿宋_GB2312" w:cs="仿宋_GB2312"/>
          <w:color w:val="000000"/>
          <w:sz w:val="24"/>
        </w:rPr>
      </w:pPr>
      <w:r>
        <w:rPr>
          <w:rFonts w:hint="eastAsia" w:ascii="方正大标宋简体" w:eastAsia="方正大标宋简体" w:cs="仿宋_GB2312"/>
          <w:bCs/>
          <w:color w:val="000000"/>
          <w:kern w:val="0"/>
          <w:sz w:val="44"/>
          <w:szCs w:val="44"/>
        </w:rPr>
        <w:t>20</w:t>
      </w:r>
      <w:r>
        <w:rPr>
          <w:rFonts w:hint="eastAsia" w:ascii="方正大标宋简体" w:eastAsia="方正大标宋简体" w:cs="仿宋_GB2312"/>
          <w:bCs/>
          <w:color w:val="000000"/>
          <w:kern w:val="0"/>
          <w:sz w:val="44"/>
          <w:szCs w:val="44"/>
          <w:lang w:val="en-US" w:eastAsia="zh-CN"/>
        </w:rPr>
        <w:t>22</w:t>
      </w:r>
      <w:r>
        <w:rPr>
          <w:rFonts w:hint="eastAsia" w:ascii="方正大标宋简体" w:eastAsia="方正大标宋简体" w:cs="仿宋_GB2312"/>
          <w:bCs/>
          <w:color w:val="000000"/>
          <w:kern w:val="0"/>
          <w:sz w:val="44"/>
          <w:szCs w:val="44"/>
        </w:rPr>
        <w:t>年部门整体支出绩效评价基础数据表</w:t>
      </w:r>
    </w:p>
    <w:tbl>
      <w:tblPr>
        <w:tblStyle w:val="5"/>
        <w:tblW w:w="10115" w:type="dxa"/>
        <w:tblInd w:w="-5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4"/>
        <w:gridCol w:w="2696"/>
        <w:gridCol w:w="2635"/>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财政供养人员情况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2022年编制人数</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2022年</w:t>
            </w:r>
          </w:p>
          <w:p>
            <w:pPr>
              <w:spacing w:line="360" w:lineRule="auto"/>
              <w:jc w:val="center"/>
              <w:rPr>
                <w:rFonts w:hint="eastAsia" w:cs="宋体"/>
                <w:color w:val="000000"/>
                <w:sz w:val="24"/>
                <w:lang w:val="en-US" w:eastAsia="zh-CN"/>
              </w:rPr>
            </w:pPr>
            <w:r>
              <w:rPr>
                <w:rFonts w:hint="eastAsia" w:cs="宋体"/>
                <w:color w:val="000000"/>
                <w:sz w:val="24"/>
                <w:lang w:val="en-US" w:eastAsia="zh-CN"/>
              </w:rPr>
              <w:t>实际在职人数</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变动数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47</w:t>
            </w:r>
          </w:p>
        </w:tc>
        <w:tc>
          <w:tcPr>
            <w:tcW w:w="26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47</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“三公经费”变动情况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上年预算数</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本年预算数</w:t>
            </w:r>
          </w:p>
        </w:tc>
        <w:tc>
          <w:tcPr>
            <w:tcW w:w="2250"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变动率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default" w:cs="宋体"/>
                <w:color w:val="auto"/>
                <w:sz w:val="24"/>
                <w:lang w:val="en-US" w:eastAsia="zh-CN"/>
              </w:rPr>
            </w:pPr>
            <w:r>
              <w:rPr>
                <w:rFonts w:hint="eastAsia" w:cs="宋体"/>
                <w:color w:val="auto"/>
                <w:sz w:val="24"/>
                <w:lang w:val="en-US" w:eastAsia="zh-CN"/>
              </w:rPr>
              <w:t>240000</w:t>
            </w:r>
          </w:p>
        </w:tc>
        <w:tc>
          <w:tcPr>
            <w:tcW w:w="2635" w:type="dxa"/>
            <w:noWrap w:val="0"/>
            <w:vAlign w:val="center"/>
          </w:tcPr>
          <w:p>
            <w:pPr>
              <w:spacing w:line="360" w:lineRule="auto"/>
              <w:jc w:val="center"/>
              <w:rPr>
                <w:rFonts w:hint="default" w:cs="宋体"/>
                <w:color w:val="auto"/>
                <w:sz w:val="24"/>
                <w:lang w:val="en-US" w:eastAsia="zh-CN"/>
              </w:rPr>
            </w:pPr>
            <w:r>
              <w:rPr>
                <w:rFonts w:hint="eastAsia" w:cs="宋体"/>
                <w:color w:val="auto"/>
                <w:sz w:val="24"/>
                <w:lang w:val="en-US" w:eastAsia="zh-CN"/>
              </w:rPr>
              <w:t>260000</w:t>
            </w:r>
          </w:p>
        </w:tc>
        <w:tc>
          <w:tcPr>
            <w:tcW w:w="2250" w:type="dxa"/>
            <w:noWrap w:val="0"/>
            <w:vAlign w:val="center"/>
          </w:tcPr>
          <w:p>
            <w:pPr>
              <w:spacing w:line="360" w:lineRule="auto"/>
              <w:jc w:val="center"/>
              <w:rPr>
                <w:rFonts w:hint="default" w:cs="宋体"/>
                <w:color w:val="auto"/>
                <w:sz w:val="24"/>
                <w:lang w:val="en-US" w:eastAsia="zh-CN"/>
              </w:rPr>
            </w:pPr>
            <w:r>
              <w:rPr>
                <w:rFonts w:hint="eastAsia" w:cs="宋体"/>
                <w:color w:val="auto"/>
                <w:sz w:val="24"/>
                <w:lang w:val="en-US" w:eastAsia="zh-CN"/>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项目支出安排情况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项目支出预算总额</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实际项目支出总额</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108186191.00</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108186191.00</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预算完成情况</w:t>
            </w:r>
          </w:p>
        </w:tc>
        <w:tc>
          <w:tcPr>
            <w:tcW w:w="2696"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2021年预算总额</w:t>
            </w:r>
          </w:p>
        </w:tc>
        <w:tc>
          <w:tcPr>
            <w:tcW w:w="26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2021年决算总额</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132773678.67</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132773678.67</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预算调整情况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年初预算数</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年中预算调整</w:t>
            </w:r>
          </w:p>
        </w:tc>
        <w:tc>
          <w:tcPr>
            <w:tcW w:w="2250"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调整率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14049464</w:t>
            </w:r>
          </w:p>
        </w:tc>
        <w:tc>
          <w:tcPr>
            <w:tcW w:w="26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118724214.67</w:t>
            </w:r>
          </w:p>
        </w:tc>
        <w:tc>
          <w:tcPr>
            <w:tcW w:w="2250"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845.04%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结转结余变动情况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上年结转结余总额</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本年结转结余总额</w:t>
            </w:r>
          </w:p>
        </w:tc>
        <w:tc>
          <w:tcPr>
            <w:tcW w:w="2250"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变动率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0</w:t>
            </w:r>
          </w:p>
        </w:tc>
        <w:tc>
          <w:tcPr>
            <w:tcW w:w="26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0</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“三公经费”控制情况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“三公经费”预算数</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“三公经费”实际支出</w:t>
            </w:r>
          </w:p>
        </w:tc>
        <w:tc>
          <w:tcPr>
            <w:tcW w:w="2250"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default" w:cs="宋体"/>
                <w:color w:val="auto"/>
                <w:sz w:val="24"/>
                <w:lang w:val="en-US" w:eastAsia="zh-CN"/>
              </w:rPr>
            </w:pPr>
            <w:r>
              <w:rPr>
                <w:rFonts w:hint="eastAsia" w:cs="宋体"/>
                <w:color w:val="auto"/>
                <w:sz w:val="24"/>
                <w:lang w:val="en-US" w:eastAsia="zh-CN"/>
              </w:rPr>
              <w:t>260000</w:t>
            </w:r>
          </w:p>
        </w:tc>
        <w:tc>
          <w:tcPr>
            <w:tcW w:w="2635" w:type="dxa"/>
            <w:noWrap w:val="0"/>
            <w:vAlign w:val="center"/>
          </w:tcPr>
          <w:p>
            <w:pPr>
              <w:spacing w:line="360" w:lineRule="auto"/>
              <w:jc w:val="center"/>
              <w:rPr>
                <w:rFonts w:hint="default" w:cs="宋体"/>
                <w:color w:val="auto"/>
                <w:sz w:val="24"/>
                <w:lang w:val="en-US" w:eastAsia="zh-CN"/>
              </w:rPr>
            </w:pPr>
            <w:r>
              <w:rPr>
                <w:rFonts w:hint="eastAsia" w:cs="宋体"/>
                <w:color w:val="auto"/>
                <w:sz w:val="24"/>
                <w:lang w:val="en-US" w:eastAsia="zh-CN"/>
              </w:rPr>
              <w:t>250035</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96.15%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政府采购执行情况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政府采购预算数</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实际政府采购金额</w:t>
            </w:r>
          </w:p>
        </w:tc>
        <w:tc>
          <w:tcPr>
            <w:tcW w:w="2250"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　</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　</w:t>
            </w:r>
          </w:p>
        </w:tc>
        <w:tc>
          <w:tcPr>
            <w:tcW w:w="2250" w:type="dxa"/>
            <w:noWrap w:val="0"/>
            <w:vAlign w:val="center"/>
          </w:tcPr>
          <w:p>
            <w:pPr>
              <w:spacing w:line="360" w:lineRule="auto"/>
              <w:jc w:val="center"/>
              <w:rPr>
                <w:rFonts w:hint="eastAsia" w:cs="宋体"/>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restart"/>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固定资产使用情况</w:t>
            </w:r>
          </w:p>
        </w:tc>
        <w:tc>
          <w:tcPr>
            <w:tcW w:w="2696"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固定资产总额</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实际在用固定资产总额</w:t>
            </w:r>
          </w:p>
        </w:tc>
        <w:tc>
          <w:tcPr>
            <w:tcW w:w="2250"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利用率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8088958.87</w:t>
            </w:r>
          </w:p>
        </w:tc>
        <w:tc>
          <w:tcPr>
            <w:tcW w:w="2635" w:type="dxa"/>
            <w:noWrap w:val="0"/>
            <w:vAlign w:val="center"/>
          </w:tcPr>
          <w:p>
            <w:pPr>
              <w:spacing w:line="360" w:lineRule="auto"/>
              <w:jc w:val="center"/>
              <w:rPr>
                <w:rFonts w:hint="eastAsia" w:cs="宋体"/>
                <w:color w:val="000000"/>
                <w:sz w:val="24"/>
                <w:lang w:val="en-US" w:eastAsia="zh-CN"/>
              </w:rPr>
            </w:pPr>
            <w:r>
              <w:rPr>
                <w:rFonts w:hint="eastAsia" w:cs="宋体"/>
                <w:color w:val="000000"/>
                <w:sz w:val="24"/>
                <w:lang w:val="en-US" w:eastAsia="zh-CN"/>
              </w:rPr>
              <w:t>8088958.87</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restart"/>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内部控制制度完成情况（是/否）</w:t>
            </w:r>
          </w:p>
        </w:tc>
        <w:tc>
          <w:tcPr>
            <w:tcW w:w="2696"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预算业务管理</w:t>
            </w:r>
          </w:p>
        </w:tc>
        <w:tc>
          <w:tcPr>
            <w:tcW w:w="26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收支业务管理</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政府采购业务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是</w:t>
            </w:r>
          </w:p>
        </w:tc>
        <w:tc>
          <w:tcPr>
            <w:tcW w:w="2635"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是</w:t>
            </w:r>
          </w:p>
        </w:tc>
        <w:tc>
          <w:tcPr>
            <w:tcW w:w="2250"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国有资产业务管理</w:t>
            </w:r>
          </w:p>
        </w:tc>
        <w:tc>
          <w:tcPr>
            <w:tcW w:w="2635"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建设项目业务管理</w:t>
            </w:r>
          </w:p>
        </w:tc>
        <w:tc>
          <w:tcPr>
            <w:tcW w:w="2250" w:type="dxa"/>
            <w:noWrap w:val="0"/>
            <w:vAlign w:val="center"/>
          </w:tcPr>
          <w:p>
            <w:pPr>
              <w:spacing w:line="360" w:lineRule="auto"/>
              <w:jc w:val="center"/>
              <w:rPr>
                <w:rFonts w:hint="default" w:cs="宋体"/>
                <w:color w:val="000000"/>
                <w:sz w:val="24"/>
                <w:lang w:val="en-US" w:eastAsia="zh-CN"/>
              </w:rPr>
            </w:pPr>
            <w:r>
              <w:rPr>
                <w:rFonts w:hint="eastAsia" w:cs="宋体"/>
                <w:color w:val="000000"/>
                <w:sz w:val="24"/>
                <w:lang w:val="en-US" w:eastAsia="zh-CN"/>
              </w:rPr>
              <w:t>合同业务管理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534" w:type="dxa"/>
            <w:vMerge w:val="continue"/>
            <w:noWrap w:val="0"/>
            <w:vAlign w:val="center"/>
          </w:tcPr>
          <w:p>
            <w:pPr>
              <w:spacing w:line="360" w:lineRule="auto"/>
              <w:jc w:val="center"/>
              <w:rPr>
                <w:rFonts w:hint="eastAsia" w:cs="宋体"/>
                <w:color w:val="000000"/>
                <w:sz w:val="24"/>
                <w:lang w:val="en-US" w:eastAsia="zh-CN"/>
              </w:rPr>
            </w:pPr>
          </w:p>
        </w:tc>
        <w:tc>
          <w:tcPr>
            <w:tcW w:w="2696"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是</w:t>
            </w:r>
          </w:p>
        </w:tc>
        <w:tc>
          <w:tcPr>
            <w:tcW w:w="2635"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是</w:t>
            </w:r>
          </w:p>
        </w:tc>
        <w:tc>
          <w:tcPr>
            <w:tcW w:w="2250" w:type="dxa"/>
            <w:noWrap w:val="0"/>
            <w:vAlign w:val="center"/>
          </w:tcPr>
          <w:p>
            <w:pPr>
              <w:spacing w:line="360" w:lineRule="auto"/>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是</w:t>
            </w:r>
          </w:p>
        </w:tc>
      </w:tr>
    </w:tbl>
    <w:p>
      <w:pPr>
        <w:spacing w:line="360" w:lineRule="auto"/>
        <w:rPr>
          <w:rFonts w:hAnsi="黑体" w:eastAsia="黑体"/>
          <w:color w:val="000000"/>
          <w:kern w:val="0"/>
          <w:sz w:val="32"/>
          <w:szCs w:val="32"/>
        </w:rPr>
      </w:pPr>
    </w:p>
    <w:p>
      <w:pPr>
        <w:spacing w:line="360" w:lineRule="auto"/>
        <w:rPr>
          <w:rFonts w:hAnsi="黑体" w:eastAsia="黑体"/>
          <w:color w:val="000000"/>
          <w:kern w:val="0"/>
          <w:sz w:val="32"/>
          <w:szCs w:val="32"/>
        </w:rPr>
      </w:pPr>
    </w:p>
    <w:p>
      <w:pPr>
        <w:spacing w:line="360" w:lineRule="auto"/>
        <w:rPr>
          <w:rFonts w:hint="eastAsia" w:eastAsia="黑体"/>
          <w:color w:val="000000"/>
          <w:kern w:val="0"/>
          <w:sz w:val="32"/>
          <w:szCs w:val="32"/>
          <w:lang w:val="en-US" w:eastAsia="zh-CN"/>
        </w:rPr>
      </w:pPr>
      <w:r>
        <w:rPr>
          <w:rFonts w:hAnsi="黑体" w:eastAsia="黑体"/>
          <w:color w:val="000000"/>
          <w:kern w:val="0"/>
          <w:sz w:val="32"/>
          <w:szCs w:val="32"/>
        </w:rPr>
        <w:t>附件</w:t>
      </w:r>
      <w:r>
        <w:rPr>
          <w:rFonts w:hint="eastAsia" w:hAnsi="黑体" w:eastAsia="黑体"/>
          <w:color w:val="000000"/>
          <w:kern w:val="0"/>
          <w:sz w:val="32"/>
          <w:szCs w:val="32"/>
          <w:lang w:val="en-US" w:eastAsia="zh-CN"/>
        </w:rPr>
        <w:t>5</w:t>
      </w:r>
    </w:p>
    <w:p>
      <w:pPr>
        <w:autoSpaceDE w:val="0"/>
        <w:autoSpaceDN w:val="0"/>
        <w:spacing w:line="360" w:lineRule="auto"/>
        <w:jc w:val="center"/>
        <w:rPr>
          <w:rFonts w:hint="eastAsia" w:ascii="方正大标宋简体" w:eastAsia="方正大标宋简体" w:cs="仿宋_GB2312"/>
          <w:color w:val="000000"/>
          <w:sz w:val="44"/>
          <w:szCs w:val="44"/>
        </w:rPr>
      </w:pPr>
      <w:r>
        <w:rPr>
          <w:rFonts w:hint="eastAsia" w:ascii="方正大标宋简体" w:eastAsia="方正大标宋简体" w:cs="仿宋_GB2312"/>
          <w:color w:val="000000"/>
          <w:sz w:val="44"/>
          <w:szCs w:val="44"/>
        </w:rPr>
        <w:t>20</w:t>
      </w:r>
      <w:r>
        <w:rPr>
          <w:rFonts w:hint="eastAsia" w:ascii="方正大标宋简体" w:eastAsia="方正大标宋简体" w:cs="仿宋_GB2312"/>
          <w:color w:val="000000"/>
          <w:sz w:val="44"/>
          <w:szCs w:val="44"/>
          <w:lang w:val="en-US" w:eastAsia="zh-CN"/>
        </w:rPr>
        <w:t>22</w:t>
      </w:r>
      <w:r>
        <w:rPr>
          <w:rFonts w:hint="eastAsia" w:ascii="方正大标宋简体" w:eastAsia="方正大标宋简体" w:cs="仿宋_GB2312"/>
          <w:color w:val="000000"/>
          <w:sz w:val="44"/>
          <w:szCs w:val="44"/>
        </w:rPr>
        <w:t>年部门整体支出绩效自评指标计分表</w:t>
      </w:r>
    </w:p>
    <w:tbl>
      <w:tblPr>
        <w:tblStyle w:val="5"/>
        <w:tblW w:w="0" w:type="auto"/>
        <w:jc w:val="center"/>
        <w:tblLayout w:type="fixed"/>
        <w:tblCellMar>
          <w:top w:w="0" w:type="dxa"/>
          <w:left w:w="28" w:type="dxa"/>
          <w:bottom w:w="0" w:type="dxa"/>
          <w:right w:w="28" w:type="dxa"/>
        </w:tblCellMar>
      </w:tblPr>
      <w:tblGrid>
        <w:gridCol w:w="724"/>
        <w:gridCol w:w="547"/>
        <w:gridCol w:w="689"/>
        <w:gridCol w:w="547"/>
        <w:gridCol w:w="5"/>
        <w:gridCol w:w="948"/>
        <w:gridCol w:w="466"/>
        <w:gridCol w:w="2757"/>
        <w:gridCol w:w="594"/>
        <w:gridCol w:w="2742"/>
        <w:gridCol w:w="487"/>
      </w:tblGrid>
      <w:tr>
        <w:tblPrEx>
          <w:tblCellMar>
            <w:top w:w="0" w:type="dxa"/>
            <w:left w:w="28" w:type="dxa"/>
            <w:bottom w:w="0" w:type="dxa"/>
            <w:right w:w="28" w:type="dxa"/>
          </w:tblCellMar>
        </w:tblPrEx>
        <w:trPr>
          <w:trHeight w:val="719" w:hRule="atLeast"/>
          <w:tblHeader/>
          <w:jc w:val="center"/>
        </w:trPr>
        <w:tc>
          <w:tcPr>
            <w:tcW w:w="724" w:type="dxa"/>
            <w:tcBorders>
              <w:top w:val="single" w:color="auto" w:sz="4" w:space="0"/>
              <w:left w:val="single" w:color="auto" w:sz="4" w:space="0"/>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一级指标</w:t>
            </w:r>
          </w:p>
        </w:tc>
        <w:tc>
          <w:tcPr>
            <w:tcW w:w="547"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分值</w:t>
            </w:r>
          </w:p>
        </w:tc>
        <w:tc>
          <w:tcPr>
            <w:tcW w:w="689"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二级指标</w:t>
            </w:r>
          </w:p>
        </w:tc>
        <w:tc>
          <w:tcPr>
            <w:tcW w:w="547"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分值</w:t>
            </w:r>
          </w:p>
        </w:tc>
        <w:tc>
          <w:tcPr>
            <w:tcW w:w="953" w:type="dxa"/>
            <w:gridSpan w:val="2"/>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三级</w:t>
            </w:r>
          </w:p>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指标</w:t>
            </w:r>
          </w:p>
        </w:tc>
        <w:tc>
          <w:tcPr>
            <w:tcW w:w="466"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分值</w:t>
            </w:r>
          </w:p>
        </w:tc>
        <w:tc>
          <w:tcPr>
            <w:tcW w:w="2757"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评价标准</w:t>
            </w:r>
          </w:p>
        </w:tc>
        <w:tc>
          <w:tcPr>
            <w:tcW w:w="3336" w:type="dxa"/>
            <w:gridSpan w:val="2"/>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指标说明</w:t>
            </w:r>
          </w:p>
        </w:tc>
        <w:tc>
          <w:tcPr>
            <w:tcW w:w="487"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b/>
                <w:color w:val="000000"/>
                <w:kern w:val="0"/>
                <w:sz w:val="24"/>
              </w:rPr>
            </w:pPr>
            <w:r>
              <w:rPr>
                <w:rFonts w:hint="eastAsia" w:cs="宋体"/>
                <w:b/>
                <w:color w:val="000000"/>
                <w:kern w:val="0"/>
                <w:sz w:val="24"/>
              </w:rPr>
              <w:t>得分</w:t>
            </w:r>
          </w:p>
        </w:tc>
      </w:tr>
      <w:tr>
        <w:tblPrEx>
          <w:tblCellMar>
            <w:top w:w="0" w:type="dxa"/>
            <w:left w:w="28" w:type="dxa"/>
            <w:bottom w:w="0" w:type="dxa"/>
            <w:right w:w="28" w:type="dxa"/>
          </w:tblCellMar>
        </w:tblPrEx>
        <w:trPr>
          <w:trHeight w:val="1983" w:hRule="atLeast"/>
          <w:jc w:val="center"/>
        </w:trPr>
        <w:tc>
          <w:tcPr>
            <w:tcW w:w="724" w:type="dxa"/>
            <w:vMerge w:val="restart"/>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kern w:val="0"/>
                <w:sz w:val="24"/>
              </w:rPr>
            </w:pPr>
            <w:r>
              <w:rPr>
                <w:rFonts w:hint="eastAsia" w:cs="宋体"/>
                <w:color w:val="000000"/>
                <w:kern w:val="0"/>
                <w:sz w:val="24"/>
              </w:rPr>
              <w:t>投</w:t>
            </w:r>
          </w:p>
          <w:p>
            <w:pPr>
              <w:overflowPunct w:val="0"/>
              <w:autoSpaceDE w:val="0"/>
              <w:autoSpaceDN w:val="0"/>
              <w:spacing w:line="250" w:lineRule="exact"/>
              <w:jc w:val="center"/>
              <w:rPr>
                <w:rFonts w:hint="eastAsia" w:cs="宋体"/>
                <w:color w:val="000000"/>
                <w:kern w:val="0"/>
                <w:sz w:val="24"/>
              </w:rPr>
            </w:pPr>
          </w:p>
          <w:p>
            <w:pPr>
              <w:overflowPunct w:val="0"/>
              <w:autoSpaceDE w:val="0"/>
              <w:autoSpaceDN w:val="0"/>
              <w:spacing w:line="250" w:lineRule="exact"/>
              <w:jc w:val="center"/>
              <w:rPr>
                <w:rFonts w:hint="eastAsia" w:cs="宋体"/>
                <w:color w:val="000000"/>
                <w:kern w:val="0"/>
                <w:sz w:val="24"/>
              </w:rPr>
            </w:pPr>
            <w:r>
              <w:rPr>
                <w:rFonts w:hint="eastAsia" w:cs="宋体"/>
                <w:color w:val="000000"/>
                <w:kern w:val="0"/>
                <w:sz w:val="24"/>
              </w:rPr>
              <w:t>入</w:t>
            </w:r>
          </w:p>
        </w:tc>
        <w:tc>
          <w:tcPr>
            <w:tcW w:w="547"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default" w:eastAsia="宋体" w:cs="宋体"/>
                <w:color w:val="000000"/>
                <w:kern w:val="0"/>
                <w:sz w:val="24"/>
                <w:lang w:val="en-US" w:eastAsia="zh-CN"/>
              </w:rPr>
            </w:pPr>
            <w:r>
              <w:rPr>
                <w:rFonts w:hint="eastAsia" w:cs="宋体"/>
                <w:color w:val="000000"/>
                <w:kern w:val="0"/>
                <w:sz w:val="24"/>
                <w:lang w:val="en-US" w:eastAsia="zh-CN"/>
              </w:rPr>
              <w:t>(</w:t>
            </w:r>
            <w:r>
              <w:rPr>
                <w:rFonts w:hint="eastAsia" w:cs="宋体"/>
                <w:color w:val="000000"/>
                <w:kern w:val="0"/>
                <w:sz w:val="24"/>
              </w:rPr>
              <w:t>1</w:t>
            </w:r>
            <w:r>
              <w:rPr>
                <w:rFonts w:hint="eastAsia" w:cs="宋体"/>
                <w:color w:val="000000"/>
                <w:kern w:val="0"/>
                <w:sz w:val="24"/>
                <w:lang w:val="en-US" w:eastAsia="zh-CN"/>
              </w:rPr>
              <w:t>5分)</w:t>
            </w:r>
          </w:p>
        </w:tc>
        <w:tc>
          <w:tcPr>
            <w:tcW w:w="689" w:type="dxa"/>
            <w:vMerge w:val="restart"/>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kern w:val="0"/>
                <w:sz w:val="24"/>
              </w:rPr>
            </w:pPr>
            <w:r>
              <w:rPr>
                <w:rFonts w:hint="eastAsia" w:cs="宋体"/>
                <w:color w:val="000000"/>
                <w:kern w:val="0"/>
                <w:sz w:val="24"/>
              </w:rPr>
              <w:t>预算配置</w:t>
            </w:r>
          </w:p>
        </w:tc>
        <w:tc>
          <w:tcPr>
            <w:tcW w:w="547"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15</w:t>
            </w:r>
            <w:r>
              <w:rPr>
                <w:rFonts w:hint="eastAsia" w:cs="宋体"/>
                <w:color w:val="000000"/>
                <w:kern w:val="0"/>
                <w:sz w:val="24"/>
                <w:lang w:val="en-US" w:eastAsia="zh-CN"/>
              </w:rPr>
              <w:t>分）</w:t>
            </w: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auto"/>
                <w:kern w:val="0"/>
                <w:sz w:val="24"/>
              </w:rPr>
            </w:pPr>
            <w:r>
              <w:rPr>
                <w:rFonts w:hint="eastAsia" w:cs="宋体"/>
                <w:color w:val="auto"/>
                <w:kern w:val="0"/>
                <w:sz w:val="24"/>
              </w:rPr>
              <w:t>在职人员控制率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auto"/>
                <w:kern w:val="0"/>
                <w:sz w:val="24"/>
                <w:lang w:val="en-US" w:eastAsia="zh-CN"/>
              </w:rPr>
            </w:pPr>
            <w:r>
              <w:rPr>
                <w:rFonts w:hint="eastAsia" w:cs="宋体"/>
                <w:color w:val="auto"/>
                <w:kern w:val="0"/>
                <w:sz w:val="24"/>
                <w:lang w:eastAsia="zh-CN"/>
              </w:rPr>
              <w:t>（</w:t>
            </w:r>
            <w:r>
              <w:rPr>
                <w:rFonts w:hint="eastAsia" w:cs="宋体"/>
                <w:color w:val="auto"/>
                <w:kern w:val="0"/>
                <w:sz w:val="24"/>
              </w:rPr>
              <w:t>7</w:t>
            </w:r>
            <w:r>
              <w:rPr>
                <w:rFonts w:hint="eastAsia" w:cs="宋体"/>
                <w:color w:val="auto"/>
                <w:kern w:val="0"/>
                <w:sz w:val="24"/>
                <w:lang w:val="en-US" w:eastAsia="zh-CN"/>
              </w:rPr>
              <w:t>分）</w:t>
            </w:r>
          </w:p>
        </w:tc>
        <w:tc>
          <w:tcPr>
            <w:tcW w:w="2757" w:type="dxa"/>
            <w:noWrap w:val="0"/>
            <w:vAlign w:val="center"/>
          </w:tcPr>
          <w:p>
            <w:pPr>
              <w:overflowPunct w:val="0"/>
              <w:autoSpaceDE w:val="0"/>
              <w:autoSpaceDN w:val="0"/>
              <w:spacing w:line="250" w:lineRule="exact"/>
              <w:ind w:firstLine="240" w:firstLineChars="100"/>
              <w:jc w:val="center"/>
              <w:rPr>
                <w:rFonts w:hint="eastAsia" w:cs="宋体"/>
                <w:color w:val="auto"/>
                <w:kern w:val="0"/>
                <w:sz w:val="24"/>
              </w:rPr>
            </w:pPr>
            <w:r>
              <w:rPr>
                <w:rFonts w:hint="eastAsia" w:cs="宋体"/>
                <w:color w:val="auto"/>
                <w:kern w:val="0"/>
                <w:sz w:val="24"/>
              </w:rPr>
              <w:t>以100%为标准。在职人员控制率≦100%，计7分；每超过一个百分点扣0.2分，扣完为止。</w:t>
            </w:r>
          </w:p>
        </w:tc>
        <w:tc>
          <w:tcPr>
            <w:tcW w:w="3336" w:type="dxa"/>
            <w:gridSpan w:val="2"/>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在职人员控制率=（在职人员数/编制数）×100%，在职人员数：部门（单位）实际在职人数，以财政分局确定的部门决算编制口径为准。</w:t>
            </w:r>
          </w:p>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编制数：机构编制部门核定批复的部门（单位）的人员编制数。</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7</w:t>
            </w:r>
          </w:p>
        </w:tc>
      </w:tr>
      <w:tr>
        <w:tblPrEx>
          <w:tblCellMar>
            <w:top w:w="0" w:type="dxa"/>
            <w:left w:w="28" w:type="dxa"/>
            <w:bottom w:w="0" w:type="dxa"/>
            <w:right w:w="28" w:type="dxa"/>
          </w:tblCellMar>
        </w:tblPrEx>
        <w:trPr>
          <w:trHeight w:val="1183" w:hRule="atLeast"/>
          <w:jc w:val="center"/>
        </w:trPr>
        <w:tc>
          <w:tcPr>
            <w:tcW w:w="724" w:type="dxa"/>
            <w:vMerge w:val="continue"/>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689" w:type="dxa"/>
            <w:vMerge w:val="continue"/>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“三公经费”变动率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8</w:t>
            </w:r>
            <w:r>
              <w:rPr>
                <w:rFonts w:hint="eastAsia" w:cs="宋体"/>
                <w:color w:val="000000"/>
                <w:kern w:val="0"/>
                <w:sz w:val="24"/>
                <w:lang w:val="en-US" w:eastAsia="zh-CN"/>
              </w:rPr>
              <w:t>分）</w:t>
            </w:r>
          </w:p>
        </w:tc>
        <w:tc>
          <w:tcPr>
            <w:tcW w:w="2757"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“三公经费”变动率≦0,计8分；“三公经费”＞0，每超过一个百分点扣0.8分，扣完为止。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“三公经费”变动率=[（本年度“三公经费”预算数-上年度“三公经费”预算数）/上年度“三公经费”预算数]×100%</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8</w:t>
            </w:r>
          </w:p>
        </w:tc>
      </w:tr>
      <w:tr>
        <w:tblPrEx>
          <w:tblCellMar>
            <w:top w:w="0" w:type="dxa"/>
            <w:left w:w="28" w:type="dxa"/>
            <w:bottom w:w="0" w:type="dxa"/>
            <w:right w:w="28" w:type="dxa"/>
          </w:tblCellMar>
        </w:tblPrEx>
        <w:trPr>
          <w:trHeight w:val="1111" w:hRule="atLeast"/>
          <w:jc w:val="center"/>
        </w:trPr>
        <w:tc>
          <w:tcPr>
            <w:tcW w:w="724"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kern w:val="0"/>
                <w:sz w:val="24"/>
              </w:rPr>
            </w:pPr>
            <w:r>
              <w:rPr>
                <w:rFonts w:hint="eastAsia" w:cs="宋体"/>
                <w:color w:val="000000"/>
                <w:kern w:val="0"/>
                <w:sz w:val="24"/>
              </w:rPr>
              <w:t>过</w:t>
            </w:r>
          </w:p>
          <w:p>
            <w:pPr>
              <w:overflowPunct w:val="0"/>
              <w:autoSpaceDE w:val="0"/>
              <w:autoSpaceDN w:val="0"/>
              <w:spacing w:line="250" w:lineRule="exact"/>
              <w:jc w:val="center"/>
              <w:rPr>
                <w:rFonts w:hint="eastAsia" w:cs="宋体"/>
                <w:color w:val="000000"/>
                <w:kern w:val="0"/>
                <w:sz w:val="24"/>
              </w:rPr>
            </w:pPr>
          </w:p>
          <w:p>
            <w:pPr>
              <w:overflowPunct w:val="0"/>
              <w:autoSpaceDE w:val="0"/>
              <w:autoSpaceDN w:val="0"/>
              <w:spacing w:line="250" w:lineRule="exact"/>
              <w:jc w:val="center"/>
              <w:rPr>
                <w:rFonts w:hint="eastAsia" w:cs="宋体"/>
                <w:color w:val="000000"/>
                <w:kern w:val="0"/>
                <w:sz w:val="24"/>
              </w:rPr>
            </w:pPr>
            <w:r>
              <w:rPr>
                <w:rFonts w:hint="eastAsia" w:cs="宋体"/>
                <w:color w:val="000000"/>
                <w:kern w:val="0"/>
                <w:sz w:val="24"/>
              </w:rPr>
              <w:t>程</w:t>
            </w:r>
          </w:p>
        </w:tc>
        <w:tc>
          <w:tcPr>
            <w:tcW w:w="547" w:type="dxa"/>
            <w:vMerge w:val="restart"/>
            <w:tcBorders>
              <w:top w:val="nil"/>
              <w:left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50</w:t>
            </w:r>
            <w:r>
              <w:rPr>
                <w:rFonts w:hint="eastAsia" w:cs="宋体"/>
                <w:color w:val="000000"/>
                <w:kern w:val="0"/>
                <w:sz w:val="24"/>
                <w:lang w:val="en-US" w:eastAsia="zh-CN"/>
              </w:rPr>
              <w:t>分）</w:t>
            </w:r>
          </w:p>
        </w:tc>
        <w:tc>
          <w:tcPr>
            <w:tcW w:w="689"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kern w:val="0"/>
                <w:sz w:val="24"/>
              </w:rPr>
            </w:pPr>
            <w:r>
              <w:rPr>
                <w:rFonts w:hint="eastAsia" w:cs="宋体"/>
                <w:color w:val="000000"/>
                <w:kern w:val="0"/>
                <w:sz w:val="24"/>
              </w:rPr>
              <w:t>预算执行</w:t>
            </w:r>
          </w:p>
        </w:tc>
        <w:tc>
          <w:tcPr>
            <w:tcW w:w="547"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20</w:t>
            </w:r>
            <w:r>
              <w:rPr>
                <w:rFonts w:hint="eastAsia" w:cs="宋体"/>
                <w:color w:val="000000"/>
                <w:kern w:val="0"/>
                <w:sz w:val="24"/>
                <w:lang w:val="en-US" w:eastAsia="zh-CN"/>
              </w:rPr>
              <w:t>分）</w:t>
            </w: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预算完成率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100%计满分，每低于5%扣2分，扣完为止。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预算完成率=（上年结转+年初预算+本年追加预算-年末结余/上年结转+年初预算+本年追加预算）×100%。</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5</w:t>
            </w:r>
          </w:p>
        </w:tc>
      </w:tr>
      <w:tr>
        <w:tblPrEx>
          <w:tblCellMar>
            <w:top w:w="0" w:type="dxa"/>
            <w:left w:w="28" w:type="dxa"/>
            <w:bottom w:w="0" w:type="dxa"/>
            <w:right w:w="28" w:type="dxa"/>
          </w:tblCellMar>
        </w:tblPrEx>
        <w:trPr>
          <w:trHeight w:val="567"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left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689"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预算控制率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预算控制率=0，计5分；0-10%（含），计4分；10-20%（含），计3分；20-30%（含），计2分；大于30%不得分</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预算控制率=（本年追加预算/年初预算）×100%。</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0</w:t>
            </w:r>
          </w:p>
        </w:tc>
      </w:tr>
      <w:tr>
        <w:tblPrEx>
          <w:tblCellMar>
            <w:top w:w="0" w:type="dxa"/>
            <w:left w:w="28" w:type="dxa"/>
            <w:bottom w:w="0" w:type="dxa"/>
            <w:right w:w="28" w:type="dxa"/>
          </w:tblCellMar>
        </w:tblPrEx>
        <w:trPr>
          <w:trHeight w:val="1423"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left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689"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新建楼堂馆所面积控制率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100%以下（含）计满分，每超出5%扣2分，扣完为止。没有楼梯馆所项目的部门按满分计算</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楼堂馆所面积控制率=实际建设面积/批准建设面积×100% 。</w:t>
            </w:r>
          </w:p>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该指标以2016年完工的新建楼堂馆所为评价内容。</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5</w:t>
            </w:r>
          </w:p>
        </w:tc>
      </w:tr>
      <w:tr>
        <w:tblPrEx>
          <w:tblCellMar>
            <w:top w:w="0" w:type="dxa"/>
            <w:left w:w="28" w:type="dxa"/>
            <w:bottom w:w="0" w:type="dxa"/>
            <w:right w:w="28" w:type="dxa"/>
          </w:tblCellMar>
        </w:tblPrEx>
        <w:trPr>
          <w:trHeight w:val="567"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left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689"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新建楼堂馆所投资概算控制率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100%以下（含）计满分，每超出5%扣2分，扣完为止。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楼堂馆所投资预算控制率=实际投资金额/批准投资金额×100% 。</w:t>
            </w:r>
          </w:p>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该指标以2016年完工的新建楼堂馆所为评价内容。</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5</w:t>
            </w:r>
          </w:p>
        </w:tc>
      </w:tr>
      <w:tr>
        <w:tblPrEx>
          <w:tblCellMar>
            <w:top w:w="0" w:type="dxa"/>
            <w:left w:w="28" w:type="dxa"/>
            <w:bottom w:w="0" w:type="dxa"/>
            <w:right w:w="28" w:type="dxa"/>
          </w:tblCellMar>
        </w:tblPrEx>
        <w:trPr>
          <w:trHeight w:val="567"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left w:val="single" w:color="auto"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689"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kern w:val="0"/>
                <w:sz w:val="24"/>
              </w:rPr>
            </w:pPr>
            <w:r>
              <w:rPr>
                <w:rFonts w:hint="eastAsia" w:cs="宋体"/>
                <w:color w:val="000000"/>
                <w:kern w:val="0"/>
                <w:sz w:val="24"/>
              </w:rPr>
              <w:t>预算管理</w:t>
            </w:r>
          </w:p>
        </w:tc>
        <w:tc>
          <w:tcPr>
            <w:tcW w:w="547"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30</w:t>
            </w:r>
            <w:r>
              <w:rPr>
                <w:rFonts w:hint="eastAsia" w:cs="宋体"/>
                <w:color w:val="000000"/>
                <w:kern w:val="0"/>
                <w:sz w:val="24"/>
                <w:lang w:val="en-US" w:eastAsia="zh-CN"/>
              </w:rPr>
              <w:t>分）</w:t>
            </w: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公用经费控制率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7</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100%以下（含）计满分，每超出1%扣1分，扣完为止。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公用经费控制率=（实际支出公用经费总额/预算安排公用经费总额）×100%。</w:t>
            </w:r>
          </w:p>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公用经费支出是指部门基本支出中的一般商品和服务支出。</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7</w:t>
            </w:r>
          </w:p>
        </w:tc>
      </w:tr>
      <w:tr>
        <w:tblPrEx>
          <w:tblCellMar>
            <w:top w:w="0" w:type="dxa"/>
            <w:left w:w="28" w:type="dxa"/>
            <w:bottom w:w="0" w:type="dxa"/>
            <w:right w:w="28" w:type="dxa"/>
          </w:tblCellMar>
        </w:tblPrEx>
        <w:trPr>
          <w:trHeight w:val="933"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689"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5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“三公经费”控制率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8</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100%以下（含）计满分，每超出1%扣1分，扣完为止。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cs="宋体"/>
                <w:color w:val="000000"/>
                <w:kern w:val="0"/>
                <w:sz w:val="24"/>
              </w:rPr>
            </w:pPr>
            <w:r>
              <w:rPr>
                <w:rFonts w:hint="eastAsia" w:cs="宋体"/>
                <w:color w:val="000000"/>
                <w:kern w:val="0"/>
                <w:sz w:val="24"/>
              </w:rPr>
              <w:t>“三公经费”控制率=（“三公经费”实际支出数/“三公经费”预算安排数）×100%。</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5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8</w:t>
            </w:r>
          </w:p>
        </w:tc>
      </w:tr>
      <w:tr>
        <w:tblPrEx>
          <w:tblCellMar>
            <w:top w:w="0" w:type="dxa"/>
            <w:left w:w="28" w:type="dxa"/>
            <w:bottom w:w="0" w:type="dxa"/>
            <w:right w:w="28" w:type="dxa"/>
          </w:tblCellMar>
        </w:tblPrEx>
        <w:trPr>
          <w:trHeight w:val="709" w:hRule="atLeast"/>
          <w:jc w:val="center"/>
        </w:trPr>
        <w:tc>
          <w:tcPr>
            <w:tcW w:w="724" w:type="dxa"/>
            <w:vMerge w:val="restart"/>
            <w:tcBorders>
              <w:top w:val="single" w:color="auto" w:sz="4" w:space="0"/>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过</w:t>
            </w:r>
          </w:p>
          <w:p>
            <w:pPr>
              <w:overflowPunct w:val="0"/>
              <w:autoSpaceDE w:val="0"/>
              <w:autoSpaceDN w:val="0"/>
              <w:spacing w:line="270" w:lineRule="exact"/>
              <w:jc w:val="center"/>
              <w:rPr>
                <w:rFonts w:hint="eastAsia" w:cs="宋体"/>
                <w:color w:val="000000"/>
                <w:kern w:val="0"/>
                <w:sz w:val="24"/>
              </w:rPr>
            </w:pPr>
          </w:p>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程</w:t>
            </w:r>
          </w:p>
        </w:tc>
        <w:tc>
          <w:tcPr>
            <w:tcW w:w="547" w:type="dxa"/>
            <w:vMerge w:val="restart"/>
            <w:tcBorders>
              <w:top w:val="single" w:color="auto" w:sz="4" w:space="0"/>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50</w:t>
            </w:r>
            <w:r>
              <w:rPr>
                <w:rFonts w:hint="eastAsia" w:cs="宋体"/>
                <w:color w:val="000000"/>
                <w:kern w:val="0"/>
                <w:sz w:val="24"/>
                <w:lang w:val="en-US" w:eastAsia="zh-CN"/>
              </w:rPr>
              <w:t>分）</w:t>
            </w:r>
          </w:p>
        </w:tc>
        <w:tc>
          <w:tcPr>
            <w:tcW w:w="689" w:type="dxa"/>
            <w:vMerge w:val="restart"/>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预算管理</w:t>
            </w: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管理制度健全性</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8</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每出现一例不符合要求的扣2分，扣完为止。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①有内部财务管理制度、会计核算制度等管理制度；</w:t>
            </w:r>
          </w:p>
          <w:p>
            <w:pPr>
              <w:overflowPunct w:val="0"/>
              <w:autoSpaceDE w:val="0"/>
              <w:autoSpaceDN w:val="0"/>
              <w:spacing w:line="27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②有本部门厉行节约制度；</w:t>
            </w:r>
          </w:p>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③相关管理制度合法、合规、完整；④相关管理制度得到有效执行。</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4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8</w:t>
            </w:r>
          </w:p>
        </w:tc>
      </w:tr>
      <w:tr>
        <w:tblPrEx>
          <w:tblCellMar>
            <w:top w:w="0" w:type="dxa"/>
            <w:left w:w="28" w:type="dxa"/>
            <w:bottom w:w="0" w:type="dxa"/>
            <w:right w:w="28" w:type="dxa"/>
          </w:tblCellMar>
        </w:tblPrEx>
        <w:trPr>
          <w:trHeight w:val="567" w:hRule="atLeast"/>
          <w:jc w:val="center"/>
        </w:trPr>
        <w:tc>
          <w:tcPr>
            <w:tcW w:w="724" w:type="dxa"/>
            <w:vMerge w:val="continue"/>
            <w:tcBorders>
              <w:top w:val="single" w:color="auto" w:sz="4" w:space="0"/>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single" w:color="auto" w:sz="4" w:space="0"/>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689" w:type="dxa"/>
            <w:vMerge w:val="continue"/>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资金使用合规性</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eastAsia="宋体" w:cs="宋体"/>
                <w:color w:val="000000"/>
                <w:kern w:val="0"/>
                <w:sz w:val="24"/>
                <w:lang w:eastAsia="zh-CN"/>
              </w:rPr>
            </w:pPr>
          </w:p>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每出现一例不符合要求的扣1分，扣完为止。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4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5</w:t>
            </w:r>
          </w:p>
        </w:tc>
      </w:tr>
      <w:tr>
        <w:tblPrEx>
          <w:tblCellMar>
            <w:top w:w="0" w:type="dxa"/>
            <w:left w:w="28" w:type="dxa"/>
            <w:bottom w:w="0" w:type="dxa"/>
            <w:right w:w="28" w:type="dxa"/>
          </w:tblCellMar>
        </w:tblPrEx>
        <w:trPr>
          <w:trHeight w:val="567" w:hRule="atLeast"/>
          <w:jc w:val="center"/>
        </w:trPr>
        <w:tc>
          <w:tcPr>
            <w:tcW w:w="724" w:type="dxa"/>
            <w:vMerge w:val="continue"/>
            <w:tcBorders>
              <w:top w:val="single" w:color="auto" w:sz="4" w:space="0"/>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single" w:color="auto" w:sz="4" w:space="0"/>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689" w:type="dxa"/>
            <w:vMerge w:val="continue"/>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预决算信息公开性</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2</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每出现一例不符合要求的扣1分，扣完为止。</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①按规定内容公开预决算信息；</w:t>
            </w:r>
          </w:p>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②按规定时限公开预决算信息；</w:t>
            </w:r>
          </w:p>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预决算信息是指与部门预算、执行、决算、监督、绩效等管理相关的信息。</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4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2</w:t>
            </w:r>
          </w:p>
        </w:tc>
      </w:tr>
      <w:tr>
        <w:tblPrEx>
          <w:tblCellMar>
            <w:top w:w="0" w:type="dxa"/>
            <w:left w:w="28" w:type="dxa"/>
            <w:bottom w:w="0" w:type="dxa"/>
            <w:right w:w="28" w:type="dxa"/>
          </w:tblCellMar>
        </w:tblPrEx>
        <w:trPr>
          <w:trHeight w:val="901" w:hRule="atLeast"/>
          <w:jc w:val="center"/>
        </w:trPr>
        <w:tc>
          <w:tcPr>
            <w:tcW w:w="724"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产</w:t>
            </w:r>
          </w:p>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出</w:t>
            </w:r>
          </w:p>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及</w:t>
            </w:r>
          </w:p>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效</w:t>
            </w:r>
          </w:p>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率</w:t>
            </w:r>
          </w:p>
        </w:tc>
        <w:tc>
          <w:tcPr>
            <w:tcW w:w="547"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35</w:t>
            </w:r>
            <w:r>
              <w:rPr>
                <w:rFonts w:hint="eastAsia" w:cs="宋体"/>
                <w:color w:val="000000"/>
                <w:kern w:val="0"/>
                <w:sz w:val="24"/>
                <w:lang w:val="en-US" w:eastAsia="zh-CN"/>
              </w:rPr>
              <w:t>分）</w:t>
            </w:r>
          </w:p>
        </w:tc>
        <w:tc>
          <w:tcPr>
            <w:tcW w:w="689"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职责履行</w:t>
            </w:r>
          </w:p>
        </w:tc>
        <w:tc>
          <w:tcPr>
            <w:tcW w:w="547"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8</w:t>
            </w:r>
            <w:r>
              <w:rPr>
                <w:rFonts w:hint="eastAsia" w:cs="宋体"/>
                <w:color w:val="000000"/>
                <w:kern w:val="0"/>
                <w:sz w:val="24"/>
                <w:lang w:val="en-US" w:eastAsia="zh-CN"/>
              </w:rPr>
              <w:t>分）</w:t>
            </w:r>
          </w:p>
        </w:tc>
        <w:tc>
          <w:tcPr>
            <w:tcW w:w="953" w:type="dxa"/>
            <w:gridSpan w:val="2"/>
            <w:tcBorders>
              <w:top w:val="nil"/>
              <w:left w:val="nil"/>
              <w:bottom w:val="nil"/>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目标任务实际完成率</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8</w:t>
            </w:r>
            <w:r>
              <w:rPr>
                <w:rFonts w:hint="eastAsia" w:cs="宋体"/>
                <w:color w:val="000000"/>
                <w:kern w:val="0"/>
                <w:sz w:val="24"/>
                <w:lang w:val="en-US" w:eastAsia="zh-CN"/>
              </w:rPr>
              <w:t>分）</w:t>
            </w:r>
          </w:p>
        </w:tc>
        <w:tc>
          <w:tcPr>
            <w:tcW w:w="2757"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该项得分=（年度综合目标管理考核得分/总分）*8</w:t>
            </w:r>
          </w:p>
        </w:tc>
        <w:tc>
          <w:tcPr>
            <w:tcW w:w="3336"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根据区年度综合目标管理考核得分折算。</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4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8</w:t>
            </w:r>
          </w:p>
        </w:tc>
      </w:tr>
      <w:tr>
        <w:tblPrEx>
          <w:tblCellMar>
            <w:top w:w="0" w:type="dxa"/>
            <w:left w:w="28" w:type="dxa"/>
            <w:bottom w:w="0" w:type="dxa"/>
            <w:right w:w="28" w:type="dxa"/>
          </w:tblCellMar>
        </w:tblPrEx>
        <w:trPr>
          <w:trHeight w:val="567"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689"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履职 效益</w:t>
            </w:r>
          </w:p>
        </w:tc>
        <w:tc>
          <w:tcPr>
            <w:tcW w:w="547"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15</w:t>
            </w:r>
            <w:r>
              <w:rPr>
                <w:rFonts w:hint="eastAsia" w:cs="宋体"/>
                <w:color w:val="000000"/>
                <w:kern w:val="0"/>
                <w:sz w:val="24"/>
                <w:lang w:val="en-US" w:eastAsia="zh-CN"/>
              </w:rPr>
              <w:t>分）</w:t>
            </w:r>
          </w:p>
        </w:tc>
        <w:tc>
          <w:tcPr>
            <w:tcW w:w="953" w:type="dxa"/>
            <w:gridSpan w:val="2"/>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经济效益</w:t>
            </w:r>
          </w:p>
        </w:tc>
        <w:tc>
          <w:tcPr>
            <w:tcW w:w="466" w:type="dxa"/>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人）</w:t>
            </w:r>
          </w:p>
        </w:tc>
        <w:tc>
          <w:tcPr>
            <w:tcW w:w="6093" w:type="dxa"/>
            <w:gridSpan w:val="3"/>
            <w:vMerge w:val="restart"/>
            <w:tcBorders>
              <w:top w:val="single" w:color="auto" w:sz="4" w:space="0"/>
              <w:left w:val="single" w:color="auto" w:sz="4" w:space="0"/>
              <w:bottom w:val="nil"/>
              <w:right w:val="single" w:color="000000"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此三项指标为设置部门整体支出绩效评价指标时必须考虑的要素，可根据部门实际情况有选择的进行设置，并将其细化为相应的个性化指标。</w:t>
            </w:r>
          </w:p>
        </w:tc>
        <w:tc>
          <w:tcPr>
            <w:tcW w:w="487" w:type="dxa"/>
            <w:vMerge w:val="restart"/>
            <w:tcBorders>
              <w:top w:val="nil"/>
              <w:left w:val="nil"/>
              <w:right w:val="single" w:color="auto" w:sz="4" w:space="0"/>
            </w:tcBorders>
            <w:noWrap w:val="0"/>
            <w:vAlign w:val="center"/>
          </w:tcPr>
          <w:p>
            <w:pPr>
              <w:overflowPunct w:val="0"/>
              <w:autoSpaceDE w:val="0"/>
              <w:autoSpaceDN w:val="0"/>
              <w:spacing w:line="240" w:lineRule="exact"/>
              <w:ind w:firstLine="240" w:firstLineChars="100"/>
              <w:jc w:val="center"/>
              <w:rPr>
                <w:rFonts w:hint="default" w:eastAsia="宋体" w:cs="宋体"/>
                <w:color w:val="000000"/>
                <w:kern w:val="0"/>
                <w:sz w:val="24"/>
                <w:lang w:val="en-US" w:eastAsia="zh-CN"/>
              </w:rPr>
            </w:pPr>
            <w:r>
              <w:rPr>
                <w:rFonts w:hint="eastAsia" w:cs="宋体"/>
                <w:color w:val="000000"/>
                <w:kern w:val="0"/>
                <w:sz w:val="24"/>
                <w:lang w:val="en-US" w:eastAsia="zh-CN"/>
              </w:rPr>
              <w:t>15</w:t>
            </w:r>
          </w:p>
          <w:p>
            <w:pPr>
              <w:overflowPunct w:val="0"/>
              <w:autoSpaceDE w:val="0"/>
              <w:autoSpaceDN w:val="0"/>
              <w:spacing w:line="240" w:lineRule="exact"/>
              <w:ind w:firstLine="240" w:firstLineChars="100"/>
              <w:jc w:val="center"/>
              <w:rPr>
                <w:rFonts w:hint="eastAsia" w:cs="宋体"/>
                <w:color w:val="000000"/>
                <w:kern w:val="0"/>
                <w:sz w:val="24"/>
              </w:rPr>
            </w:pPr>
          </w:p>
        </w:tc>
      </w:tr>
      <w:tr>
        <w:tblPrEx>
          <w:tblCellMar>
            <w:top w:w="0" w:type="dxa"/>
            <w:left w:w="28" w:type="dxa"/>
            <w:bottom w:w="0" w:type="dxa"/>
            <w:right w:w="28" w:type="dxa"/>
          </w:tblCellMar>
        </w:tblPrEx>
        <w:trPr>
          <w:trHeight w:val="567"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689"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社会效益</w:t>
            </w:r>
          </w:p>
        </w:tc>
        <w:tc>
          <w:tcPr>
            <w:tcW w:w="466" w:type="dxa"/>
            <w:tcBorders>
              <w:top w:val="single" w:color="auto" w:sz="4" w:space="0"/>
              <w:left w:val="single" w:color="auto" w:sz="4" w:space="0"/>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分）</w:t>
            </w:r>
          </w:p>
        </w:tc>
        <w:tc>
          <w:tcPr>
            <w:tcW w:w="6093" w:type="dxa"/>
            <w:gridSpan w:val="3"/>
            <w:vMerge w:val="continue"/>
            <w:tcBorders>
              <w:top w:val="single" w:color="auto" w:sz="4" w:space="0"/>
              <w:left w:val="single" w:color="auto" w:sz="4" w:space="0"/>
              <w:bottom w:val="nil"/>
              <w:right w:val="single" w:color="000000" w:sz="4" w:space="0"/>
            </w:tcBorders>
            <w:noWrap w:val="0"/>
            <w:vAlign w:val="center"/>
          </w:tcPr>
          <w:p>
            <w:pPr>
              <w:overflowPunct w:val="0"/>
              <w:autoSpaceDE w:val="0"/>
              <w:autoSpaceDN w:val="0"/>
              <w:spacing w:line="270" w:lineRule="exact"/>
              <w:ind w:firstLine="240" w:firstLineChars="100"/>
              <w:jc w:val="center"/>
              <w:rPr>
                <w:rFonts w:hint="eastAsia" w:cs="宋体"/>
                <w:color w:val="000000"/>
                <w:sz w:val="24"/>
              </w:rPr>
            </w:pPr>
          </w:p>
        </w:tc>
        <w:tc>
          <w:tcPr>
            <w:tcW w:w="487" w:type="dxa"/>
            <w:vMerge w:val="continue"/>
            <w:tcBorders>
              <w:left w:val="nil"/>
              <w:right w:val="single" w:color="auto" w:sz="4" w:space="0"/>
            </w:tcBorders>
            <w:noWrap w:val="0"/>
            <w:vAlign w:val="center"/>
          </w:tcPr>
          <w:p>
            <w:pPr>
              <w:overflowPunct w:val="0"/>
              <w:autoSpaceDE w:val="0"/>
              <w:autoSpaceDN w:val="0"/>
              <w:spacing w:line="240" w:lineRule="exact"/>
              <w:ind w:firstLine="240" w:firstLineChars="100"/>
              <w:jc w:val="center"/>
              <w:rPr>
                <w:rFonts w:hint="eastAsia" w:cs="宋体"/>
                <w:color w:val="000000"/>
                <w:kern w:val="0"/>
                <w:sz w:val="24"/>
              </w:rPr>
            </w:pPr>
          </w:p>
        </w:tc>
      </w:tr>
      <w:tr>
        <w:tblPrEx>
          <w:tblCellMar>
            <w:top w:w="0" w:type="dxa"/>
            <w:left w:w="28" w:type="dxa"/>
            <w:bottom w:w="0" w:type="dxa"/>
            <w:right w:w="28" w:type="dxa"/>
          </w:tblCellMar>
        </w:tblPrEx>
        <w:trPr>
          <w:trHeight w:val="567"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689"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953" w:type="dxa"/>
            <w:gridSpan w:val="2"/>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生态效益</w:t>
            </w:r>
          </w:p>
        </w:tc>
        <w:tc>
          <w:tcPr>
            <w:tcW w:w="466" w:type="dxa"/>
            <w:tcBorders>
              <w:top w:val="single" w:color="auto" w:sz="4" w:space="0"/>
              <w:left w:val="single" w:color="auto" w:sz="4" w:space="0"/>
              <w:bottom w:val="nil"/>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5</w:t>
            </w:r>
            <w:r>
              <w:rPr>
                <w:rFonts w:hint="eastAsia" w:cs="宋体"/>
                <w:color w:val="000000"/>
                <w:kern w:val="0"/>
                <w:sz w:val="24"/>
                <w:lang w:val="en-US" w:eastAsia="zh-CN"/>
              </w:rPr>
              <w:t>分）</w:t>
            </w:r>
          </w:p>
        </w:tc>
        <w:tc>
          <w:tcPr>
            <w:tcW w:w="6093" w:type="dxa"/>
            <w:gridSpan w:val="3"/>
            <w:vMerge w:val="continue"/>
            <w:tcBorders>
              <w:top w:val="single" w:color="auto" w:sz="4" w:space="0"/>
              <w:left w:val="single" w:color="auto" w:sz="4" w:space="0"/>
              <w:bottom w:val="nil"/>
              <w:right w:val="single" w:color="000000" w:sz="4" w:space="0"/>
            </w:tcBorders>
            <w:noWrap w:val="0"/>
            <w:vAlign w:val="center"/>
          </w:tcPr>
          <w:p>
            <w:pPr>
              <w:overflowPunct w:val="0"/>
              <w:autoSpaceDE w:val="0"/>
              <w:autoSpaceDN w:val="0"/>
              <w:spacing w:line="270" w:lineRule="exact"/>
              <w:ind w:firstLine="240" w:firstLineChars="100"/>
              <w:jc w:val="center"/>
              <w:rPr>
                <w:rFonts w:hint="eastAsia" w:cs="宋体"/>
                <w:color w:val="000000"/>
                <w:sz w:val="24"/>
              </w:rPr>
            </w:pPr>
          </w:p>
        </w:tc>
        <w:tc>
          <w:tcPr>
            <w:tcW w:w="487" w:type="dxa"/>
            <w:vMerge w:val="continue"/>
            <w:tcBorders>
              <w:left w:val="nil"/>
              <w:bottom w:val="nil"/>
              <w:right w:val="single" w:color="auto" w:sz="4" w:space="0"/>
            </w:tcBorders>
            <w:noWrap w:val="0"/>
            <w:vAlign w:val="center"/>
          </w:tcPr>
          <w:p>
            <w:pPr>
              <w:overflowPunct w:val="0"/>
              <w:autoSpaceDE w:val="0"/>
              <w:autoSpaceDN w:val="0"/>
              <w:spacing w:line="240" w:lineRule="exact"/>
              <w:ind w:firstLine="240" w:firstLineChars="100"/>
              <w:jc w:val="center"/>
              <w:rPr>
                <w:rFonts w:hint="eastAsia" w:cs="宋体"/>
                <w:color w:val="000000"/>
                <w:sz w:val="24"/>
              </w:rPr>
            </w:pPr>
          </w:p>
        </w:tc>
      </w:tr>
      <w:tr>
        <w:tblPrEx>
          <w:tblCellMar>
            <w:top w:w="0" w:type="dxa"/>
            <w:left w:w="28" w:type="dxa"/>
            <w:bottom w:w="0" w:type="dxa"/>
            <w:right w:w="28" w:type="dxa"/>
          </w:tblCellMar>
        </w:tblPrEx>
        <w:trPr>
          <w:trHeight w:val="1573" w:hRule="atLeast"/>
          <w:jc w:val="center"/>
        </w:trPr>
        <w:tc>
          <w:tcPr>
            <w:tcW w:w="724"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689" w:type="dxa"/>
            <w:vMerge w:val="continue"/>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restart"/>
            <w:tcBorders>
              <w:top w:val="nil"/>
              <w:left w:val="single" w:color="auto" w:sz="4" w:space="0"/>
              <w:bottom w:val="single" w:color="000000"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12</w:t>
            </w:r>
            <w:r>
              <w:rPr>
                <w:rFonts w:hint="eastAsia" w:cs="宋体"/>
                <w:color w:val="000000"/>
                <w:kern w:val="0"/>
                <w:sz w:val="24"/>
                <w:lang w:val="en-US" w:eastAsia="zh-CN"/>
              </w:rPr>
              <w:t>分）</w:t>
            </w: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行政效能</w:t>
            </w:r>
          </w:p>
        </w:tc>
        <w:tc>
          <w:tcPr>
            <w:tcW w:w="466"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6</w:t>
            </w:r>
            <w:r>
              <w:rPr>
                <w:rFonts w:hint="eastAsia" w:cs="宋体"/>
                <w:color w:val="000000"/>
                <w:kern w:val="0"/>
                <w:sz w:val="24"/>
                <w:lang w:val="en-US" w:eastAsia="zh-CN"/>
              </w:rPr>
              <w:t>分）</w:t>
            </w:r>
          </w:p>
        </w:tc>
        <w:tc>
          <w:tcPr>
            <w:tcW w:w="3351" w:type="dxa"/>
            <w:gridSpan w:val="2"/>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促进部门改进文风会风，加强经费及资产管理，推动网上办事，提高行政效率，降低行政成本效果较好的计6分；一般3分；无效果或者效果不明显0分。</w:t>
            </w:r>
          </w:p>
        </w:tc>
        <w:tc>
          <w:tcPr>
            <w:tcW w:w="2742"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根据部门自评材料评定。</w:t>
            </w:r>
          </w:p>
        </w:tc>
        <w:tc>
          <w:tcPr>
            <w:tcW w:w="487" w:type="dxa"/>
            <w:tcBorders>
              <w:top w:val="single" w:color="auto" w:sz="4" w:space="0"/>
              <w:left w:val="nil"/>
              <w:bottom w:val="single" w:color="auto" w:sz="4" w:space="0"/>
              <w:right w:val="single" w:color="auto" w:sz="4" w:space="0"/>
            </w:tcBorders>
            <w:noWrap w:val="0"/>
            <w:vAlign w:val="center"/>
          </w:tcPr>
          <w:p>
            <w:pPr>
              <w:overflowPunct w:val="0"/>
              <w:autoSpaceDE w:val="0"/>
              <w:autoSpaceDN w:val="0"/>
              <w:spacing w:line="24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6</w:t>
            </w:r>
          </w:p>
        </w:tc>
      </w:tr>
      <w:tr>
        <w:tblPrEx>
          <w:tblCellMar>
            <w:top w:w="0" w:type="dxa"/>
            <w:left w:w="28" w:type="dxa"/>
            <w:bottom w:w="0" w:type="dxa"/>
            <w:right w:w="28" w:type="dxa"/>
          </w:tblCellMar>
        </w:tblPrEx>
        <w:trPr>
          <w:trHeight w:val="567" w:hRule="atLeast"/>
          <w:jc w:val="center"/>
        </w:trPr>
        <w:tc>
          <w:tcPr>
            <w:tcW w:w="724" w:type="dxa"/>
            <w:vMerge w:val="continue"/>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689" w:type="dxa"/>
            <w:vMerge w:val="continue"/>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547" w:type="dxa"/>
            <w:vMerge w:val="continue"/>
            <w:tcBorders>
              <w:top w:val="nil"/>
              <w:left w:val="single" w:color="auto" w:sz="4" w:space="0"/>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sz w:val="24"/>
              </w:rPr>
            </w:pPr>
          </w:p>
        </w:tc>
        <w:tc>
          <w:tcPr>
            <w:tcW w:w="953"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cs="宋体"/>
                <w:color w:val="000000"/>
                <w:kern w:val="0"/>
                <w:sz w:val="24"/>
              </w:rPr>
            </w:pPr>
            <w:r>
              <w:rPr>
                <w:rFonts w:hint="eastAsia" w:cs="宋体"/>
                <w:color w:val="000000"/>
                <w:kern w:val="0"/>
                <w:sz w:val="24"/>
              </w:rPr>
              <w:t>社会公众或服务对象满意度</w:t>
            </w:r>
          </w:p>
        </w:tc>
        <w:tc>
          <w:tcPr>
            <w:tcW w:w="466"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jc w:val="center"/>
              <w:rPr>
                <w:rFonts w:hint="eastAsia" w:eastAsia="宋体" w:cs="宋体"/>
                <w:color w:val="000000"/>
                <w:kern w:val="0"/>
                <w:sz w:val="24"/>
                <w:lang w:val="en-US" w:eastAsia="zh-CN"/>
              </w:rPr>
            </w:pPr>
            <w:r>
              <w:rPr>
                <w:rFonts w:hint="eastAsia" w:cs="宋体"/>
                <w:color w:val="000000"/>
                <w:kern w:val="0"/>
                <w:sz w:val="24"/>
                <w:lang w:eastAsia="zh-CN"/>
              </w:rPr>
              <w:t>（</w:t>
            </w:r>
            <w:r>
              <w:rPr>
                <w:rFonts w:hint="eastAsia" w:cs="宋体"/>
                <w:color w:val="000000"/>
                <w:kern w:val="0"/>
                <w:sz w:val="24"/>
              </w:rPr>
              <w:t>6</w:t>
            </w:r>
            <w:r>
              <w:rPr>
                <w:rFonts w:hint="eastAsia" w:cs="宋体"/>
                <w:color w:val="000000"/>
                <w:kern w:val="0"/>
                <w:sz w:val="24"/>
                <w:lang w:val="en-US" w:eastAsia="zh-CN"/>
              </w:rPr>
              <w:t>分）</w:t>
            </w:r>
          </w:p>
        </w:tc>
        <w:tc>
          <w:tcPr>
            <w:tcW w:w="3351" w:type="dxa"/>
            <w:gridSpan w:val="2"/>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90%（含）以上计6分；</w:t>
            </w:r>
          </w:p>
          <w:p>
            <w:pPr>
              <w:overflowPunct w:val="0"/>
              <w:autoSpaceDE w:val="0"/>
              <w:autoSpaceDN w:val="0"/>
              <w:spacing w:line="27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80%（含）-90%，计4分；</w:t>
            </w:r>
          </w:p>
          <w:p>
            <w:pPr>
              <w:overflowPunct w:val="0"/>
              <w:autoSpaceDE w:val="0"/>
              <w:autoSpaceDN w:val="0"/>
              <w:spacing w:line="270" w:lineRule="exact"/>
              <w:ind w:firstLine="240" w:firstLineChars="100"/>
              <w:jc w:val="center"/>
              <w:rPr>
                <w:rFonts w:hint="eastAsia" w:eastAsia="宋体" w:cs="宋体"/>
                <w:color w:val="000000"/>
                <w:kern w:val="0"/>
                <w:sz w:val="24"/>
                <w:lang w:eastAsia="zh-CN"/>
              </w:rPr>
            </w:pPr>
            <w:r>
              <w:rPr>
                <w:rFonts w:hint="eastAsia" w:cs="宋体"/>
                <w:color w:val="000000"/>
                <w:kern w:val="0"/>
                <w:sz w:val="24"/>
              </w:rPr>
              <w:t>70%（含）-80%，计2分；</w:t>
            </w:r>
          </w:p>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低于70%计0分。</w:t>
            </w:r>
          </w:p>
        </w:tc>
        <w:tc>
          <w:tcPr>
            <w:tcW w:w="2742" w:type="dxa"/>
            <w:tcBorders>
              <w:top w:val="nil"/>
              <w:left w:val="nil"/>
              <w:bottom w:val="single" w:color="auto" w:sz="4" w:space="0"/>
              <w:right w:val="single" w:color="auto" w:sz="4" w:space="0"/>
            </w:tcBorders>
            <w:noWrap w:val="0"/>
            <w:vAlign w:val="center"/>
          </w:tcPr>
          <w:p>
            <w:pPr>
              <w:overflowPunct w:val="0"/>
              <w:autoSpaceDE w:val="0"/>
              <w:autoSpaceDN w:val="0"/>
              <w:spacing w:line="270" w:lineRule="exact"/>
              <w:ind w:firstLine="240" w:firstLineChars="100"/>
              <w:jc w:val="center"/>
              <w:rPr>
                <w:rFonts w:hint="eastAsia" w:cs="宋体"/>
                <w:color w:val="000000"/>
                <w:kern w:val="0"/>
                <w:sz w:val="24"/>
              </w:rPr>
            </w:pPr>
            <w:r>
              <w:rPr>
                <w:rFonts w:hint="eastAsia" w:cs="宋体"/>
                <w:color w:val="000000"/>
                <w:kern w:val="0"/>
                <w:sz w:val="24"/>
              </w:rPr>
              <w:t>社会公众或服务对象是指部门（单位）履行职责而影响到的部门、群体或个人，一般采取社会调查的方式。</w:t>
            </w:r>
          </w:p>
        </w:tc>
        <w:tc>
          <w:tcPr>
            <w:tcW w:w="487" w:type="dxa"/>
            <w:tcBorders>
              <w:top w:val="nil"/>
              <w:left w:val="nil"/>
              <w:bottom w:val="single" w:color="auto" w:sz="4" w:space="0"/>
              <w:right w:val="single" w:color="auto" w:sz="4" w:space="0"/>
            </w:tcBorders>
            <w:noWrap w:val="0"/>
            <w:vAlign w:val="center"/>
          </w:tcPr>
          <w:p>
            <w:pPr>
              <w:overflowPunct w:val="0"/>
              <w:autoSpaceDE w:val="0"/>
              <w:autoSpaceDN w:val="0"/>
              <w:spacing w:line="240" w:lineRule="exact"/>
              <w:ind w:firstLine="240" w:firstLineChars="100"/>
              <w:jc w:val="center"/>
              <w:rPr>
                <w:rFonts w:hint="eastAsia" w:eastAsia="宋体" w:cs="宋体"/>
                <w:color w:val="000000"/>
                <w:kern w:val="0"/>
                <w:sz w:val="24"/>
                <w:lang w:val="en-US" w:eastAsia="zh-CN"/>
              </w:rPr>
            </w:pPr>
            <w:r>
              <w:rPr>
                <w:rFonts w:hint="eastAsia" w:cs="宋体"/>
                <w:color w:val="000000"/>
                <w:kern w:val="0"/>
                <w:sz w:val="24"/>
                <w:lang w:val="en-US" w:eastAsia="zh-CN"/>
              </w:rPr>
              <w:t>6</w:t>
            </w:r>
          </w:p>
        </w:tc>
      </w:tr>
      <w:tr>
        <w:tblPrEx>
          <w:tblCellMar>
            <w:top w:w="0" w:type="dxa"/>
            <w:left w:w="28" w:type="dxa"/>
            <w:bottom w:w="0" w:type="dxa"/>
            <w:right w:w="28" w:type="dxa"/>
          </w:tblCellMar>
        </w:tblPrEx>
        <w:trPr>
          <w:trHeight w:val="567" w:hRule="atLeast"/>
          <w:jc w:val="center"/>
        </w:trPr>
        <w:tc>
          <w:tcPr>
            <w:tcW w:w="2512" w:type="dxa"/>
            <w:gridSpan w:val="5"/>
            <w:tcBorders>
              <w:top w:val="single" w:color="auto" w:sz="4" w:space="0"/>
              <w:left w:val="single" w:color="auto" w:sz="4" w:space="0"/>
              <w:bottom w:val="single" w:color="auto" w:sz="4" w:space="0"/>
              <w:right w:val="single" w:color="auto" w:sz="4" w:space="0"/>
            </w:tcBorders>
            <w:noWrap w:val="0"/>
            <w:vAlign w:val="center"/>
          </w:tcPr>
          <w:p>
            <w:pPr>
              <w:overflowPunct w:val="0"/>
              <w:autoSpaceDE w:val="0"/>
              <w:autoSpaceDN w:val="0"/>
              <w:spacing w:line="240" w:lineRule="exact"/>
              <w:jc w:val="center"/>
              <w:rPr>
                <w:rFonts w:hint="eastAsia" w:cs="宋体"/>
                <w:color w:val="000000"/>
                <w:kern w:val="0"/>
                <w:sz w:val="24"/>
              </w:rPr>
            </w:pPr>
            <w:r>
              <w:rPr>
                <w:rFonts w:hint="eastAsia" w:cs="宋体"/>
                <w:color w:val="000000"/>
                <w:sz w:val="24"/>
              </w:rPr>
              <w:t>合计</w:t>
            </w:r>
          </w:p>
        </w:tc>
        <w:tc>
          <w:tcPr>
            <w:tcW w:w="7994" w:type="dxa"/>
            <w:gridSpan w:val="6"/>
            <w:tcBorders>
              <w:top w:val="single" w:color="auto" w:sz="4" w:space="0"/>
              <w:left w:val="single" w:color="auto" w:sz="4" w:space="0"/>
              <w:bottom w:val="single" w:color="auto" w:sz="4" w:space="0"/>
              <w:right w:val="single" w:color="auto" w:sz="4" w:space="0"/>
            </w:tcBorders>
            <w:noWrap w:val="0"/>
            <w:vAlign w:val="center"/>
          </w:tcPr>
          <w:p>
            <w:pPr>
              <w:overflowPunct w:val="0"/>
              <w:autoSpaceDE w:val="0"/>
              <w:autoSpaceDN w:val="0"/>
              <w:spacing w:line="240" w:lineRule="exact"/>
              <w:jc w:val="center"/>
              <w:rPr>
                <w:rFonts w:hint="default" w:eastAsia="宋体" w:cs="宋体"/>
                <w:color w:val="000000"/>
                <w:kern w:val="0"/>
                <w:sz w:val="24"/>
                <w:lang w:val="en-US" w:eastAsia="zh-CN"/>
              </w:rPr>
            </w:pPr>
            <w:r>
              <w:rPr>
                <w:rFonts w:hint="eastAsia" w:cs="宋体"/>
                <w:color w:val="000000"/>
                <w:kern w:val="0"/>
                <w:sz w:val="24"/>
                <w:lang w:val="en-US" w:eastAsia="zh-CN"/>
              </w:rPr>
              <w:t>95</w:t>
            </w:r>
          </w:p>
        </w:tc>
      </w:tr>
    </w:tbl>
    <w:p>
      <w:pPr>
        <w:overflowPunct w:val="0"/>
        <w:autoSpaceDE w:val="0"/>
        <w:autoSpaceDN w:val="0"/>
        <w:spacing w:line="592" w:lineRule="exact"/>
        <w:rPr>
          <w:rFonts w:hAnsi="黑体" w:eastAsia="黑体"/>
          <w:color w:val="000000"/>
          <w:sz w:val="32"/>
          <w:szCs w:val="32"/>
        </w:rPr>
      </w:pPr>
    </w:p>
    <w:p>
      <w:pPr>
        <w:overflowPunct w:val="0"/>
        <w:autoSpaceDE w:val="0"/>
        <w:autoSpaceDN w:val="0"/>
        <w:spacing w:line="592" w:lineRule="exact"/>
        <w:rPr>
          <w:rFonts w:hAnsi="黑体" w:eastAsia="黑体"/>
          <w:color w:val="000000"/>
          <w:sz w:val="32"/>
          <w:szCs w:val="32"/>
        </w:rPr>
      </w:pPr>
    </w:p>
    <w:p>
      <w:pPr>
        <w:overflowPunct w:val="0"/>
        <w:autoSpaceDE w:val="0"/>
        <w:autoSpaceDN w:val="0"/>
        <w:spacing w:line="592" w:lineRule="exact"/>
        <w:rPr>
          <w:rFonts w:hAnsi="黑体" w:eastAsia="黑体"/>
          <w:color w:val="000000"/>
          <w:sz w:val="32"/>
          <w:szCs w:val="32"/>
        </w:rPr>
      </w:pPr>
    </w:p>
    <w:p>
      <w:pPr>
        <w:pStyle w:val="4"/>
        <w:bidi w:val="0"/>
        <w:jc w:val="center"/>
        <w:rPr>
          <w:rFonts w:hint="eastAsia"/>
        </w:rPr>
      </w:pPr>
      <w:r>
        <w:rPr>
          <w:rFonts w:hint="eastAsia"/>
          <w:lang w:eastAsia="zh-CN"/>
        </w:rPr>
        <w:t>大通湖区教育和卫生健康局</w:t>
      </w:r>
      <w:r>
        <w:rPr>
          <w:rFonts w:hint="eastAsia"/>
        </w:rPr>
        <w:t>部门整体支出绩效评价报告</w:t>
      </w:r>
    </w:p>
    <w:p>
      <w:pPr>
        <w:keepNext w:val="0"/>
        <w:keepLines w:val="0"/>
        <w:pageBreakBefore w:val="0"/>
        <w:widowControl w:val="0"/>
        <w:kinsoku/>
        <w:wordWrap/>
        <w:overflowPunct w:val="0"/>
        <w:topLinePunct w:val="0"/>
        <w:autoSpaceDE w:val="0"/>
        <w:autoSpaceDN w:val="0"/>
        <w:bidi w:val="0"/>
        <w:adjustRightInd/>
        <w:snapToGrid/>
        <w:spacing w:line="592" w:lineRule="exact"/>
        <w:ind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根据《益阳市大通湖区发展改革和财政局关于做好区级预算绩效自评工作的通知》（大发财〔202</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34</w:t>
      </w:r>
      <w:r>
        <w:rPr>
          <w:rFonts w:hint="eastAsia" w:ascii="仿宋" w:hAnsi="仿宋" w:eastAsia="仿宋" w:cs="仿宋"/>
          <w:color w:val="000000"/>
          <w:sz w:val="32"/>
          <w:szCs w:val="32"/>
        </w:rPr>
        <w:t>号）文件精神，遵循“科学性、规范性、客观性和公正性”的原则，我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对</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度部门整体支出绩效进行了合理评价，现将有关情况报告如下。</w:t>
      </w:r>
    </w:p>
    <w:p>
      <w:pPr>
        <w:overflowPunct w:val="0"/>
        <w:autoSpaceDE w:val="0"/>
        <w:autoSpaceDN w:val="0"/>
        <w:spacing w:line="592" w:lineRule="exact"/>
        <w:ind w:firstLine="640" w:firstLineChars="200"/>
        <w:rPr>
          <w:rFonts w:hint="eastAsia" w:ascii="黑体" w:hAnsi="黑体" w:eastAsia="黑体" w:cs="仿宋_GB2312"/>
          <w:color w:val="000000"/>
          <w:sz w:val="32"/>
          <w:szCs w:val="32"/>
        </w:rPr>
      </w:pPr>
      <w:r>
        <w:rPr>
          <w:rFonts w:hint="eastAsia" w:ascii="黑体" w:hAnsi="黑体" w:eastAsia="黑体" w:cs="仿宋_GB2312"/>
          <w:bCs/>
          <w:color w:val="000000"/>
          <w:sz w:val="32"/>
          <w:szCs w:val="32"/>
        </w:rPr>
        <w:t>一、基本情况</w:t>
      </w:r>
    </w:p>
    <w:p>
      <w:pPr>
        <w:overflowPunct w:val="0"/>
        <w:autoSpaceDE w:val="0"/>
        <w:autoSpaceDN w:val="0"/>
        <w:spacing w:line="592"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（一）部门整体</w:t>
      </w:r>
      <w:r>
        <w:rPr>
          <w:rFonts w:hint="eastAsia" w:ascii="仿宋" w:hAnsi="仿宋" w:eastAsia="仿宋" w:cs="仿宋"/>
          <w:color w:val="000000"/>
          <w:sz w:val="32"/>
          <w:szCs w:val="32"/>
          <w:lang w:eastAsia="zh-CN"/>
        </w:rPr>
        <w:t>收入、</w:t>
      </w:r>
      <w:r>
        <w:rPr>
          <w:rFonts w:hint="eastAsia" w:ascii="仿宋" w:hAnsi="仿宋" w:eastAsia="仿宋" w:cs="仿宋"/>
          <w:color w:val="000000"/>
          <w:sz w:val="32"/>
          <w:szCs w:val="32"/>
        </w:rPr>
        <w:t>支出概况</w:t>
      </w:r>
    </w:p>
    <w:p>
      <w:pPr>
        <w:overflowPunct w:val="0"/>
        <w:autoSpaceDE w:val="0"/>
        <w:autoSpaceDN w:val="0"/>
        <w:spacing w:line="592"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度教育和卫生健康局部门决算收入总计13277</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3</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万元，其中包括年初结转和结余</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万元，本年收入</w:t>
      </w:r>
      <w:r>
        <w:rPr>
          <w:rFonts w:hint="eastAsia" w:ascii="仿宋" w:hAnsi="仿宋" w:eastAsia="仿宋" w:cs="仿宋"/>
          <w:color w:val="000000"/>
          <w:sz w:val="32"/>
          <w:szCs w:val="32"/>
          <w:lang w:val="en-US" w:eastAsia="zh-CN"/>
        </w:rPr>
        <w:t>13277.37</w:t>
      </w:r>
      <w:r>
        <w:rPr>
          <w:rFonts w:hint="eastAsia" w:ascii="仿宋" w:hAnsi="仿宋" w:eastAsia="仿宋" w:cs="仿宋"/>
          <w:color w:val="000000"/>
          <w:sz w:val="32"/>
          <w:szCs w:val="32"/>
        </w:rPr>
        <w:t>万元，具体构成为：一般公共预算财政拨款收入</w:t>
      </w:r>
      <w:r>
        <w:rPr>
          <w:rFonts w:hint="eastAsia" w:ascii="仿宋" w:hAnsi="仿宋" w:eastAsia="仿宋" w:cs="仿宋"/>
          <w:color w:val="000000"/>
          <w:sz w:val="32"/>
          <w:szCs w:val="32"/>
          <w:lang w:val="en-US" w:eastAsia="zh-CN"/>
        </w:rPr>
        <w:t>2149.21</w:t>
      </w:r>
      <w:r>
        <w:rPr>
          <w:rFonts w:hint="eastAsia" w:ascii="仿宋" w:hAnsi="仿宋" w:eastAsia="仿宋" w:cs="仿宋"/>
          <w:color w:val="000000"/>
          <w:sz w:val="32"/>
          <w:szCs w:val="32"/>
        </w:rPr>
        <w:t>万元，政府性基金预算财政拨款收入10775</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万，其他收入</w:t>
      </w:r>
      <w:r>
        <w:rPr>
          <w:rFonts w:hint="eastAsia" w:ascii="仿宋" w:hAnsi="仿宋" w:eastAsia="仿宋" w:cs="仿宋"/>
          <w:color w:val="000000"/>
          <w:sz w:val="32"/>
          <w:szCs w:val="32"/>
          <w:lang w:val="en-US" w:eastAsia="zh-CN"/>
        </w:rPr>
        <w:t>353.04</w:t>
      </w:r>
      <w:r>
        <w:rPr>
          <w:rFonts w:hint="eastAsia" w:ascii="仿宋" w:hAnsi="仿宋" w:eastAsia="仿宋" w:cs="仿宋"/>
          <w:color w:val="000000"/>
          <w:sz w:val="32"/>
          <w:szCs w:val="32"/>
        </w:rPr>
        <w:t>万元。</w:t>
      </w:r>
    </w:p>
    <w:p>
      <w:pPr>
        <w:overflowPunct w:val="0"/>
        <w:autoSpaceDE w:val="0"/>
        <w:autoSpaceDN w:val="0"/>
        <w:spacing w:line="592"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度教育和卫生健康局部门本年支出合计13277</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3</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万元，其中基本支出2458</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7</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万元，项目支出10818</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6</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万元，其中工资福利支出659</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24万元；商品与服务支出455</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5</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万元；资本性支出10784</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万元；对个人和家庭补助支出1378</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3</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万元；年末结转和结余</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p>
    <w:p>
      <w:pPr>
        <w:numPr>
          <w:ilvl w:val="0"/>
          <w:numId w:val="1"/>
        </w:numPr>
        <w:overflowPunct w:val="0"/>
        <w:autoSpaceDE w:val="0"/>
        <w:autoSpaceDN w:val="0"/>
        <w:spacing w:line="592"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部门整体支出绩效目标</w:t>
      </w:r>
    </w:p>
    <w:p>
      <w:pPr>
        <w:numPr>
          <w:ilvl w:val="0"/>
          <w:numId w:val="0"/>
        </w:numPr>
        <w:overflowPunct w:val="0"/>
        <w:autoSpaceDE w:val="0"/>
        <w:autoSpaceDN w:val="0"/>
        <w:spacing w:line="592" w:lineRule="exact"/>
        <w:rPr>
          <w:rFonts w:hint="eastAsia" w:ascii="仿宋" w:hAnsi="仿宋" w:eastAsia="仿宋" w:cs="仿宋"/>
          <w:color w:val="000000"/>
          <w:sz w:val="32"/>
          <w:szCs w:val="32"/>
        </w:rPr>
      </w:pPr>
      <w:r>
        <w:rPr>
          <w:rFonts w:hint="eastAsia" w:ascii="仿宋" w:hAnsi="仿宋" w:eastAsia="仿宋" w:cs="仿宋"/>
          <w:color w:val="000000"/>
          <w:sz w:val="32"/>
          <w:szCs w:val="32"/>
        </w:rPr>
        <w:t>　为强化部门整体支出，加强国有资产管理，提高资金使用效益，提升财务管理，建立节约型机关，</w:t>
      </w: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我局在</w:t>
      </w:r>
      <w:r>
        <w:rPr>
          <w:rFonts w:hint="eastAsia" w:ascii="仿宋" w:hAnsi="仿宋" w:eastAsia="仿宋" w:cs="仿宋"/>
          <w:color w:val="000000"/>
          <w:sz w:val="32"/>
          <w:szCs w:val="32"/>
          <w:lang w:eastAsia="zh-CN"/>
        </w:rPr>
        <w:t>预决算公开、</w:t>
      </w:r>
      <w:r>
        <w:rPr>
          <w:rFonts w:hint="eastAsia" w:ascii="仿宋" w:hAnsi="仿宋" w:eastAsia="仿宋" w:cs="仿宋"/>
          <w:color w:val="000000"/>
          <w:sz w:val="32"/>
          <w:szCs w:val="32"/>
        </w:rPr>
        <w:t>厉行节约</w:t>
      </w:r>
      <w:r>
        <w:rPr>
          <w:rFonts w:hint="eastAsia" w:ascii="仿宋" w:hAnsi="仿宋" w:eastAsia="仿宋" w:cs="仿宋"/>
          <w:color w:val="000000"/>
          <w:sz w:val="32"/>
          <w:szCs w:val="32"/>
          <w:lang w:eastAsia="zh-CN"/>
        </w:rPr>
        <w:t>、资产管理、内控等</w:t>
      </w:r>
      <w:r>
        <w:rPr>
          <w:rFonts w:hint="eastAsia" w:ascii="仿宋" w:hAnsi="仿宋" w:eastAsia="仿宋" w:cs="仿宋"/>
          <w:color w:val="000000"/>
          <w:sz w:val="32"/>
          <w:szCs w:val="32"/>
        </w:rPr>
        <w:t>方面开展了大量工作，行政效能显著。</w:t>
      </w:r>
    </w:p>
    <w:p>
      <w:pPr>
        <w:numPr>
          <w:ilvl w:val="0"/>
          <w:numId w:val="0"/>
        </w:numPr>
        <w:overflowPunct w:val="0"/>
        <w:autoSpaceDE w:val="0"/>
        <w:autoSpaceDN w:val="0"/>
        <w:spacing w:line="592"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1、预决算公开情况</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部门预算和</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部门决算的编报通过了发财局的审核后，按照政府信息公开有关规定及预决算公开的要求</w:t>
      </w:r>
      <w:r>
        <w:rPr>
          <w:rFonts w:hint="eastAsia" w:ascii="仿宋" w:hAnsi="仿宋" w:eastAsia="仿宋" w:cs="仿宋"/>
          <w:color w:val="000000"/>
          <w:sz w:val="32"/>
          <w:szCs w:val="32"/>
          <w:lang w:eastAsia="zh-CN"/>
        </w:rPr>
        <w:t>由发财局</w:t>
      </w:r>
      <w:r>
        <w:rPr>
          <w:rFonts w:hint="eastAsia" w:ascii="仿宋" w:hAnsi="仿宋" w:eastAsia="仿宋" w:cs="仿宋"/>
          <w:color w:val="000000"/>
          <w:sz w:val="32"/>
          <w:szCs w:val="32"/>
        </w:rPr>
        <w:t>在大通湖网站上</w:t>
      </w:r>
      <w:r>
        <w:rPr>
          <w:rFonts w:hint="eastAsia" w:ascii="仿宋" w:hAnsi="仿宋" w:eastAsia="仿宋" w:cs="仿宋"/>
          <w:color w:val="000000"/>
          <w:sz w:val="32"/>
          <w:szCs w:val="32"/>
          <w:lang w:eastAsia="zh-CN"/>
        </w:rPr>
        <w:t>统一</w:t>
      </w:r>
      <w:r>
        <w:rPr>
          <w:rFonts w:hint="eastAsia" w:ascii="仿宋" w:hAnsi="仿宋" w:eastAsia="仿宋" w:cs="仿宋"/>
          <w:color w:val="000000"/>
          <w:sz w:val="32"/>
          <w:szCs w:val="32"/>
        </w:rPr>
        <w:t>及时进行公开，增强了预决算的执行透明度。</w:t>
      </w:r>
    </w:p>
    <w:p>
      <w:pPr>
        <w:numPr>
          <w:ilvl w:val="0"/>
          <w:numId w:val="0"/>
        </w:numPr>
        <w:overflowPunct w:val="0"/>
        <w:autoSpaceDE w:val="0"/>
        <w:autoSpaceDN w:val="0"/>
        <w:spacing w:line="592"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2、“三公”经费使用情况</w:t>
      </w:r>
    </w:p>
    <w:p>
      <w:pPr>
        <w:numPr>
          <w:ilvl w:val="0"/>
          <w:numId w:val="0"/>
        </w:numPr>
        <w:overflowPunct w:val="0"/>
        <w:autoSpaceDE w:val="0"/>
        <w:autoSpaceDN w:val="0"/>
        <w:spacing w:line="592" w:lineRule="exact"/>
        <w:rPr>
          <w:rFonts w:hint="eastAsia" w:ascii="仿宋" w:hAnsi="仿宋" w:eastAsia="仿宋" w:cs="仿宋"/>
          <w:color w:val="auto"/>
          <w:sz w:val="32"/>
          <w:szCs w:val="32"/>
          <w:lang w:val="en-US" w:eastAsia="zh-CN"/>
        </w:rPr>
      </w:pPr>
      <w:r>
        <w:rPr>
          <w:rFonts w:hint="eastAsia" w:ascii="仿宋" w:hAnsi="仿宋" w:eastAsia="仿宋" w:cs="仿宋"/>
          <w:color w:val="000000"/>
          <w:sz w:val="32"/>
          <w:szCs w:val="32"/>
        </w:rPr>
        <w:t xml:space="preserve">    </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在确保机关工作正常运转的同时，厉行节约，反对铺张浪费</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严格控制“三公”经费支出，成效显著</w:t>
      </w:r>
      <w:r>
        <w:rPr>
          <w:rFonts w:hint="eastAsia" w:ascii="仿宋" w:hAnsi="仿宋" w:eastAsia="仿宋" w:cs="仿宋"/>
          <w:color w:val="FF0000"/>
          <w:sz w:val="32"/>
          <w:szCs w:val="32"/>
        </w:rPr>
        <w:t>。</w:t>
      </w:r>
      <w:r>
        <w:rPr>
          <w:rFonts w:hint="eastAsia" w:ascii="仿宋" w:hAnsi="仿宋" w:eastAsia="仿宋" w:cs="仿宋"/>
          <w:color w:val="auto"/>
          <w:sz w:val="32"/>
          <w:szCs w:val="32"/>
        </w:rPr>
        <w:t>“三公”经费</w:t>
      </w:r>
      <w:r>
        <w:rPr>
          <w:rFonts w:hint="eastAsia" w:ascii="仿宋" w:hAnsi="仿宋" w:eastAsia="仿宋" w:cs="仿宋"/>
          <w:color w:val="auto"/>
          <w:sz w:val="32"/>
          <w:szCs w:val="32"/>
          <w:lang w:eastAsia="zh-CN"/>
        </w:rPr>
        <w:t>年初预算</w:t>
      </w:r>
      <w:r>
        <w:rPr>
          <w:rFonts w:hint="eastAsia" w:ascii="仿宋" w:hAnsi="仿宋" w:eastAsia="仿宋" w:cs="仿宋"/>
          <w:color w:val="auto"/>
          <w:sz w:val="32"/>
          <w:szCs w:val="32"/>
          <w:lang w:val="en-US" w:eastAsia="zh-CN"/>
        </w:rPr>
        <w:t>26</w:t>
      </w:r>
      <w:r>
        <w:rPr>
          <w:rFonts w:hint="eastAsia" w:ascii="仿宋" w:hAnsi="仿宋" w:eastAsia="仿宋" w:cs="仿宋"/>
          <w:color w:val="auto"/>
          <w:sz w:val="32"/>
          <w:szCs w:val="32"/>
        </w:rPr>
        <w:t>万元，其中：公务接待费支出</w:t>
      </w:r>
      <w:r>
        <w:rPr>
          <w:rFonts w:hint="eastAsia" w:ascii="仿宋" w:hAnsi="仿宋" w:eastAsia="仿宋" w:cs="仿宋"/>
          <w:color w:val="auto"/>
          <w:sz w:val="32"/>
          <w:szCs w:val="32"/>
          <w:lang w:val="en-US" w:eastAsia="zh-CN"/>
        </w:rPr>
        <w:t>14</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公</w:t>
      </w:r>
      <w:r>
        <w:rPr>
          <w:rFonts w:hint="eastAsia" w:ascii="仿宋" w:hAnsi="仿宋" w:eastAsia="仿宋" w:cs="仿宋"/>
          <w:color w:val="auto"/>
          <w:sz w:val="32"/>
          <w:szCs w:val="32"/>
        </w:rPr>
        <w:t>务用车购置费及运行维护费支出预算为</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支出决算为</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其中公务接待费支出决算为</w:t>
      </w:r>
      <w:r>
        <w:rPr>
          <w:rFonts w:hint="eastAsia" w:ascii="仿宋" w:hAnsi="仿宋" w:eastAsia="仿宋" w:cs="仿宋"/>
          <w:color w:val="auto"/>
          <w:sz w:val="32"/>
          <w:szCs w:val="32"/>
          <w:lang w:val="en-US" w:eastAsia="zh-CN"/>
        </w:rPr>
        <w:t>13.30</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，公</w:t>
      </w:r>
      <w:r>
        <w:rPr>
          <w:rFonts w:hint="eastAsia" w:ascii="仿宋" w:hAnsi="仿宋" w:eastAsia="仿宋" w:cs="仿宋"/>
          <w:color w:val="auto"/>
          <w:sz w:val="32"/>
          <w:szCs w:val="32"/>
        </w:rPr>
        <w:t>务用车购置费及运行维护费支出决算为</w:t>
      </w:r>
      <w:r>
        <w:rPr>
          <w:rFonts w:hint="eastAsia" w:ascii="仿宋" w:hAnsi="仿宋" w:eastAsia="仿宋" w:cs="仿宋"/>
          <w:color w:val="auto"/>
          <w:sz w:val="32"/>
          <w:szCs w:val="32"/>
          <w:lang w:val="en-US" w:eastAsia="zh-CN"/>
        </w:rPr>
        <w:t>11.70</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，三公经费控制率</w:t>
      </w:r>
      <w:r>
        <w:rPr>
          <w:rFonts w:hint="eastAsia" w:ascii="仿宋" w:hAnsi="仿宋" w:eastAsia="仿宋" w:cs="仿宋"/>
          <w:color w:val="auto"/>
          <w:sz w:val="32"/>
          <w:szCs w:val="32"/>
          <w:lang w:val="en-US" w:eastAsia="zh-CN"/>
        </w:rPr>
        <w:t>96.15%。</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3、资产管理情况</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2022</w:t>
      </w:r>
      <w:r>
        <w:rPr>
          <w:rFonts w:hint="eastAsia" w:ascii="仿宋" w:hAnsi="仿宋" w:eastAsia="仿宋" w:cs="仿宋"/>
          <w:color w:val="000000"/>
          <w:sz w:val="32"/>
          <w:szCs w:val="32"/>
        </w:rPr>
        <w:t>我</w:t>
      </w:r>
      <w:r>
        <w:rPr>
          <w:rFonts w:hint="eastAsia" w:ascii="仿宋" w:hAnsi="仿宋" w:eastAsia="仿宋" w:cs="仿宋"/>
          <w:color w:val="000000"/>
          <w:sz w:val="32"/>
          <w:szCs w:val="32"/>
          <w:lang w:eastAsia="zh-CN"/>
        </w:rPr>
        <w:t>局</w:t>
      </w:r>
      <w:r>
        <w:rPr>
          <w:rFonts w:hint="eastAsia" w:ascii="仿宋" w:hAnsi="仿宋" w:eastAsia="仿宋" w:cs="仿宋"/>
          <w:color w:val="auto"/>
          <w:sz w:val="32"/>
          <w:szCs w:val="32"/>
        </w:rPr>
        <w:t>严格执行固定资产管理制度，</w:t>
      </w:r>
      <w:r>
        <w:rPr>
          <w:rFonts w:hint="eastAsia" w:ascii="仿宋" w:hAnsi="仿宋" w:eastAsia="仿宋" w:cs="仿宋"/>
          <w:color w:val="auto"/>
          <w:sz w:val="32"/>
          <w:szCs w:val="32"/>
          <w:lang w:eastAsia="zh-CN"/>
        </w:rPr>
        <w:t>落实资产管理责任制，定期进行盘点，</w:t>
      </w:r>
      <w:r>
        <w:rPr>
          <w:rFonts w:hint="eastAsia" w:ascii="仿宋" w:hAnsi="仿宋" w:eastAsia="仿宋" w:cs="仿宋"/>
          <w:color w:val="auto"/>
          <w:sz w:val="32"/>
          <w:szCs w:val="32"/>
        </w:rPr>
        <w:t>确保</w:t>
      </w:r>
      <w:r>
        <w:rPr>
          <w:rFonts w:hint="eastAsia" w:ascii="仿宋" w:hAnsi="仿宋" w:eastAsia="仿宋" w:cs="仿宋"/>
          <w:color w:val="000000"/>
          <w:sz w:val="32"/>
          <w:szCs w:val="32"/>
        </w:rPr>
        <w:t>账账相符、账实相符</w:t>
      </w:r>
      <w:r>
        <w:rPr>
          <w:rFonts w:hint="eastAsia" w:ascii="仿宋" w:hAnsi="仿宋" w:eastAsia="仿宋" w:cs="仿宋"/>
          <w:color w:val="000000"/>
          <w:sz w:val="32"/>
          <w:szCs w:val="32"/>
          <w:lang w:eastAsia="zh-CN"/>
        </w:rPr>
        <w:t>，年末固定</w:t>
      </w:r>
      <w:r>
        <w:rPr>
          <w:rFonts w:hint="eastAsia" w:ascii="仿宋" w:hAnsi="仿宋" w:eastAsia="仿宋" w:cs="仿宋"/>
          <w:color w:val="auto"/>
          <w:sz w:val="32"/>
          <w:szCs w:val="32"/>
          <w:lang w:eastAsia="zh-CN"/>
        </w:rPr>
        <w:t>资产净值</w:t>
      </w:r>
      <w:r>
        <w:rPr>
          <w:rFonts w:hint="eastAsia" w:ascii="仿宋" w:hAnsi="仿宋" w:eastAsia="仿宋" w:cs="仿宋"/>
          <w:color w:val="auto"/>
          <w:sz w:val="32"/>
          <w:szCs w:val="32"/>
          <w:lang w:val="en-US" w:eastAsia="zh-CN"/>
        </w:rPr>
        <w:t>412.50万元。</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4、内部管理制度建设情况</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成立了内控工作领导小组，有内部控制管理制度，在内控管理方面，严格执行执行上级和财政部门的有关法律法规、财经制度，完善了业务操作流程，坚持“先预算、后支出”,各项收支均纳入预算管理，统筹安排使用，确保各项工作的顺利开展，同时通过排查廉政风险点，加强了廉政风险防控机制建设。</w:t>
      </w:r>
    </w:p>
    <w:p>
      <w:pPr>
        <w:numPr>
          <w:ilvl w:val="0"/>
          <w:numId w:val="1"/>
        </w:numPr>
        <w:overflowPunct w:val="0"/>
        <w:autoSpaceDE w:val="0"/>
        <w:autoSpaceDN w:val="0"/>
        <w:spacing w:line="592" w:lineRule="exact"/>
        <w:ind w:left="0" w:leftChars="0"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部门整体实施情况分析</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收入合计本年收入</w:t>
      </w:r>
      <w:r>
        <w:rPr>
          <w:rFonts w:hint="eastAsia" w:ascii="仿宋" w:hAnsi="仿宋" w:eastAsia="仿宋" w:cs="仿宋"/>
          <w:color w:val="000000"/>
          <w:sz w:val="32"/>
          <w:szCs w:val="32"/>
        </w:rPr>
        <w:t>13277</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3</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lang w:eastAsia="zh-CN"/>
        </w:rPr>
        <w:t>万元万元，一般公共预算财政拨款收入</w:t>
      </w:r>
      <w:r>
        <w:rPr>
          <w:rFonts w:hint="eastAsia" w:ascii="仿宋" w:hAnsi="仿宋" w:eastAsia="仿宋" w:cs="仿宋"/>
          <w:color w:val="000000"/>
          <w:sz w:val="32"/>
          <w:szCs w:val="32"/>
          <w:lang w:val="en-US" w:eastAsia="zh-CN"/>
        </w:rPr>
        <w:t>2149.21</w:t>
      </w:r>
      <w:r>
        <w:rPr>
          <w:rFonts w:hint="eastAsia" w:ascii="仿宋" w:hAnsi="仿宋" w:eastAsia="仿宋" w:cs="仿宋"/>
          <w:color w:val="000000"/>
          <w:sz w:val="32"/>
          <w:szCs w:val="32"/>
          <w:lang w:eastAsia="zh-CN"/>
        </w:rPr>
        <w:t>万元，政府性基金预算财政拨款收入</w:t>
      </w:r>
      <w:r>
        <w:rPr>
          <w:rFonts w:hint="eastAsia" w:ascii="仿宋" w:hAnsi="仿宋" w:eastAsia="仿宋" w:cs="仿宋"/>
          <w:color w:val="000000"/>
          <w:sz w:val="32"/>
          <w:szCs w:val="32"/>
        </w:rPr>
        <w:t>10775</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1</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lang w:eastAsia="zh-CN"/>
        </w:rPr>
        <w:t>万，其他收入</w:t>
      </w:r>
      <w:r>
        <w:rPr>
          <w:rFonts w:hint="eastAsia" w:ascii="仿宋" w:hAnsi="仿宋" w:eastAsia="仿宋" w:cs="仿宋"/>
          <w:color w:val="000000"/>
          <w:sz w:val="32"/>
          <w:szCs w:val="32"/>
          <w:lang w:val="en-US" w:eastAsia="zh-CN"/>
        </w:rPr>
        <w:t>353.04</w:t>
      </w:r>
      <w:r>
        <w:rPr>
          <w:rFonts w:hint="eastAsia" w:ascii="仿宋" w:hAnsi="仿宋" w:eastAsia="仿宋" w:cs="仿宋"/>
          <w:color w:val="000000"/>
          <w:sz w:val="32"/>
          <w:szCs w:val="32"/>
          <w:lang w:eastAsia="zh-CN"/>
        </w:rPr>
        <w:t>万元，本年支出合计</w:t>
      </w:r>
      <w:r>
        <w:rPr>
          <w:rFonts w:hint="eastAsia" w:ascii="仿宋" w:hAnsi="仿宋" w:eastAsia="仿宋" w:cs="仿宋"/>
          <w:color w:val="000000"/>
          <w:sz w:val="32"/>
          <w:szCs w:val="32"/>
        </w:rPr>
        <w:t>13277</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3</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lang w:eastAsia="zh-CN"/>
        </w:rPr>
        <w:t>万元。</w:t>
      </w:r>
    </w:p>
    <w:p>
      <w:pPr>
        <w:keepNext w:val="0"/>
        <w:keepLines w:val="0"/>
        <w:pageBreakBefore w:val="0"/>
        <w:widowControl w:val="0"/>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2022年，</w:t>
      </w:r>
      <w:r>
        <w:rPr>
          <w:rFonts w:hint="eastAsia" w:ascii="仿宋" w:hAnsi="仿宋" w:eastAsia="仿宋" w:cs="仿宋"/>
          <w:color w:val="000000"/>
          <w:sz w:val="32"/>
          <w:szCs w:val="32"/>
        </w:rPr>
        <w:t>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严格按照财政预算进行部门整体支出，在支出过程中，贯彻落实《党政机关厉行节约反对浪费条例》，严格执行各项政策制度，严格开支范围和标准，严格按照年初预算集中管理和使用各项经费，大额资金支出由集体研究决定，差旅费、公务接待费、公务用车运行费、会议费、培训费等支出严格按照相关文件规定执行。在资金的管理上，严格执行财政国库集中支付，严格按财政有关规定使用和管理资金</w:t>
      </w:r>
      <w:r>
        <w:rPr>
          <w:rFonts w:hint="eastAsia" w:ascii="仿宋" w:hAnsi="仿宋" w:eastAsia="仿宋" w:cs="仿宋"/>
          <w:color w:val="000000"/>
          <w:sz w:val="32"/>
          <w:szCs w:val="32"/>
          <w:lang w:eastAsia="zh-CN"/>
        </w:rPr>
        <w:t>，并根据经费支出情况，定期进行经费支出财务统计和分析，并及时向分管领导和绩效评价领导小组进行汇报，对经费支出的管理状况提出建设性的意见；使各项经费管理和监督发挥了较好的作用。</w:t>
      </w:r>
    </w:p>
    <w:p>
      <w:pPr>
        <w:overflowPunct w:val="0"/>
        <w:autoSpaceDE w:val="0"/>
        <w:autoSpaceDN w:val="0"/>
        <w:spacing w:line="592" w:lineRule="exact"/>
        <w:ind w:firstLine="640" w:firstLineChars="200"/>
        <w:rPr>
          <w:rFonts w:hint="eastAsia" w:ascii="黑体" w:hAnsi="黑体" w:eastAsia="黑体" w:cs="黑体"/>
          <w:bCs/>
          <w:color w:val="000000"/>
          <w:sz w:val="32"/>
          <w:szCs w:val="32"/>
        </w:rPr>
      </w:pPr>
      <w:r>
        <w:rPr>
          <w:rFonts w:hint="eastAsia" w:ascii="黑体" w:hAnsi="黑体" w:eastAsia="黑体" w:cs="黑体"/>
          <w:bCs/>
          <w:color w:val="000000"/>
          <w:sz w:val="32"/>
          <w:szCs w:val="32"/>
        </w:rPr>
        <w:t>二、绩效评价工作情况</w:t>
      </w:r>
    </w:p>
    <w:p>
      <w:pPr>
        <w:overflowPunct w:val="0"/>
        <w:autoSpaceDE w:val="0"/>
        <w:autoSpaceDN w:val="0"/>
        <w:spacing w:line="592"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（一）绩效评价目的</w:t>
      </w:r>
    </w:p>
    <w:p>
      <w:pPr>
        <w:overflowPunct w:val="0"/>
        <w:autoSpaceDE w:val="0"/>
        <w:autoSpaceDN w:val="0"/>
        <w:spacing w:line="592"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本次绩效评价的目的是为了全面分析和综合评价我</w:t>
      </w:r>
      <w:r>
        <w:rPr>
          <w:rFonts w:hint="eastAsia" w:ascii="仿宋" w:hAnsi="仿宋" w:eastAsia="仿宋" w:cs="仿宋"/>
          <w:color w:val="auto"/>
          <w:sz w:val="32"/>
          <w:szCs w:val="32"/>
          <w:lang w:eastAsia="zh-CN"/>
        </w:rPr>
        <w:t>局</w:t>
      </w:r>
      <w:r>
        <w:rPr>
          <w:rFonts w:hint="eastAsia" w:ascii="仿宋" w:hAnsi="仿宋" w:eastAsia="仿宋" w:cs="仿宋"/>
          <w:color w:val="auto"/>
          <w:sz w:val="32"/>
          <w:szCs w:val="32"/>
        </w:rPr>
        <w:t>对财政预算资金的使用和管理情况，通过加强预算收支管理，不断建立健全内部管理制度，梳理内部管理流程，为切实提高财政资金使用效益，强化预算支出的责任和效率提供参考。</w:t>
      </w:r>
    </w:p>
    <w:p>
      <w:pPr>
        <w:numPr>
          <w:ilvl w:val="0"/>
          <w:numId w:val="2"/>
        </w:numPr>
        <w:overflowPunct w:val="0"/>
        <w:autoSpaceDE w:val="0"/>
        <w:autoSpaceDN w:val="0"/>
        <w:spacing w:line="592"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绩效评价工作过程</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1、前期准备</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（1）成立绩效评价工作组。由局计财股牵头，联合教育、卫生核算办、办公室等股室抽调精干人员各1名组成绩效评价工作组，制定绩效评价方案。</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（2）明确绩效评价原则、评价指标体系、评价方法。</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（3）明白经费指标数据与实施项目单位。</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（4）安排绩效评价日程。</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2、组织实施</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布置绩效评价任务，经过收集资料、综合分析等程序后，形成本绩效自评报告。</w:t>
      </w:r>
    </w:p>
    <w:p>
      <w:pPr>
        <w:keepNext w:val="0"/>
        <w:keepLines w:val="0"/>
        <w:pageBreakBefore w:val="0"/>
        <w:widowControl w:val="0"/>
        <w:kinsoku/>
        <w:wordWrap/>
        <w:overflowPunct w:val="0"/>
        <w:topLinePunct w:val="0"/>
        <w:autoSpaceDE w:val="0"/>
        <w:autoSpaceDN w:val="0"/>
        <w:bidi w:val="0"/>
        <w:adjustRightInd/>
        <w:snapToGrid/>
        <w:spacing w:line="592"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三、主要绩效及评价结论</w:t>
      </w:r>
    </w:p>
    <w:p>
      <w:pPr>
        <w:overflowPunct w:val="0"/>
        <w:autoSpaceDE w:val="0"/>
        <w:autoSpaceDN w:val="0"/>
        <w:spacing w:line="592" w:lineRule="exact"/>
        <w:ind w:firstLine="640" w:firstLineChars="200"/>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经济性：按照节约、合理的原则</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严格控制 “三公”经费</w:t>
      </w:r>
      <w:r>
        <w:rPr>
          <w:rFonts w:hint="eastAsia" w:ascii="仿宋" w:hAnsi="仿宋" w:eastAsia="仿宋" w:cs="仿宋"/>
          <w:color w:val="000000"/>
          <w:sz w:val="32"/>
          <w:szCs w:val="32"/>
          <w:lang w:eastAsia="zh-CN"/>
        </w:rPr>
        <w:t>和项目</w:t>
      </w:r>
      <w:r>
        <w:rPr>
          <w:rFonts w:hint="eastAsia" w:ascii="仿宋" w:hAnsi="仿宋" w:eastAsia="仿宋" w:cs="仿宋"/>
          <w:color w:val="000000"/>
          <w:sz w:val="32"/>
          <w:szCs w:val="32"/>
        </w:rPr>
        <w:t>支出</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加强对公用支出中重点费用的管理，规范会议费、培训费、差旅费、办公费等费用开支标准，按照国家规定的标准和范围列支，</w:t>
      </w:r>
      <w:r>
        <w:rPr>
          <w:rFonts w:hint="eastAsia" w:ascii="仿宋" w:hAnsi="仿宋" w:eastAsia="仿宋" w:cs="仿宋"/>
          <w:color w:val="000000"/>
          <w:sz w:val="32"/>
          <w:szCs w:val="32"/>
          <w:lang w:eastAsia="zh-CN"/>
        </w:rPr>
        <w:t>提高了经费使用效益。</w:t>
      </w:r>
    </w:p>
    <w:p>
      <w:pPr>
        <w:overflowPunct w:val="0"/>
        <w:autoSpaceDE w:val="0"/>
        <w:autoSpaceDN w:val="0"/>
        <w:spacing w:line="592"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效率性：202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根据年初工作规划和重点性工作，上下团结一心，迎难而上，加压奋进，锐意进取，较好的完成了年度工作目标，制定了全县教育</w:t>
      </w:r>
      <w:r>
        <w:rPr>
          <w:rFonts w:hint="eastAsia" w:ascii="仿宋" w:hAnsi="仿宋" w:eastAsia="仿宋" w:cs="仿宋"/>
          <w:color w:val="000000"/>
          <w:sz w:val="32"/>
          <w:szCs w:val="32"/>
          <w:lang w:eastAsia="zh-CN"/>
        </w:rPr>
        <w:t>和卫生</w:t>
      </w:r>
      <w:r>
        <w:rPr>
          <w:rFonts w:hint="eastAsia" w:ascii="仿宋" w:hAnsi="仿宋" w:eastAsia="仿宋" w:cs="仿宋"/>
          <w:color w:val="000000"/>
          <w:sz w:val="32"/>
          <w:szCs w:val="32"/>
        </w:rPr>
        <w:t>工作的方针和事业建设总体规划，并组织实施、尽职尽责完成每项工作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加强</w:t>
      </w:r>
      <w:r>
        <w:rPr>
          <w:rFonts w:hint="eastAsia" w:ascii="仿宋" w:hAnsi="仿宋" w:eastAsia="仿宋" w:cs="仿宋"/>
          <w:color w:val="000000"/>
          <w:sz w:val="32"/>
          <w:szCs w:val="32"/>
          <w:lang w:eastAsia="zh-CN"/>
        </w:rPr>
        <w:t>了</w:t>
      </w:r>
      <w:r>
        <w:rPr>
          <w:rFonts w:hint="eastAsia" w:ascii="仿宋" w:hAnsi="仿宋" w:eastAsia="仿宋" w:cs="仿宋"/>
          <w:color w:val="000000"/>
          <w:sz w:val="32"/>
          <w:szCs w:val="32"/>
        </w:rPr>
        <w:t>公用经费的使用管理，提高资金使用效益</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 xml:space="preserve">                                          项目资金</w:t>
      </w:r>
      <w:r>
        <w:rPr>
          <w:rFonts w:hint="eastAsia" w:ascii="仿宋" w:hAnsi="仿宋" w:eastAsia="仿宋" w:cs="仿宋"/>
          <w:color w:val="000000"/>
          <w:sz w:val="32"/>
          <w:szCs w:val="32"/>
          <w:lang w:eastAsia="zh-CN"/>
        </w:rPr>
        <w:t>做到</w:t>
      </w:r>
      <w:r>
        <w:rPr>
          <w:rFonts w:hint="eastAsia" w:ascii="仿宋" w:hAnsi="仿宋" w:eastAsia="仿宋" w:cs="仿宋"/>
          <w:color w:val="000000"/>
          <w:sz w:val="32"/>
          <w:szCs w:val="32"/>
        </w:rPr>
        <w:t>专款专用，统一管理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专用设备购置和工程项目，严格执行招投标及政府采购程序，严格按项目和进度执</w:t>
      </w:r>
      <w:r>
        <w:rPr>
          <w:rFonts w:hint="eastAsia" w:ascii="仿宋" w:hAnsi="仿宋" w:eastAsia="仿宋" w:cs="仿宋"/>
          <w:color w:val="000000"/>
          <w:sz w:val="32"/>
          <w:szCs w:val="32"/>
          <w:lang w:eastAsia="zh-CN"/>
        </w:rPr>
        <w:t>行；</w:t>
      </w:r>
      <w:r>
        <w:rPr>
          <w:rFonts w:hint="eastAsia" w:ascii="仿宋" w:hAnsi="仿宋" w:eastAsia="仿宋" w:cs="仿宋"/>
          <w:color w:val="000000"/>
          <w:sz w:val="32"/>
          <w:szCs w:val="32"/>
        </w:rPr>
        <w:t>加强资产管理，合理配置和有效利用资产，防止资产流失，防范财务风险</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内部管理制度建设上，我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严格按照《益阳市政府财务管理办法》等一系列内部制度执行，预决算公开上，按照财政要求，我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在益阳大通湖门户网站进行了预决算公开</w:t>
      </w:r>
      <w:r>
        <w:rPr>
          <w:rFonts w:hint="eastAsia" w:ascii="仿宋" w:hAnsi="仿宋" w:eastAsia="仿宋" w:cs="仿宋"/>
          <w:color w:val="000000"/>
          <w:sz w:val="32"/>
          <w:szCs w:val="32"/>
          <w:lang w:eastAsia="zh-CN"/>
        </w:rPr>
        <w:t>；</w:t>
      </w:r>
      <w:r>
        <w:rPr>
          <w:rFonts w:hint="eastAsia" w:eastAsia="仿宋_GB2312" w:cs="仿宋_GB2312"/>
          <w:color w:val="auto"/>
          <w:sz w:val="32"/>
          <w:szCs w:val="32"/>
        </w:rPr>
        <w:t>2</w:t>
      </w:r>
      <w:r>
        <w:rPr>
          <w:rFonts w:hint="eastAsia" w:eastAsia="仿宋_GB2312" w:cs="仿宋_GB2312"/>
          <w:color w:val="000000"/>
          <w:sz w:val="32"/>
          <w:szCs w:val="32"/>
        </w:rPr>
        <w:t>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年</w:t>
      </w:r>
      <w:r>
        <w:rPr>
          <w:rFonts w:hint="eastAsia" w:eastAsia="仿宋_GB2312" w:cs="仿宋_GB2312"/>
          <w:color w:val="000000"/>
          <w:sz w:val="32"/>
          <w:szCs w:val="32"/>
          <w:lang w:eastAsia="zh-CN"/>
        </w:rPr>
        <w:t>，全区</w:t>
      </w:r>
      <w:r>
        <w:rPr>
          <w:rFonts w:hint="eastAsia" w:eastAsia="仿宋_GB2312" w:cs="仿宋_GB2312"/>
          <w:color w:val="000000"/>
          <w:sz w:val="32"/>
          <w:szCs w:val="32"/>
        </w:rPr>
        <w:t>享受城镇独生子女父母奖励</w:t>
      </w:r>
      <w:r>
        <w:rPr>
          <w:rFonts w:hint="eastAsia" w:eastAsia="仿宋_GB2312" w:cs="仿宋_GB2312"/>
          <w:color w:val="000000"/>
          <w:sz w:val="32"/>
          <w:szCs w:val="32"/>
          <w:lang w:val="en-US" w:eastAsia="zh-CN"/>
        </w:rPr>
        <w:t>9177</w:t>
      </w:r>
      <w:r>
        <w:rPr>
          <w:rFonts w:hint="eastAsia" w:eastAsia="仿宋_GB2312" w:cs="仿宋_GB2312"/>
          <w:color w:val="000000"/>
          <w:sz w:val="32"/>
          <w:szCs w:val="32"/>
        </w:rPr>
        <w:t>人，其中</w:t>
      </w:r>
      <w:r>
        <w:rPr>
          <w:rFonts w:hint="eastAsia" w:eastAsia="仿宋_GB2312" w:cs="仿宋_GB2312"/>
          <w:color w:val="000000"/>
          <w:sz w:val="32"/>
          <w:szCs w:val="32"/>
          <w:lang w:eastAsia="zh-CN"/>
        </w:rPr>
        <w:t>区</w:t>
      </w:r>
      <w:r>
        <w:rPr>
          <w:rFonts w:hint="eastAsia" w:eastAsia="仿宋_GB2312" w:cs="仿宋_GB2312"/>
          <w:color w:val="000000"/>
          <w:sz w:val="32"/>
          <w:szCs w:val="32"/>
        </w:rPr>
        <w:t>人社发放</w:t>
      </w:r>
      <w:r>
        <w:rPr>
          <w:rFonts w:hint="eastAsia" w:eastAsia="仿宋_GB2312" w:cs="仿宋_GB2312"/>
          <w:color w:val="000000"/>
          <w:sz w:val="32"/>
          <w:szCs w:val="32"/>
          <w:lang w:val="en-US" w:eastAsia="zh-CN"/>
        </w:rPr>
        <w:t>9011</w:t>
      </w:r>
      <w:r>
        <w:rPr>
          <w:rFonts w:hint="eastAsia" w:eastAsia="仿宋_GB2312" w:cs="仿宋_GB2312"/>
          <w:color w:val="000000"/>
          <w:sz w:val="32"/>
          <w:szCs w:val="32"/>
        </w:rPr>
        <w:t>人，</w:t>
      </w:r>
      <w:r>
        <w:rPr>
          <w:rFonts w:hint="eastAsia" w:eastAsia="仿宋_GB2312" w:cs="仿宋_GB2312"/>
          <w:color w:val="000000"/>
          <w:sz w:val="32"/>
          <w:szCs w:val="32"/>
          <w:lang w:eastAsia="zh-CN"/>
        </w:rPr>
        <w:t>计生</w:t>
      </w:r>
      <w:r>
        <w:rPr>
          <w:rFonts w:hint="eastAsia" w:eastAsia="仿宋_GB2312" w:cs="仿宋_GB2312"/>
          <w:color w:val="000000"/>
          <w:sz w:val="32"/>
          <w:szCs w:val="32"/>
        </w:rPr>
        <w:t>发放</w:t>
      </w:r>
      <w:r>
        <w:rPr>
          <w:rFonts w:hint="eastAsia" w:eastAsia="仿宋_GB2312" w:cs="仿宋_GB2312"/>
          <w:color w:val="000000"/>
          <w:sz w:val="32"/>
          <w:szCs w:val="32"/>
          <w:lang w:val="en-US" w:eastAsia="zh-CN"/>
        </w:rPr>
        <w:t>166</w:t>
      </w:r>
      <w:r>
        <w:rPr>
          <w:rFonts w:hint="eastAsia" w:eastAsia="仿宋_GB2312" w:cs="仿宋_GB2312"/>
          <w:color w:val="000000"/>
          <w:sz w:val="32"/>
          <w:szCs w:val="32"/>
        </w:rPr>
        <w:t>人</w:t>
      </w:r>
      <w:r>
        <w:rPr>
          <w:rFonts w:hint="eastAsia" w:eastAsia="仿宋_GB2312" w:cs="仿宋_GB2312"/>
          <w:color w:val="000000"/>
          <w:sz w:val="32"/>
          <w:szCs w:val="32"/>
          <w:lang w:eastAsia="zh-CN"/>
        </w:rPr>
        <w:t>，</w:t>
      </w:r>
      <w:r>
        <w:rPr>
          <w:rFonts w:hint="eastAsia" w:ascii="仿宋" w:hAnsi="仿宋" w:eastAsia="仿宋" w:cs="仿宋"/>
          <w:color w:val="auto"/>
          <w:sz w:val="32"/>
          <w:szCs w:val="32"/>
          <w:lang w:val="en-US" w:eastAsia="zh-CN"/>
        </w:rPr>
        <w:t>奖励金由区财政局补贴通过“一卡通”渠道发放到对象本人，确</w:t>
      </w:r>
      <w:r>
        <w:rPr>
          <w:rFonts w:hint="eastAsia" w:eastAsia="仿宋_GB2312" w:cs="仿宋_GB2312"/>
          <w:color w:val="000000"/>
          <w:sz w:val="32"/>
          <w:szCs w:val="32"/>
          <w:lang w:eastAsia="zh-CN"/>
        </w:rPr>
        <w:t>认独生子女父母奖励对象，奖励对象个案建档率、奖励资金发放到位率均达100%；</w:t>
      </w:r>
      <w:r>
        <w:rPr>
          <w:rFonts w:hint="eastAsia" w:eastAsia="仿宋_GB2312" w:cs="仿宋_GB2312"/>
          <w:color w:val="000000"/>
          <w:sz w:val="32"/>
          <w:szCs w:val="32"/>
          <w:lang w:val="en-US" w:eastAsia="zh-CN"/>
        </w:rPr>
        <w:t>2022年我区计划生育特殊家庭扶助对象356人，独生子女伤残对象160人，独生子女死亡对象196人，</w:t>
      </w:r>
      <w:r>
        <w:rPr>
          <w:rFonts w:hint="eastAsia" w:ascii="仿宋" w:hAnsi="仿宋" w:eastAsia="仿宋" w:cs="仿宋"/>
          <w:color w:val="auto"/>
          <w:sz w:val="32"/>
          <w:szCs w:val="32"/>
          <w:lang w:eastAsia="zh-CN"/>
        </w:rPr>
        <w:t>各项奖励、扶助金对象覆盖率</w:t>
      </w:r>
      <w:r>
        <w:rPr>
          <w:rFonts w:hint="eastAsia" w:ascii="仿宋" w:hAnsi="仿宋" w:eastAsia="仿宋" w:cs="仿宋"/>
          <w:color w:val="auto"/>
          <w:sz w:val="32"/>
          <w:szCs w:val="32"/>
          <w:lang w:val="en-US" w:eastAsia="zh-CN"/>
        </w:rPr>
        <w:t>100%，发放及时率100%；</w:t>
      </w:r>
      <w:r>
        <w:rPr>
          <w:rFonts w:hint="eastAsia" w:ascii="仿宋" w:hAnsi="仿宋" w:eastAsia="仿宋" w:cs="仿宋"/>
          <w:color w:val="auto"/>
          <w:sz w:val="32"/>
          <w:szCs w:val="32"/>
          <w:lang w:eastAsia="zh-CN"/>
        </w:rPr>
        <w:t>“两癌”免费检查等完成目标任务数的100%。</w:t>
      </w:r>
    </w:p>
    <w:p>
      <w:pPr>
        <w:overflowPunct w:val="0"/>
        <w:autoSpaceDE w:val="0"/>
        <w:autoSpaceDN w:val="0"/>
        <w:spacing w:line="592"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效益性：</w:t>
      </w:r>
      <w:r>
        <w:rPr>
          <w:rFonts w:hint="eastAsia" w:ascii="仿宋" w:hAnsi="仿宋" w:eastAsia="仿宋" w:cs="仿宋"/>
          <w:color w:val="000000"/>
          <w:sz w:val="32"/>
          <w:szCs w:val="32"/>
          <w:lang w:eastAsia="zh-CN"/>
        </w:rPr>
        <w:t>从经济效益上看，促进了全区医疗卫生和教育事业的发展；社会效益上，居民健康保健意识和健康知识知晓率逐步提高，有效的维护了社会公共安全，尤其是新冠肺炎爆发期间，并增强了家长及学生的教育意识；从生态效益上看，医疗废物处理全部完成，可持续性影响上，保障了招生工作的平稳进行，通过公立医院改革等，促进了医疗事业的长期发展。</w:t>
      </w:r>
    </w:p>
    <w:p>
      <w:pPr>
        <w:overflowPunct w:val="0"/>
        <w:autoSpaceDE w:val="0"/>
        <w:autoSpaceDN w:val="0"/>
        <w:spacing w:line="592"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4、综合评价结果</w:t>
      </w:r>
    </w:p>
    <w:p>
      <w:pPr>
        <w:overflowPunct w:val="0"/>
        <w:autoSpaceDE w:val="0"/>
        <w:autoSpaceDN w:val="0"/>
        <w:spacing w:line="592"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经综合评价，部门整</w:t>
      </w:r>
      <w:bookmarkStart w:id="0" w:name="_GoBack"/>
      <w:r>
        <w:rPr>
          <w:rFonts w:hint="eastAsia" w:ascii="仿宋" w:hAnsi="仿宋" w:eastAsia="仿宋" w:cs="仿宋"/>
          <w:color w:val="auto"/>
          <w:sz w:val="32"/>
          <w:szCs w:val="32"/>
        </w:rPr>
        <w:t>体得分9</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分，</w:t>
      </w:r>
      <w:bookmarkEnd w:id="0"/>
      <w:r>
        <w:rPr>
          <w:rFonts w:hint="eastAsia" w:ascii="仿宋" w:hAnsi="仿宋" w:eastAsia="仿宋" w:cs="仿宋"/>
          <w:color w:val="000000"/>
          <w:sz w:val="32"/>
          <w:szCs w:val="32"/>
        </w:rPr>
        <w:t>评价结果为“优”。</w:t>
      </w:r>
    </w:p>
    <w:p>
      <w:pPr>
        <w:numPr>
          <w:ilvl w:val="0"/>
          <w:numId w:val="3"/>
        </w:numPr>
        <w:overflowPunct w:val="0"/>
        <w:autoSpaceDE w:val="0"/>
        <w:autoSpaceDN w:val="0"/>
        <w:spacing w:line="592" w:lineRule="exact"/>
        <w:ind w:firstLine="640" w:firstLineChars="200"/>
        <w:rPr>
          <w:rFonts w:hint="eastAsia" w:ascii="黑体" w:hAnsi="黑体" w:eastAsia="黑体" w:cs="黑体"/>
          <w:bCs/>
          <w:color w:val="000000"/>
          <w:sz w:val="32"/>
          <w:szCs w:val="32"/>
        </w:rPr>
      </w:pPr>
      <w:r>
        <w:rPr>
          <w:rFonts w:hint="eastAsia" w:ascii="黑体" w:hAnsi="黑体" w:eastAsia="黑体" w:cs="黑体"/>
          <w:bCs/>
          <w:color w:val="000000"/>
          <w:sz w:val="32"/>
          <w:szCs w:val="32"/>
        </w:rPr>
        <w:t>存在的问题</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预算编制欠严谨，支出项目细化量化不够，预算调整过大，项目不够完整、细化。</w:t>
      </w:r>
    </w:p>
    <w:p>
      <w:pPr>
        <w:overflowPunct w:val="0"/>
        <w:autoSpaceDE w:val="0"/>
        <w:autoSpaceDN w:val="0"/>
        <w:spacing w:line="592" w:lineRule="exact"/>
        <w:ind w:firstLine="640" w:firstLineChars="200"/>
        <w:rPr>
          <w:rFonts w:hint="eastAsia" w:ascii="黑体" w:hAnsi="黑体" w:eastAsia="黑体" w:cs="黑体"/>
          <w:bCs/>
          <w:color w:val="000000"/>
          <w:sz w:val="32"/>
          <w:szCs w:val="32"/>
        </w:rPr>
      </w:pPr>
      <w:r>
        <w:rPr>
          <w:rFonts w:hint="eastAsia" w:ascii="黑体" w:hAnsi="黑体" w:eastAsia="黑体" w:cs="黑体"/>
          <w:bCs/>
          <w:color w:val="000000"/>
          <w:sz w:val="32"/>
          <w:szCs w:val="32"/>
        </w:rPr>
        <w:t>五、有关建议</w:t>
      </w:r>
    </w:p>
    <w:p>
      <w:pPr>
        <w:keepNext w:val="0"/>
        <w:keepLines w:val="0"/>
        <w:pageBreakBefore w:val="0"/>
        <w:widowControl w:val="0"/>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一）细化预算编制工作，认真做好预算编制工作进一步加强内部机构的预算管理意识，严格按照编制的相关制度和要求，奉着“勤俭节约、确保运行”的原则进行预算编制，编制范围尽可能的全面、不漏项，进一步提高预算编制的科学性、合理性、严谨性和可控性。</w:t>
      </w:r>
    </w:p>
    <w:p>
      <w:pPr>
        <w:spacing w:line="592" w:lineRule="exact"/>
        <w:ind w:firstLine="640" w:firstLineChars="200"/>
        <w:rPr>
          <w:rFonts w:hint="eastAsia" w:ascii="仿宋" w:hAnsi="仿宋" w:eastAsia="仿宋" w:cs="仿宋"/>
          <w:bCs/>
          <w:color w:val="000000"/>
          <w:sz w:val="32"/>
          <w:szCs w:val="32"/>
        </w:rPr>
      </w:pPr>
      <w:r>
        <w:rPr>
          <w:rFonts w:hint="eastAsia" w:ascii="仿宋" w:hAnsi="仿宋" w:eastAsia="仿宋" w:cs="仿宋"/>
          <w:bCs/>
          <w:color w:val="000000"/>
          <w:sz w:val="32"/>
          <w:szCs w:val="32"/>
        </w:rPr>
        <w:t xml:space="preserve">（二）在日常预算管理过程中进一步加强预算管理支出的审核、跟踪及预算执行的分析。 </w:t>
      </w:r>
    </w:p>
    <w:p>
      <w:pPr>
        <w:spacing w:line="592" w:lineRule="exact"/>
        <w:ind w:firstLine="640" w:firstLineChars="200"/>
        <w:rPr>
          <w:rFonts w:hint="eastAsia" w:ascii="黑体" w:hAnsi="黑体" w:eastAsia="黑体" w:cs="仿宋_GB2312"/>
          <w:bCs/>
          <w:color w:val="000000"/>
          <w:sz w:val="32"/>
          <w:szCs w:val="32"/>
        </w:rPr>
      </w:pPr>
      <w:r>
        <w:rPr>
          <w:rFonts w:hint="eastAsia" w:ascii="仿宋" w:hAnsi="仿宋" w:eastAsia="仿宋" w:cs="仿宋"/>
          <w:bCs/>
          <w:color w:val="000000"/>
          <w:sz w:val="32"/>
          <w:szCs w:val="32"/>
        </w:rPr>
        <w:t xml:space="preserve"> </w:t>
      </w:r>
      <w:r>
        <w:rPr>
          <w:rFonts w:hint="eastAsia" w:ascii="黑体" w:hAnsi="黑体" w:eastAsia="黑体" w:cs="仿宋_GB2312"/>
          <w:bCs/>
          <w:color w:val="000000"/>
          <w:sz w:val="32"/>
          <w:szCs w:val="32"/>
        </w:rPr>
        <w:t>六、其他需要说明的问题</w:t>
      </w:r>
    </w:p>
    <w:p>
      <w:pPr>
        <w:spacing w:line="592"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lang w:val="en-US" w:eastAsia="zh-CN"/>
        </w:rPr>
        <w:t>无</w:t>
      </w:r>
    </w:p>
    <w:p>
      <w:pPr>
        <w:ind w:left="4800" w:hanging="4800" w:hangingChars="15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ind w:left="4800" w:hanging="4800" w:hangingChars="1500"/>
        <w:rPr>
          <w:rFonts w:hint="eastAsia" w:ascii="仿宋" w:hAnsi="仿宋" w:eastAsia="仿宋" w:cs="仿宋"/>
          <w:sz w:val="32"/>
          <w:szCs w:val="32"/>
          <w:lang w:val="en-US" w:eastAsia="zh-CN"/>
        </w:rPr>
      </w:pPr>
    </w:p>
    <w:p>
      <w:pPr>
        <w:ind w:left="4800" w:hanging="4800" w:hangingChars="1500"/>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益阳市大通湖区教育和卫生健康局</w:t>
      </w:r>
    </w:p>
    <w:p>
      <w:pPr>
        <w:ind w:left="4800" w:hanging="4800" w:hangingChars="1500"/>
        <w:jc w:val="right"/>
        <w:rPr>
          <w:rFonts w:hint="eastAsia" w:ascii="方正大标宋简体" w:eastAsia="方正大标宋简体" w:cs="仿宋_GB2312"/>
          <w:color w:val="000000"/>
          <w:sz w:val="44"/>
          <w:szCs w:val="44"/>
        </w:rPr>
      </w:pPr>
      <w:r>
        <w:rPr>
          <w:rFonts w:hint="eastAsia" w:ascii="仿宋" w:hAnsi="仿宋" w:eastAsia="仿宋" w:cs="仿宋"/>
          <w:sz w:val="32"/>
          <w:szCs w:val="32"/>
          <w:lang w:val="en-US" w:eastAsia="zh-CN"/>
        </w:rPr>
        <w:t>2023年5月24日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69195"/>
    <w:multiLevelType w:val="singleLevel"/>
    <w:tmpl w:val="95669195"/>
    <w:lvl w:ilvl="0" w:tentative="0">
      <w:start w:val="4"/>
      <w:numFmt w:val="chineseCounting"/>
      <w:suff w:val="nothing"/>
      <w:lvlText w:val="%1、"/>
      <w:lvlJc w:val="left"/>
      <w:rPr>
        <w:rFonts w:hint="eastAsia"/>
      </w:rPr>
    </w:lvl>
  </w:abstractNum>
  <w:abstractNum w:abstractNumId="1">
    <w:nsid w:val="B12B21CD"/>
    <w:multiLevelType w:val="singleLevel"/>
    <w:tmpl w:val="B12B21CD"/>
    <w:lvl w:ilvl="0" w:tentative="0">
      <w:start w:val="2"/>
      <w:numFmt w:val="chineseCounting"/>
      <w:suff w:val="nothing"/>
      <w:lvlText w:val="（%1）"/>
      <w:lvlJc w:val="left"/>
      <w:rPr>
        <w:rFonts w:hint="eastAsia"/>
      </w:rPr>
    </w:lvl>
  </w:abstractNum>
  <w:abstractNum w:abstractNumId="2">
    <w:nsid w:val="2CE0C70D"/>
    <w:multiLevelType w:val="singleLevel"/>
    <w:tmpl w:val="2CE0C70D"/>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ZmY1ZGUyNzI2NzRlZmRhZTc4ZDQ5NzVhMjcyMzgifQ=="/>
  </w:docVars>
  <w:rsids>
    <w:rsidRoot w:val="09B56CD4"/>
    <w:rsid w:val="08730B2A"/>
    <w:rsid w:val="09B56CD4"/>
    <w:rsid w:val="16F2025C"/>
    <w:rsid w:val="171E3C64"/>
    <w:rsid w:val="1CC33B31"/>
    <w:rsid w:val="1EB82C3B"/>
    <w:rsid w:val="2A316D06"/>
    <w:rsid w:val="2F20731C"/>
    <w:rsid w:val="5B5A405D"/>
    <w:rsid w:val="6C536120"/>
    <w:rsid w:val="6E097D16"/>
    <w:rsid w:val="7298245B"/>
    <w:rsid w:val="7CE539BB"/>
    <w:rsid w:val="7E720337"/>
    <w:rsid w:val="7FE61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qFormat/>
    <w:uiPriority w:val="0"/>
    <w:pPr>
      <w:ind w:firstLine="315"/>
    </w:pPr>
    <w:rPr>
      <w:sz w:val="24"/>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6322</Words>
  <Characters>6871</Characters>
  <Lines>0</Lines>
  <Paragraphs>0</Paragraphs>
  <TotalTime>40</TotalTime>
  <ScaleCrop>false</ScaleCrop>
  <LinksUpToDate>false</LinksUpToDate>
  <CharactersWithSpaces>7056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2023-03-28T08:48:00Z</dcterms:created>
  <dc:creator>Administrator</dc:creator>
  <cp:lastModifiedBy>Administrator</cp:lastModifiedBy>
  <dcterms:modified xsi:type="dcterms:W3CDTF">2023-05-19T00:11:50Z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51E3EEC28BEC46DFB4145F644E509F2B_11</vt:lpwstr>
  </property>
</Properties>
</file>