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overflowPunct w:val="0"/>
        <w:autoSpaceDE w:val="0"/>
        <w:autoSpaceDN w:val="0"/>
        <w:spacing w:beforeAutospacing="0" w:afterAutospacing="0" w:line="592" w:lineRule="exact"/>
        <w:jc w:val="center"/>
        <w:rPr>
          <w:rFonts w:hint="eastAsia" w:ascii="Times New Roman" w:hAnsi="Times New Roman" w:eastAsia="华康简标题宋"/>
          <w:b w:val="0"/>
          <w:sz w:val="44"/>
          <w:szCs w:val="44"/>
        </w:rPr>
      </w:pPr>
      <w:r>
        <w:rPr>
          <w:rFonts w:hint="eastAsia" w:ascii="Times New Roman" w:hAnsi="Times New Roman" w:eastAsia="华康简标题宋"/>
          <w:b w:val="0"/>
          <w:sz w:val="44"/>
          <w:szCs w:val="44"/>
          <w:lang w:val="en-US" w:eastAsia="zh-CN"/>
        </w:rPr>
        <w:t xml:space="preserve"> </w:t>
      </w:r>
      <w:r>
        <w:rPr>
          <w:rFonts w:ascii="Times New Roman" w:hAnsi="Times New Roman" w:eastAsia="华康简标题宋"/>
          <w:b w:val="0"/>
          <w:sz w:val="44"/>
          <w:szCs w:val="44"/>
        </w:rPr>
        <w:t>关于大通湖区20</w:t>
      </w:r>
      <w:r>
        <w:rPr>
          <w:rFonts w:hint="eastAsia" w:ascii="Times New Roman" w:hAnsi="Times New Roman" w:eastAsia="华康简标题宋"/>
          <w:b w:val="0"/>
          <w:sz w:val="44"/>
          <w:szCs w:val="44"/>
          <w:lang w:val="en-US" w:eastAsia="zh-CN"/>
        </w:rPr>
        <w:t>21</w:t>
      </w:r>
      <w:r>
        <w:rPr>
          <w:rFonts w:ascii="Times New Roman" w:hAnsi="Times New Roman" w:eastAsia="华康简标题宋"/>
          <w:b w:val="0"/>
          <w:sz w:val="44"/>
          <w:szCs w:val="44"/>
        </w:rPr>
        <w:t>年</w:t>
      </w:r>
      <w:r>
        <w:rPr>
          <w:rFonts w:hint="eastAsia" w:ascii="Times New Roman" w:hAnsi="Times New Roman" w:eastAsia="华康简标题宋"/>
          <w:b w:val="0"/>
          <w:sz w:val="44"/>
          <w:szCs w:val="44"/>
          <w:lang w:eastAsia="zh-CN"/>
        </w:rPr>
        <w:t>财政</w:t>
      </w:r>
      <w:r>
        <w:rPr>
          <w:rFonts w:ascii="Times New Roman" w:hAnsi="Times New Roman" w:eastAsia="华康简标题宋"/>
          <w:b w:val="0"/>
          <w:sz w:val="44"/>
          <w:szCs w:val="44"/>
        </w:rPr>
        <w:t>预算执行情况</w:t>
      </w:r>
    </w:p>
    <w:p>
      <w:pPr>
        <w:pStyle w:val="3"/>
        <w:overflowPunct w:val="0"/>
        <w:autoSpaceDE w:val="0"/>
        <w:autoSpaceDN w:val="0"/>
        <w:spacing w:beforeAutospacing="0" w:afterAutospacing="0" w:line="592" w:lineRule="exact"/>
        <w:jc w:val="center"/>
        <w:rPr>
          <w:rFonts w:ascii="Times New Roman" w:hAnsi="Times New Roman" w:eastAsia="华康简标题宋"/>
          <w:b w:val="0"/>
          <w:sz w:val="44"/>
          <w:szCs w:val="44"/>
        </w:rPr>
      </w:pPr>
      <w:r>
        <w:rPr>
          <w:rFonts w:ascii="Times New Roman" w:hAnsi="Times New Roman" w:eastAsia="华康简标题宋"/>
          <w:b w:val="0"/>
          <w:sz w:val="44"/>
          <w:szCs w:val="44"/>
        </w:rPr>
        <w:t>和20</w:t>
      </w:r>
      <w:r>
        <w:rPr>
          <w:rFonts w:hint="eastAsia" w:ascii="Times New Roman" w:hAnsi="Times New Roman" w:eastAsia="华康简标题宋"/>
          <w:b w:val="0"/>
          <w:sz w:val="44"/>
          <w:szCs w:val="44"/>
          <w:lang w:val="en-US" w:eastAsia="zh-CN"/>
        </w:rPr>
        <w:t>22</w:t>
      </w:r>
      <w:r>
        <w:rPr>
          <w:rFonts w:ascii="Times New Roman" w:hAnsi="Times New Roman" w:eastAsia="华康简标题宋"/>
          <w:b w:val="0"/>
          <w:sz w:val="44"/>
          <w:szCs w:val="44"/>
        </w:rPr>
        <w:t>年</w:t>
      </w:r>
      <w:r>
        <w:rPr>
          <w:rFonts w:hint="eastAsia" w:ascii="Times New Roman" w:hAnsi="Times New Roman" w:eastAsia="华康简标题宋"/>
          <w:b w:val="0"/>
          <w:sz w:val="44"/>
          <w:szCs w:val="44"/>
          <w:lang w:eastAsia="zh-CN"/>
        </w:rPr>
        <w:t>财政</w:t>
      </w:r>
      <w:r>
        <w:rPr>
          <w:rFonts w:ascii="Times New Roman" w:hAnsi="Times New Roman" w:eastAsia="华康简标题宋"/>
          <w:b w:val="0"/>
          <w:sz w:val="44"/>
          <w:szCs w:val="44"/>
        </w:rPr>
        <w:t>预算</w:t>
      </w:r>
      <w:r>
        <w:rPr>
          <w:rFonts w:hint="eastAsia" w:ascii="Times New Roman" w:hAnsi="Times New Roman" w:eastAsia="华康简标题宋"/>
          <w:b w:val="0"/>
          <w:sz w:val="44"/>
          <w:szCs w:val="44"/>
          <w:lang w:eastAsia="zh-CN"/>
        </w:rPr>
        <w:t>（</w:t>
      </w:r>
      <w:r>
        <w:rPr>
          <w:rFonts w:ascii="Times New Roman" w:hAnsi="Times New Roman" w:eastAsia="华康简标题宋"/>
          <w:b w:val="0"/>
          <w:sz w:val="44"/>
          <w:szCs w:val="44"/>
        </w:rPr>
        <w:t>草案</w:t>
      </w:r>
      <w:r>
        <w:rPr>
          <w:rFonts w:hint="eastAsia" w:ascii="Times New Roman" w:hAnsi="Times New Roman" w:eastAsia="华康简标题宋"/>
          <w:b w:val="0"/>
          <w:sz w:val="44"/>
          <w:szCs w:val="44"/>
          <w:lang w:eastAsia="zh-CN"/>
        </w:rPr>
        <w:t>）</w:t>
      </w:r>
      <w:r>
        <w:rPr>
          <w:rFonts w:ascii="Times New Roman" w:hAnsi="Times New Roman" w:eastAsia="华康简标题宋"/>
          <w:b w:val="0"/>
          <w:sz w:val="44"/>
          <w:szCs w:val="44"/>
        </w:rPr>
        <w:t>的报告</w:t>
      </w:r>
    </w:p>
    <w:p/>
    <w:p>
      <w:pPr>
        <w:overflowPunct w:val="0"/>
        <w:autoSpaceDE w:val="0"/>
        <w:autoSpaceDN w:val="0"/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</w:rPr>
        <w:t>根据会议安排，现将大通湖区</w:t>
      </w:r>
      <w:r>
        <w:rPr>
          <w:rFonts w:ascii="Times New Roman" w:hAnsi="Times New Roman" w:eastAsia="仿宋_GB2312" w:cs="Times New Roman"/>
          <w:snapToGrid w:val="0"/>
          <w:kern w:val="0"/>
          <w:sz w:val="32"/>
          <w:szCs w:val="32"/>
          <w:shd w:val="clear" w:color="auto" w:fill="FFFFFF"/>
        </w:rPr>
        <w:t>20</w:t>
      </w:r>
      <w:r>
        <w:rPr>
          <w:rFonts w:hint="eastAsia" w:ascii="Times New Roman" w:hAnsi="Times New Roman" w:eastAsia="仿宋_GB2312" w:cs="Times New Roman"/>
          <w:snapToGrid w:val="0"/>
          <w:kern w:val="0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/>
        </w:rPr>
        <w:t>财政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</w:rPr>
        <w:t>预算执行情况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/>
        </w:rPr>
        <w:t>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/>
        </w:rPr>
        <w:t>2022年财政预算草案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</w:rPr>
        <w:t>作如下报告，请予审议。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3" w:firstLineChars="200"/>
        <w:jc w:val="both"/>
        <w:rPr>
          <w:rFonts w:ascii="Times New Roman" w:hAnsi="黑体" w:eastAsia="黑体"/>
          <w:b/>
          <w:bCs/>
          <w:sz w:val="32"/>
          <w:szCs w:val="32"/>
        </w:rPr>
      </w:pPr>
      <w:r>
        <w:rPr>
          <w:rFonts w:ascii="Times New Roman" w:hAnsi="黑体" w:eastAsia="黑体"/>
          <w:b/>
          <w:bCs/>
          <w:sz w:val="32"/>
          <w:szCs w:val="32"/>
        </w:rPr>
        <w:t>一、</w:t>
      </w:r>
      <w:r>
        <w:rPr>
          <w:rFonts w:ascii="Times New Roman" w:hAnsi="Times New Roman" w:eastAsia="黑体"/>
          <w:b/>
          <w:bCs/>
          <w:sz w:val="32"/>
          <w:szCs w:val="32"/>
        </w:rPr>
        <w:t>20</w:t>
      </w:r>
      <w:r>
        <w:rPr>
          <w:rFonts w:hint="eastAsia" w:ascii="Times New Roman" w:hAnsi="Times New Roman" w:eastAsia="黑体"/>
          <w:b/>
          <w:bCs/>
          <w:sz w:val="32"/>
          <w:szCs w:val="32"/>
          <w:lang w:val="en-US" w:eastAsia="zh-CN"/>
        </w:rPr>
        <w:t>21</w:t>
      </w:r>
      <w:r>
        <w:rPr>
          <w:rFonts w:ascii="Times New Roman" w:hAnsi="黑体" w:eastAsia="黑体"/>
          <w:b/>
          <w:bCs/>
          <w:sz w:val="32"/>
          <w:szCs w:val="32"/>
        </w:rPr>
        <w:t>年我区财政预算执行情况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20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21</w:t>
      </w:r>
      <w:r>
        <w:rPr>
          <w:rFonts w:hint="default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年，在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区</w:t>
      </w:r>
      <w:r>
        <w:rPr>
          <w:rFonts w:hint="default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委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、区管委会</w:t>
      </w:r>
      <w:r>
        <w:rPr>
          <w:rFonts w:hint="default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的领导下，在市人大、市政协的监督支持下，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我区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深入贯彻党的十九大和十九届二中、三中、四中、五中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、六中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全会精神，坚决落实习近平总书记在湖南考察时的系列重要讲话指示精神，深入实施“三高四新”战略，兜住“三保”支出底线，加强政府性债务管理，防范和化解重大风险，巩固脱贫攻坚成果，积极支持乡村振兴战略实施，深化预算执行管理改革，提升预算管理绩效，促进社会平稳健康发展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2021年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全区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预算执行情况良好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（一）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 xml:space="preserve">一般公共财政预算执行情况。（预计，下同）                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1. 收入情况。20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21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年我区地方财政预算收入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完成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20403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万元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为预算的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101.41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%，增长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8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%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。其中：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税收收入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12072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万元，增长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9.68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%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非税收入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8331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万元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，增长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5.66%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上划中央收入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8973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万元，上划省级收入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2186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万元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一般公共预算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财税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31562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万元。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2. 支出情况。20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21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年，一般公共预算支出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合计完成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126240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万元，其中：一般公共预算支出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118799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万元，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下降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18.79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%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(2020年列收列支企业养老保险基金21871万元)。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bidi="ar-SA"/>
        </w:rPr>
        <w:t>上解支出2625万元，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地方政府债务还本支出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4000万元，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年终结余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816万元，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我区一般公共预算实现收支平衡。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（二）政府性基金预算执行情况。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我区政府性基金收入完成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60754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万元，其中：本级收入完成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44353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万元，增长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30.65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%。上级补助收入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1093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万元，专项债券置换收入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1352万元，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专项债券转贷收入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13500万元，上年结转456万元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。政府性基金支出预计完成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60754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万元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,其中：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本级支出完成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22637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万元，下降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33.09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 xml:space="preserve"> %。调出资金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35793万元，专项债券还本1352万元，年终结余972万元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。政府性基金预算实现收支平衡。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（三）社会保险基金预算执行情况。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我区社会保险基金收入当年实现收入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9253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万元，增长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11.81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 xml:space="preserve"> %。其中：保险费收入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3392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万元，利息收入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28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eastAsia="zh-CN" w:bidi="ar-SA"/>
        </w:rPr>
        <w:t>万元，财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政补贴收入5719万元，其他收入64万元，转移收入46万元，上级补助收入4万元；上年结余7905万元。社会保险基金支出8458万元，增长8.59 %。其中：社会保险待遇支出8235万元，其他支出1万元，转移支出212万，上解上级支出10万元。年末滚存结余8700万元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上述预算执行情况是预计完成数，在决算编制汇总后会有变动，以2021年财政决算报告为准。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（四）政府债务情况。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至2021年末，大通湖区政府性债务余额119694.61万元，其中新增政府债券18100万元。全年纳入一般公共预算还本付息6670.83万元（还本支出4000万元，利息支出2670.83万元）；全年纳入政府性基金的还本支出1352.34万元，利息支出1011.64万元。</w:t>
      </w:r>
    </w:p>
    <w:p>
      <w:pPr>
        <w:pStyle w:val="9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3" w:firstLineChars="200"/>
        <w:jc w:val="both"/>
        <w:rPr>
          <w:rFonts w:hint="eastAsia" w:ascii="Times New Roman" w:hAnsi="黑体" w:eastAsia="黑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黑体" w:eastAsia="黑体"/>
          <w:b/>
          <w:bCs/>
          <w:color w:val="auto"/>
          <w:sz w:val="32"/>
          <w:szCs w:val="32"/>
          <w:lang w:eastAsia="zh-CN"/>
        </w:rPr>
        <w:t>财税政策落实和重点财政工作情况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snapToGrid w:val="0"/>
        <w:spacing w:line="592" w:lineRule="exact"/>
        <w:ind w:firstLine="643" w:firstLineChars="200"/>
        <w:jc w:val="both"/>
        <w:textAlignment w:val="baseline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（一）加大财源培育力度。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 xml:space="preserve">一是新能源产业已初具规模。东大光伏已进入纳税期，全年纳税648万元；大通湖滨湖100Mw储能电站项目已正式启动建设；大通湖整区光伏开发试点项目已上报省发改委。二是大健康产业成效明显。湘易康制药全年纳税4349万元；才广生物、康玖堂、博融信达等植物提取产业全面开工建设。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snapToGrid w:val="0"/>
        <w:spacing w:line="592" w:lineRule="exact"/>
        <w:ind w:firstLine="643" w:firstLineChars="200"/>
        <w:jc w:val="both"/>
        <w:textAlignment w:val="baseline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（二）牢固树立过“紧日子”思想。</w:t>
      </w:r>
      <w:r>
        <w:rPr>
          <w:rFonts w:hint="eastAsia" w:ascii="Times New Roman" w:hAnsi="Times New Roman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 w:bidi="ar-SA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力压减一般性支出，各预算单位全年压减率达到10%。将压减的1764万元用于教育、殡葬改革、大米产业发展、环保建设等民生方面。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 w:val="0"/>
        <w:autoSpaceDN w:val="0"/>
        <w:bidi w:val="0"/>
        <w:snapToGrid w:val="0"/>
        <w:spacing w:line="592" w:lineRule="exact"/>
        <w:ind w:firstLine="643" w:firstLineChars="200"/>
        <w:jc w:val="both"/>
        <w:textAlignment w:val="baseline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（三）“三保”支出保障到位。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三保”支出足额纳入财政预算，全年41962万元，其中：工资性支出19487万元（含养老保险），运转支出2248万元，基本民生支出20227万元。</w:t>
      </w:r>
    </w:p>
    <w:p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（四）债务</w:t>
      </w:r>
      <w:r>
        <w:rPr>
          <w:rFonts w:hint="default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风险</w:t>
      </w: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可控</w:t>
      </w:r>
      <w:r>
        <w:rPr>
          <w:rFonts w:hint="default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已足额完成全年化债任务，在全市属低风险地区。债券资金管控到位，全年到位新增债券资金18100万元，已全部拨付至项目单位，按资金用途使用。</w:t>
      </w:r>
    </w:p>
    <w:p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（五）立项争资、重点项目建设投资均超额完成任务.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立项争资2021年市级任务15.48亿元，预计全年完成17.02亿元，完成市级任务的110%。我区市重点项目11个，预计全年完成投资17.68亿元，完成年度任务的121%。</w:t>
      </w:r>
    </w:p>
    <w:p>
      <w:pPr>
        <w:numPr>
          <w:ilvl w:val="0"/>
          <w:numId w:val="0"/>
        </w:numPr>
        <w:ind w:firstLine="643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（六）问题整改落到实处。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一是加大整改力度，认真整改审计在年度审计中指出的预算管理和预算执行中的问题，得到了人大常委会的认可，进一步提高了财政管理水平。二是主动接受人大监督，及时将2020财政决算草案和2021年上半年预算执行情况、2021年预算调整草案、2022年预算草案等提交市人大专门委员会审查，并接受市人大和社会各方面的意见建议。严格按规定，及时将市人大批准的财政预决算方案、预算执行情况、财政政策法规、部门预决算和“三公”经费预决算等情况在网上向社会公示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总的看，2021年预算执行情况良好，地方财政收入逐年提高，“三保”全面保障，政府债务风险防控到位，但当前财政工作中仍存在一些困难和问题，主要表现在：受复杂的国内外环境影响，财政持续增收压力较大，收入结构不够合理，财政可用财力有限，“三保”、债务化解、收支矛盾突出，财政运行风险较大，等等这些问题。在今后的工作中，我们将高度重视，并努力解决。</w:t>
      </w:r>
    </w:p>
    <w:p>
      <w:pPr>
        <w:pStyle w:val="9"/>
        <w:overflowPunct w:val="0"/>
        <w:autoSpaceDE w:val="0"/>
        <w:autoSpaceDN w:val="0"/>
        <w:adjustRightInd w:val="0"/>
        <w:snapToGrid w:val="0"/>
        <w:spacing w:beforeAutospacing="0" w:afterAutospacing="0" w:line="592" w:lineRule="exact"/>
        <w:ind w:firstLine="643" w:firstLineChars="200"/>
        <w:jc w:val="both"/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三、2022年财政预算草案情况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（一）一般公共财政预算草案。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2022年全区地方一般公共预算收入21832万元，增长7%。其中：税收收入13100万元，增长8.52%，非税收入8732万元，增长4.81%。加税收返还收入2471万元，一般性转移支付收入28138万元，预计的专项转移支付37093万元，置换债券收入6180万元，调入资金30000万元，上年结转347万元，收入总计126061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一般公共预算区级支出116909万元（含上级专项转移支付37093万元），下降1.59%。加上解上级支出2625万元，地方政府债务还本支出6180万元，结转下年支出347万元。支出总计126061万元。收支平衡。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（二）政府性基金预算草案。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2022年全区政府性基金预算收入51352万元，增长15.78%。主要是土地出让收入和旱改水项目开发收入。上年结转456万元。政府性基金预算收入合计51808万元。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全区政府性基金支出21352万元，下降5.68%。加调出至一般公共预算资金30000万元，结转下年支出456万元，支出总计51808万元。收支平衡。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（三）社保基金预算草案。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2022年社会保险基金预算当年收入9358万元，增长17.96%。其中：保险费收入3457万元，利息收入29万元，财政补贴收入5820万元，转移收入48万元，其他收入4万元；上年结余8700万元。社会保险基金支出9053万元，增长12.15%。其中：社会保险待遇支出8820万元，上解上级支出12万元，转移支出221万；收支相抵滚存结余9005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（四）国有资本经营预算草案。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2022年国有资本经营预算收入1836万元，收入来源主要是国有企业上缴的大湖经营权承包费和上缴利润；国有资本经营预算支出1836万元，为“PPP一河两岸”项目支出责任金1314万元，污水处理厂两个月的运营费522万元；收支平衡。</w:t>
      </w:r>
    </w:p>
    <w:p>
      <w:pPr>
        <w:widowControl w:val="0"/>
        <w:numPr>
          <w:ilvl w:val="0"/>
          <w:numId w:val="0"/>
        </w:numPr>
        <w:overflowPunct w:val="0"/>
        <w:autoSpaceDE w:val="0"/>
        <w:autoSpaceDN w:val="0"/>
        <w:adjustRightInd w:val="0"/>
        <w:snapToGrid w:val="0"/>
        <w:spacing w:line="592" w:lineRule="exact"/>
        <w:ind w:firstLine="643" w:firstLineChars="200"/>
        <w:jc w:val="both"/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四、扎实做好2022年财政工作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2022年我区将严格落实稳字当头，稳中求进的总体思路，巩固拓展疫情防控和经济社会发展成果，扎实做好“六稳、六保”工作，全力组织收入，优化支出结构，推动经济平稳健康运行，努力做好以下工作：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default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（一）抓好财税收入的征收。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坚决落实减税降费政策，营造良好的税费环境；大力支持特色农业产业、旅游业、新能源产业等协调发展，多渠道、多层次培植地方财源；积极组织财税收入，将具体目标任务细化分解到具体税源点、出让地块、收入项目；勤征细管,确保应收尽收。</w:t>
      </w:r>
    </w:p>
    <w:p>
      <w:pPr>
        <w:ind w:firstLine="643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（二）强化财政支出管理。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按照“突出重点、有保有压”的原则安排财政支出，坚持开源节流、增收节支，兜牢“三保”底线，各单位一般性支出年初预算压减10%，加大重点领域和刚性支出的保障力度，把有限的财政资金用在刀刃上，增强财政可持续性和经济社会发展后劲。</w:t>
      </w:r>
    </w:p>
    <w:p>
      <w:pPr>
        <w:pStyle w:val="5"/>
        <w:numPr>
          <w:ilvl w:val="0"/>
          <w:numId w:val="0"/>
        </w:numPr>
        <w:overflowPunct w:val="0"/>
        <w:autoSpaceDE w:val="0"/>
        <w:autoSpaceDN w:val="0"/>
        <w:adjustRightInd w:val="0"/>
        <w:snapToGrid w:val="0"/>
        <w:spacing w:line="592" w:lineRule="exact"/>
        <w:ind w:firstLine="643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（三）防范化解政府性债务风险。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是积极申报2022年专债资金，督促项目申报单位完善前期工作，为专债资金发行的做好准备。二是制定2022年化债任务，明确化解措施，确保任务完成。三是完善政府性债务风险防范机制，继续做好融资平台转型申报与隐性债务存量结构调整工作。</w:t>
      </w:r>
    </w:p>
    <w:p>
      <w:pPr>
        <w:pStyle w:val="5"/>
        <w:numPr>
          <w:ilvl w:val="0"/>
          <w:numId w:val="0"/>
        </w:numPr>
        <w:overflowPunct w:val="0"/>
        <w:autoSpaceDE w:val="0"/>
        <w:autoSpaceDN w:val="0"/>
        <w:adjustRightInd w:val="0"/>
        <w:snapToGrid w:val="0"/>
        <w:spacing w:line="592" w:lineRule="exact"/>
        <w:ind w:firstLine="643" w:firstLineChars="200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（四）支持乡村振兴，抓好资金的拨付与监督。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围绕上级要求，把“三农”发展作为一般公共预算优先保障和金融优先服务领域，加大产业发展、人居环境整治、基本公共服务等领域和薄弱环节的财政投入强度，大力支持农村各项改革，破除体制机制障碍，服务乡村发展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3" w:firstLineChars="200"/>
        <w:textAlignment w:val="auto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（五）抓好“三高四新”落实工作。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各相关部门严格按照大通湖区《关于服务“三高四新”战略实施财源建设工程的意见》、《落实“三高四新”战略实施财源建设工程的意见文件精神责任分工》和《益阳市固定资产投资和重点项目建设考核评价办法（试行）的通知》等文件精神，认真组织落实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3" w:firstLineChars="200"/>
        <w:textAlignment w:val="auto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（六）抓好财源培育工作。</w:t>
      </w: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一是抓七大产业链招商，重点落实好新能源产业。二是抓立项争资，重点落实好水流域治理与可持续发展项目、长江经济带绿色发展、高标准农田建设项目争资力度。三是抓土地生财，重点抓土地开发项目的建设与变现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640" w:firstLineChars="200"/>
        <w:textAlignment w:val="auto"/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  <w:t>以上报告，请予审查。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600" w:lineRule="atLeast"/>
        <w:ind w:right="0" w:firstLine="640" w:firstLineChars="2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</w:pP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600" w:lineRule="atLeast"/>
        <w:ind w:right="0" w:firstLine="640" w:firstLineChars="200"/>
        <w:jc w:val="left"/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color="auto" w:fill="FFFFFF"/>
        </w:rPr>
        <w:t>附件1：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instrText xml:space="preserve"> HYPERLINK "http://www.yiyang.gov.cn/czj/uploadfiles/202104/20210415101406311.pdf" \t "http://www.yiyang.gov.cn/czj/5841/5844/5860/_blank" </w:instrTex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t>2021年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  <w:lang w:eastAsia="zh-CN"/>
        </w:rPr>
        <w:t>预算执行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t>和2022年预算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  <w:lang w:eastAsia="zh-CN"/>
        </w:rPr>
        <w:t>草案的报告</w:t>
      </w:r>
      <w:r>
        <w:rPr>
          <w:rStyle w:val="13"/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t>附表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600" w:lineRule="atLeast"/>
        <w:ind w:right="0" w:firstLine="640" w:firstLineChars="200"/>
        <w:jc w:val="left"/>
        <w:rPr>
          <w:rFonts w:ascii="microsoft yahei" w:hAnsi="microsoft yahei" w:eastAsia="microsoft yahei" w:cs="microsoft yahei"/>
          <w:b w:val="0"/>
          <w:i w:val="0"/>
          <w:caps w:val="0"/>
          <w:color w:val="062D3C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shd w:val="clear" w:color="auto" w:fill="FFFFFF"/>
          <w:lang w:val="en-US" w:eastAsia="zh-CN"/>
        </w:rPr>
        <w:t>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shd w:val="clear" w:color="auto" w:fill="FFFFFF"/>
        </w:rPr>
        <w:t>件2：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instrText xml:space="preserve"> HYPERLINK "http://www.yiyang.gov.cn/czj/uploadfiles/202102/20210201163256202.docx" \t "http://www.yiyang.gov.cn/czj/5841/5844/5860/_blank" </w:instrTex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fldChar w:fldCharType="separate"/>
      </w:r>
      <w:r>
        <w:rPr>
          <w:rStyle w:val="13"/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t>202</w:t>
      </w:r>
      <w:r>
        <w:rPr>
          <w:rStyle w:val="13"/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  <w:lang w:val="en-US" w:eastAsia="zh-CN"/>
        </w:rPr>
        <w:t>2</w:t>
      </w:r>
      <w:r>
        <w:rPr>
          <w:rStyle w:val="13"/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t>年</w:t>
      </w:r>
      <w:r>
        <w:rPr>
          <w:rStyle w:val="13"/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  <w:lang w:eastAsia="zh-CN"/>
        </w:rPr>
        <w:t>区级</w:t>
      </w:r>
      <w:r>
        <w:rPr>
          <w:rStyle w:val="13"/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t>预算重要事项说明</w:t>
      </w:r>
      <w:r>
        <w:rPr>
          <w:rStyle w:val="13"/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32"/>
          <w:szCs w:val="32"/>
          <w:u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21"/>
          <w:szCs w:val="21"/>
          <w:u w:val="none"/>
          <w:shd w:val="clear" w:color="auto" w:fill="FFFFFF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21"/>
          <w:szCs w:val="21"/>
          <w:u w:val="none"/>
          <w:shd w:val="clear" w:color="auto" w:fill="FFFFFF"/>
        </w:rPr>
        <w:instrText xml:space="preserve"> HYPERLINK "http://www.yiyang.gov.cn/czj/uploadfiles/202102/20210201163256202.docx" \t "http://www.yiyang.gov.cn/czj/5841/5844/5860/_blank" </w:instrTex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21"/>
          <w:szCs w:val="21"/>
          <w:u w:val="none"/>
          <w:shd w:val="clear" w:color="auto" w:fill="FFFFFF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62D3C"/>
          <w:spacing w:val="0"/>
          <w:sz w:val="21"/>
          <w:szCs w:val="21"/>
          <w:u w:val="none"/>
          <w:shd w:val="clear" w:color="auto" w:fill="FFFFFF"/>
        </w:rPr>
        <w:fldChar w:fldCharType="end"/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textAlignment w:val="auto"/>
        <w:rPr>
          <w:rFonts w:hint="default" w:ascii="Times New Roman" w:hAnsi="Times New Roman" w:eastAsia="仿宋_GB2312" w:cs="仿宋_GB2312"/>
          <w:snapToGrid w:val="0"/>
          <w:kern w:val="0"/>
          <w:sz w:val="32"/>
          <w:szCs w:val="32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microsoft yahei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380E5"/>
    <w:multiLevelType w:val="singleLevel"/>
    <w:tmpl w:val="3BD380E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60C76"/>
    <w:rsid w:val="01912E74"/>
    <w:rsid w:val="01B745C9"/>
    <w:rsid w:val="03862B7E"/>
    <w:rsid w:val="050A3D4E"/>
    <w:rsid w:val="06E16268"/>
    <w:rsid w:val="07572F77"/>
    <w:rsid w:val="07837DB7"/>
    <w:rsid w:val="08E340CF"/>
    <w:rsid w:val="09D74569"/>
    <w:rsid w:val="0A2A74DB"/>
    <w:rsid w:val="0DA31926"/>
    <w:rsid w:val="0DDA73B4"/>
    <w:rsid w:val="0F065395"/>
    <w:rsid w:val="0F363876"/>
    <w:rsid w:val="0F520470"/>
    <w:rsid w:val="0FC3674A"/>
    <w:rsid w:val="1133216F"/>
    <w:rsid w:val="14F87A14"/>
    <w:rsid w:val="150C5E78"/>
    <w:rsid w:val="152A6DB1"/>
    <w:rsid w:val="15911057"/>
    <w:rsid w:val="17E24D87"/>
    <w:rsid w:val="18425817"/>
    <w:rsid w:val="19362A44"/>
    <w:rsid w:val="19943076"/>
    <w:rsid w:val="1A6911AC"/>
    <w:rsid w:val="1E7B5B35"/>
    <w:rsid w:val="1F470D87"/>
    <w:rsid w:val="1F665F2B"/>
    <w:rsid w:val="1FA32688"/>
    <w:rsid w:val="20432897"/>
    <w:rsid w:val="2241422B"/>
    <w:rsid w:val="22700598"/>
    <w:rsid w:val="233555AE"/>
    <w:rsid w:val="24864E96"/>
    <w:rsid w:val="25EE14F9"/>
    <w:rsid w:val="26166DF5"/>
    <w:rsid w:val="26667FAD"/>
    <w:rsid w:val="268A3AAE"/>
    <w:rsid w:val="271F55CD"/>
    <w:rsid w:val="27C831E9"/>
    <w:rsid w:val="28FB555A"/>
    <w:rsid w:val="29017398"/>
    <w:rsid w:val="2932118E"/>
    <w:rsid w:val="2A227BF3"/>
    <w:rsid w:val="2A311A08"/>
    <w:rsid w:val="2A836A30"/>
    <w:rsid w:val="2B8A7285"/>
    <w:rsid w:val="2E496060"/>
    <w:rsid w:val="2ED06ED6"/>
    <w:rsid w:val="2F5136C5"/>
    <w:rsid w:val="2F960F7A"/>
    <w:rsid w:val="31E236A1"/>
    <w:rsid w:val="32DD6301"/>
    <w:rsid w:val="32E122A5"/>
    <w:rsid w:val="339714B0"/>
    <w:rsid w:val="34663FF1"/>
    <w:rsid w:val="34A23527"/>
    <w:rsid w:val="360E2BDC"/>
    <w:rsid w:val="3643574A"/>
    <w:rsid w:val="36836F84"/>
    <w:rsid w:val="36DA3B61"/>
    <w:rsid w:val="37871B14"/>
    <w:rsid w:val="389C3801"/>
    <w:rsid w:val="38B01BCD"/>
    <w:rsid w:val="3CD32518"/>
    <w:rsid w:val="3E1A6C0A"/>
    <w:rsid w:val="3ECE4C23"/>
    <w:rsid w:val="3ED16B52"/>
    <w:rsid w:val="3ED4094B"/>
    <w:rsid w:val="42944EF1"/>
    <w:rsid w:val="46BA2F03"/>
    <w:rsid w:val="46F60F83"/>
    <w:rsid w:val="4986568D"/>
    <w:rsid w:val="4A604B43"/>
    <w:rsid w:val="4AB80400"/>
    <w:rsid w:val="4B847DE1"/>
    <w:rsid w:val="4F01302F"/>
    <w:rsid w:val="4F205116"/>
    <w:rsid w:val="4FB81B9C"/>
    <w:rsid w:val="4FBB0D7E"/>
    <w:rsid w:val="523B7617"/>
    <w:rsid w:val="53C844D8"/>
    <w:rsid w:val="55BD3650"/>
    <w:rsid w:val="56A20B4A"/>
    <w:rsid w:val="56C71BEB"/>
    <w:rsid w:val="57EF2AD2"/>
    <w:rsid w:val="588722BD"/>
    <w:rsid w:val="58B3160E"/>
    <w:rsid w:val="58C22FCA"/>
    <w:rsid w:val="59B75CE0"/>
    <w:rsid w:val="5B470B34"/>
    <w:rsid w:val="5B68164A"/>
    <w:rsid w:val="5C9F7093"/>
    <w:rsid w:val="5E773948"/>
    <w:rsid w:val="5ECE2D4D"/>
    <w:rsid w:val="60E34C81"/>
    <w:rsid w:val="60F471E4"/>
    <w:rsid w:val="612F1F87"/>
    <w:rsid w:val="62745A7D"/>
    <w:rsid w:val="62FD7086"/>
    <w:rsid w:val="63F8124D"/>
    <w:rsid w:val="64C744EA"/>
    <w:rsid w:val="66317778"/>
    <w:rsid w:val="6716641E"/>
    <w:rsid w:val="67594854"/>
    <w:rsid w:val="675B41A2"/>
    <w:rsid w:val="677B5C70"/>
    <w:rsid w:val="67A15077"/>
    <w:rsid w:val="68325987"/>
    <w:rsid w:val="68554489"/>
    <w:rsid w:val="6AD9602E"/>
    <w:rsid w:val="6B4937B6"/>
    <w:rsid w:val="6BCC6269"/>
    <w:rsid w:val="6C342985"/>
    <w:rsid w:val="6C562178"/>
    <w:rsid w:val="6C7F3A38"/>
    <w:rsid w:val="6E3763C3"/>
    <w:rsid w:val="6F1764C4"/>
    <w:rsid w:val="6FDE416C"/>
    <w:rsid w:val="70916C03"/>
    <w:rsid w:val="714924C6"/>
    <w:rsid w:val="714C7D99"/>
    <w:rsid w:val="72576C2B"/>
    <w:rsid w:val="72D81A29"/>
    <w:rsid w:val="735654CC"/>
    <w:rsid w:val="743E6EA9"/>
    <w:rsid w:val="75973704"/>
    <w:rsid w:val="76451244"/>
    <w:rsid w:val="76932843"/>
    <w:rsid w:val="773626D4"/>
    <w:rsid w:val="782551D6"/>
    <w:rsid w:val="782772E8"/>
    <w:rsid w:val="78B57FAA"/>
    <w:rsid w:val="79A84A49"/>
    <w:rsid w:val="7ADB1599"/>
    <w:rsid w:val="7B052152"/>
    <w:rsid w:val="7C85099E"/>
    <w:rsid w:val="7CDB6808"/>
    <w:rsid w:val="7D167AE0"/>
    <w:rsid w:val="7D4A274D"/>
    <w:rsid w:val="7F5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lang w:bidi="ar-SA"/>
    </w:rPr>
  </w:style>
  <w:style w:type="paragraph" w:styleId="3">
    <w:name w:val="heading 1"/>
    <w:basedOn w:val="1"/>
    <w:next w:val="1"/>
    <w:qFormat/>
    <w:uiPriority w:val="0"/>
    <w:pPr>
      <w:widowControl w:val="0"/>
      <w:spacing w:beforeAutospacing="1" w:afterAutospacing="1"/>
      <w:outlineLvl w:val="0"/>
    </w:pPr>
    <w:rPr>
      <w:rFonts w:ascii="宋体" w:hAnsi="宋体"/>
      <w:b/>
      <w:kern w:val="44"/>
      <w:sz w:val="48"/>
      <w:szCs w:val="48"/>
      <w:lang w:val="en-US" w:eastAsia="zh-CN"/>
    </w:rPr>
  </w:style>
  <w:style w:type="character" w:default="1" w:styleId="10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adjustRightInd w:val="0"/>
      <w:snapToGrid w:val="0"/>
      <w:spacing w:after="120"/>
      <w:jc w:val="left"/>
    </w:pPr>
    <w:rPr>
      <w:rFonts w:ascii="Times New Roman" w:hAnsi="Times New Roman" w:eastAsia="微软雅黑"/>
      <w:kern w:val="0"/>
      <w:sz w:val="22"/>
      <w:szCs w:val="22"/>
    </w:rPr>
  </w:style>
  <w:style w:type="paragraph" w:styleId="4">
    <w:name w:val="Body Text First Indent"/>
    <w:basedOn w:val="2"/>
    <w:next w:val="1"/>
    <w:qFormat/>
    <w:uiPriority w:val="99"/>
    <w:pPr>
      <w:ind w:firstLine="100" w:firstLineChars="10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Arial"/>
      <w:sz w:val="18"/>
      <w:szCs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Normal (Web)"/>
    <w:basedOn w:val="1"/>
    <w:next w:val="7"/>
    <w:qFormat/>
    <w:uiPriority w:val="0"/>
    <w:pPr>
      <w:widowControl w:val="0"/>
      <w:spacing w:beforeAutospacing="1" w:afterAutospacing="1"/>
    </w:pPr>
    <w:rPr>
      <w:sz w:val="24"/>
      <w:szCs w:val="24"/>
      <w:lang w:val="en-US" w:eastAsia="zh-CN"/>
    </w:rPr>
  </w:style>
  <w:style w:type="character" w:styleId="11">
    <w:name w:val="Strong"/>
    <w:basedOn w:val="10"/>
    <w:qFormat/>
    <w:uiPriority w:val="0"/>
    <w:rPr>
      <w:rFonts w:cs="Times New Roman"/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iPriority w:val="0"/>
    <w:rPr>
      <w:color w:val="0000FF"/>
      <w:u w:val="single"/>
    </w:rPr>
  </w:style>
  <w:style w:type="paragraph" w:customStyle="1" w:styleId="15">
    <w:name w:val="新正文"/>
    <w:basedOn w:val="1"/>
    <w:qFormat/>
    <w:uiPriority w:val="99"/>
    <w:pPr>
      <w:spacing w:line="610" w:lineRule="exact"/>
      <w:ind w:firstLine="88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3296</Words>
  <Characters>3770</Characters>
  <Lines>0</Lines>
  <Paragraphs>0</Paragraphs>
  <TotalTime>6</TotalTime>
  <ScaleCrop>false</ScaleCrop>
  <LinksUpToDate>false</LinksUpToDate>
  <CharactersWithSpaces>3803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紫云英</cp:lastModifiedBy>
  <cp:lastPrinted>2021-12-23T08:48:00Z</cp:lastPrinted>
  <dcterms:modified xsi:type="dcterms:W3CDTF">2022-01-05T07:40:43Z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B75D4B3EF9F04C14A7B1A03EA0994C13</vt:lpwstr>
  </property>
</Properties>
</file>