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大通湖区委政法委</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eastAsia="zh-CN"/>
        </w:rPr>
        <w:t>中共益阳市大通湖区委政法委（以下简称区委政法委）是区委主管全区政法工作和区管委主管司法行政、信访工作的工作机关，为正科级，加挂区司法局、区信访局牌子。区委政法委贯彻落实党中央关于政法工作的方针政策和决策部署以及省委、市委、区委的部署要求，在履行职责过程中坚持和加强党对政法工作的集中统一领导。主要职责是：</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一）深入贯彻习近平新时代中国特色社会主义思想，坚决执行党的路线方针政策和党中央决策部署，统一政法机关的思想和行动。对一定时期内的政法、司法行政、信访等工作作出全局性部署，并督促贯彻落实。</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（二）深入推进平安大通湖、法治大通湖建设，加强队伍建设，深化智能化建设，坚决维护国家政治安全、确保社会大局稳定、促进社会公平正义、保障人民安居乐业。</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（三）分析研判政法工作情况动态，分析社会稳定形势，创新综治维稳工作机制，协调推动预防、化解影响稳定的社会矛盾和风险，协调应对和处置重大突发事件。</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（四）加强对政法工作的督查，统筹协调平安建设、维护社会稳定、反邪教有关法律法规政策的实施工作。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（五）组织开展政法战线的调研工作，探索政法工作规律，加强协调管理，推进司法体制改革。</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（六）掌握政法舆情动态，指导政法部门媒体网络宣传工作，做好涉及政法工作的重大宣传工作。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（七）监督政法各部门依法行使职权，指导、协调政法各部门密切配合，研究和协调重大、疑难案件，推进严格执法、公正司法。</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（八）加强政法系统党的纪律建设和政法队伍建设，承办区法学会日常工作。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（九）承担全面依法治区重大问题的政策研究，协调有关方面提出全面依法治区中长期规划建议，负责有关重大决策部署督察工作。开展依法治区和法治政府建设考核工作。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指导全区规范性文件管理有关工作。承担区管委规范性文件送审稿的合法性审查和公平竞争审查工作。承办区管委及其各部门规范性文件的登记工作。负责区管委规范性文件向市人民政府报送备案工作。受理有关规范性文件审查申请。负责镇政府和区直部门规范性文件的备案审查工作。组织开展政府规范性文件清理工作。负责区管委法律顾问工作，负责对重大行政决策等重要行政行为合法性审查，提供法律意见。负责立法协调相关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（十一）承担统筹推进法治政府建设的责任。指导、监督依法行政工作。综合协调行政执法，承担推进行政执法体制改革有关工作，推进规范公正文明执法。承办区管委会的行政复议、行政赔偿和行政应诉工作。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二）负责拟订全区法治宣传教育规划，组织开展普法宣传工作。推动人民参与和促进法治建设。指导依法治理和法治创建工作。组织区管委会学法活动。指导调解工作和人民陪审员、人民监督员选任管理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（十三）指导管理基层司法所建设和人民调解、社区矫正。指导刑满释放人员帮教安置工作。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（十四）负责实施公共法律服务体系建设，负责法律援助、司法鉴定、仲裁和基层法律服务管理工作。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十五）负责全区信访工作。负责接待群众来访，处理群众信访诉求。处理网上投诉平台和领导信箱的网上信访事项。承办上级党政领导和主管部门交办、督办的信访事项。督促检查有关部门落实群众网上投诉、来信批示件情况。协同有关部门处理重大信访问题和纠纷问题。及时向区委、区管委会领导报告重要情况，协助处理各部门和各镇（办事处）向区委、区管委会反映的重要信访维稳问题。</w:t>
      </w:r>
    </w:p>
    <w:p>
      <w:pPr>
        <w:widowControl/>
        <w:spacing w:line="600" w:lineRule="exact"/>
        <w:ind w:firstLine="627" w:firstLineChars="196"/>
        <w:jc w:val="left"/>
        <w:rPr>
          <w:rFonts w:hint="eastAsia" w:eastAsia="楷体_GB2312"/>
          <w:b/>
          <w:sz w:val="32"/>
          <w:szCs w:val="32"/>
          <w:highlight w:val="none"/>
          <w:lang w:eastAsia="zh-CN"/>
        </w:rPr>
      </w:pPr>
      <w:r>
        <w:rPr>
          <w:rFonts w:hint="eastAsia" w:eastAsia="楷体_GB2312"/>
          <w:b w:val="0"/>
          <w:bCs/>
          <w:sz w:val="32"/>
          <w:szCs w:val="32"/>
          <w:lang w:eastAsia="zh-CN"/>
        </w:rPr>
        <w:t>（十六）办理区委、区管委和市委政法委、市司法局、市信</w:t>
      </w:r>
      <w:r>
        <w:rPr>
          <w:rFonts w:hint="eastAsia" w:eastAsia="楷体_GB2312"/>
          <w:b w:val="0"/>
          <w:bCs/>
          <w:sz w:val="32"/>
          <w:szCs w:val="32"/>
          <w:highlight w:val="none"/>
          <w:lang w:eastAsia="zh-CN"/>
        </w:rPr>
        <w:t>访局、市长热线办交办的其他事项。</w:t>
      </w:r>
    </w:p>
    <w:p>
      <w:pPr>
        <w:widowControl/>
        <w:spacing w:line="600" w:lineRule="exact"/>
        <w:ind w:firstLine="630" w:firstLineChars="196"/>
        <w:jc w:val="left"/>
        <w:rPr>
          <w:rFonts w:hint="eastAsia" w:eastAsia="楷体_GB2312"/>
          <w:b/>
          <w:sz w:val="32"/>
          <w:szCs w:val="32"/>
          <w:highlight w:val="none"/>
          <w:lang w:eastAsia="zh-CN"/>
        </w:rPr>
      </w:pPr>
      <w:r>
        <w:rPr>
          <w:rFonts w:eastAsia="楷体_GB2312"/>
          <w:b/>
          <w:sz w:val="32"/>
          <w:szCs w:val="32"/>
          <w:highlight w:val="none"/>
        </w:rPr>
        <w:t>（二）机构设置</w:t>
      </w:r>
      <w:r>
        <w:rPr>
          <w:rFonts w:hint="eastAsia" w:eastAsia="楷体_GB2312"/>
          <w:b/>
          <w:sz w:val="32"/>
          <w:szCs w:val="32"/>
          <w:highlight w:val="none"/>
          <w:lang w:eastAsia="zh-CN"/>
        </w:rPr>
        <w:t>：</w:t>
      </w:r>
      <w:r>
        <w:rPr>
          <w:rFonts w:hint="eastAsia" w:eastAsia="宋体" w:cs="宋体"/>
          <w:color w:val="000000"/>
          <w:sz w:val="30"/>
          <w:szCs w:val="30"/>
        </w:rPr>
        <w:t>（</w:t>
      </w:r>
      <w:r>
        <w:rPr>
          <w:rFonts w:hint="eastAsia" w:eastAsia="宋体" w:cs="宋体"/>
          <w:color w:val="000000"/>
          <w:sz w:val="30"/>
          <w:szCs w:val="30"/>
          <w:lang w:val="en-US" w:eastAsia="zh-CN"/>
        </w:rPr>
        <w:t>1）</w:t>
      </w:r>
      <w:r>
        <w:rPr>
          <w:rFonts w:hint="eastAsia" w:eastAsia="宋体" w:cs="宋体"/>
          <w:color w:val="000000"/>
          <w:sz w:val="30"/>
          <w:szCs w:val="30"/>
        </w:rPr>
        <w:t>办公室</w:t>
      </w:r>
      <w:r>
        <w:rPr>
          <w:rFonts w:hint="eastAsia" w:eastAsia="宋体" w:cs="宋体"/>
          <w:color w:val="000000"/>
          <w:sz w:val="30"/>
          <w:szCs w:val="30"/>
          <w:lang w:eastAsia="zh-CN"/>
        </w:rPr>
        <w:t>。</w:t>
      </w:r>
      <w:r>
        <w:rPr>
          <w:rFonts w:hint="eastAsia" w:eastAsia="宋体" w:cs="宋体"/>
          <w:color w:val="000000"/>
          <w:sz w:val="30"/>
          <w:szCs w:val="30"/>
        </w:rPr>
        <w:t>负责机关文电、会务、机要、保密、档案、公务接待、公务车辆管理、保卫、值班安排等机关服务保障及机关信息化建设工作。（</w:t>
      </w:r>
      <w:r>
        <w:rPr>
          <w:rFonts w:hint="eastAsia" w:eastAsia="宋体" w:cs="宋体"/>
          <w:color w:val="000000"/>
          <w:sz w:val="30"/>
          <w:szCs w:val="30"/>
          <w:lang w:val="en-US" w:eastAsia="zh-CN"/>
        </w:rPr>
        <w:t>2</w:t>
      </w:r>
      <w:r>
        <w:rPr>
          <w:rFonts w:hint="eastAsia" w:eastAsia="宋体" w:cs="宋体"/>
          <w:color w:val="000000"/>
          <w:sz w:val="30"/>
          <w:szCs w:val="30"/>
        </w:rPr>
        <w:t>）政工和人事财务室。负责党的建设，掌握全区政法队伍和领导班子建设情况，推动党风廉政建设。（</w:t>
      </w:r>
      <w:r>
        <w:rPr>
          <w:rFonts w:hint="eastAsia" w:eastAsia="宋体" w:cs="宋体"/>
          <w:color w:val="000000"/>
          <w:sz w:val="30"/>
          <w:szCs w:val="30"/>
          <w:lang w:val="en-US" w:eastAsia="zh-CN"/>
        </w:rPr>
        <w:t>3</w:t>
      </w:r>
      <w:r>
        <w:rPr>
          <w:rFonts w:hint="eastAsia" w:eastAsia="宋体" w:cs="宋体"/>
          <w:color w:val="000000"/>
          <w:sz w:val="30"/>
          <w:szCs w:val="30"/>
        </w:rPr>
        <w:t>）维稳和政治安全办（反邪教协调办）。协调处理影响社会稳定的重大事项。（</w:t>
      </w:r>
      <w:r>
        <w:rPr>
          <w:rFonts w:hint="eastAsia" w:eastAsia="宋体" w:cs="宋体"/>
          <w:color w:val="000000"/>
          <w:sz w:val="30"/>
          <w:szCs w:val="30"/>
          <w:lang w:val="en-US" w:eastAsia="zh-CN"/>
        </w:rPr>
        <w:t>4</w:t>
      </w:r>
      <w:r>
        <w:rPr>
          <w:rFonts w:hint="eastAsia" w:eastAsia="宋体" w:cs="宋体"/>
          <w:color w:val="000000"/>
          <w:sz w:val="30"/>
          <w:szCs w:val="30"/>
        </w:rPr>
        <w:t>）综治和基层社会治理办。负责全区社会治安综合治理工作的组织协调、督导和考评。协调推进扫黑除恶、社会治安重点地区和突出治安问题的排查整治、社会治安防控体系建设。（</w:t>
      </w:r>
      <w:r>
        <w:rPr>
          <w:rFonts w:hint="eastAsia" w:eastAsia="宋体" w:cs="宋体"/>
          <w:color w:val="000000"/>
          <w:sz w:val="30"/>
          <w:szCs w:val="30"/>
          <w:lang w:val="en-US" w:eastAsia="zh-CN"/>
        </w:rPr>
        <w:t>5</w:t>
      </w:r>
      <w:r>
        <w:rPr>
          <w:rFonts w:hint="eastAsia" w:eastAsia="宋体" w:cs="宋体"/>
          <w:color w:val="000000"/>
          <w:sz w:val="30"/>
          <w:szCs w:val="30"/>
        </w:rPr>
        <w:t>）司法事务办（社区矫正股、普法治理股、人民参与促进法治股、公共法律服务股）。承办市司法局交办的工作。设区委依法治区办公室秘书组，承担区委依法治区办公室的具体工作。负责全面依法治区工作规划建设的协调工作。（</w:t>
      </w:r>
      <w:r>
        <w:rPr>
          <w:rFonts w:hint="eastAsia" w:eastAsia="宋体" w:cs="宋体"/>
          <w:color w:val="000000"/>
          <w:sz w:val="30"/>
          <w:szCs w:val="30"/>
          <w:lang w:val="en-US" w:eastAsia="zh-CN"/>
        </w:rPr>
        <w:t>6</w:t>
      </w:r>
      <w:r>
        <w:rPr>
          <w:rFonts w:hint="eastAsia" w:eastAsia="宋体" w:cs="宋体"/>
          <w:color w:val="000000"/>
          <w:sz w:val="30"/>
          <w:szCs w:val="30"/>
        </w:rPr>
        <w:t>）信访办（执法监督室）。承办市信访局、市长热线办交办工作。接待群众来访，办理群众信访诉求；负责交办督办重要来访事项，呈报信访动态。负责督查领导批示交办件的办理工作。办理书记、区长信箱，负责市长、区长热线 。</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大通湖区委政法委部门只有本级，没有其他预算单位，纳入编制范围的预算单位仅含大通湖区委政法委部门本级。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579.15</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rPr>
        <w:t>579.15</w:t>
      </w:r>
      <w:r>
        <w:rPr>
          <w:rFonts w:eastAsia="仿宋_GB2312"/>
          <w:sz w:val="32"/>
          <w:szCs w:val="32"/>
        </w:rPr>
        <w:t>万元。</w:t>
      </w:r>
      <w:r>
        <w:rPr>
          <w:rFonts w:eastAsia="仿宋_GB2312"/>
          <w:b/>
          <w:sz w:val="32"/>
          <w:szCs w:val="32"/>
          <w:highlight w:val="none"/>
        </w:rPr>
        <w:t>收入较去年减少</w:t>
      </w:r>
      <w:r>
        <w:rPr>
          <w:rFonts w:hint="eastAsia" w:eastAsia="仿宋_GB2312"/>
          <w:b/>
          <w:sz w:val="32"/>
          <w:szCs w:val="32"/>
          <w:highlight w:val="none"/>
          <w:u w:val="single"/>
          <w:lang w:val="en-US" w:eastAsia="zh-CN"/>
        </w:rPr>
        <w:t>24.68</w:t>
      </w:r>
      <w:r>
        <w:rPr>
          <w:rFonts w:eastAsia="仿宋_GB2312"/>
          <w:b/>
          <w:sz w:val="32"/>
          <w:szCs w:val="32"/>
          <w:highlight w:val="none"/>
        </w:rPr>
        <w:t>万元，主要是</w:t>
      </w:r>
      <w:r>
        <w:rPr>
          <w:rFonts w:hint="eastAsia" w:eastAsia="仿宋_GB2312"/>
          <w:b/>
          <w:sz w:val="32"/>
          <w:szCs w:val="32"/>
          <w:highlight w:val="none"/>
        </w:rPr>
        <w:t>预算整体压缩</w:t>
      </w:r>
      <w:r>
        <w:rPr>
          <w:rFonts w:eastAsia="仿宋_GB2312"/>
          <w:b/>
          <w:sz w:val="32"/>
          <w:szCs w:val="32"/>
          <w:highlight w:val="none"/>
        </w:rPr>
        <w:t>。</w:t>
      </w:r>
    </w:p>
    <w:p>
      <w:pPr>
        <w:widowControl/>
        <w:spacing w:line="600" w:lineRule="exact"/>
        <w:ind w:firstLine="630" w:firstLineChars="196"/>
        <w:rPr>
          <w:rFonts w:eastAsia="仿宋_GB2312"/>
          <w:b/>
          <w:bCs/>
          <w:color w:val="FF0000"/>
          <w:kern w:val="0"/>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rPr>
        <w:t>579.15</w:t>
      </w:r>
      <w:r>
        <w:rPr>
          <w:rFonts w:eastAsia="仿宋_GB2312"/>
          <w:sz w:val="32"/>
          <w:szCs w:val="32"/>
        </w:rPr>
        <w:t>万元，</w:t>
      </w:r>
      <w:r>
        <w:rPr>
          <w:rFonts w:hint="eastAsia" w:eastAsia="仿宋_GB2312"/>
          <w:sz w:val="32"/>
          <w:szCs w:val="32"/>
        </w:rPr>
        <w:t>其中，公共服务支出423.66万元、公共安全支出51万元、社会保障和就业支出52.31万元，卫生健康支出27.05万元，住房保障支出25.13万元。支出较去年减少</w:t>
      </w:r>
      <w:r>
        <w:rPr>
          <w:rFonts w:hint="eastAsia" w:eastAsia="仿宋_GB2312"/>
          <w:sz w:val="32"/>
          <w:szCs w:val="32"/>
          <w:lang w:val="en-US" w:eastAsia="zh-CN"/>
        </w:rPr>
        <w:t>24.68</w:t>
      </w:r>
      <w:r>
        <w:rPr>
          <w:rFonts w:hint="eastAsia" w:eastAsia="仿宋_GB2312"/>
          <w:sz w:val="32"/>
          <w:szCs w:val="32"/>
        </w:rPr>
        <w:t>万元，减少4.</w:t>
      </w:r>
      <w:r>
        <w:rPr>
          <w:rFonts w:hint="eastAsia" w:eastAsia="仿宋_GB2312"/>
          <w:sz w:val="32"/>
          <w:szCs w:val="32"/>
          <w:lang w:val="en-US" w:eastAsia="zh-CN"/>
        </w:rPr>
        <w:t>26</w:t>
      </w:r>
      <w:r>
        <w:rPr>
          <w:rFonts w:hint="eastAsia" w:eastAsia="仿宋_GB2312"/>
          <w:sz w:val="32"/>
          <w:szCs w:val="32"/>
        </w:rPr>
        <w:t>%。主要原因：主要原因是除开项目支出，其他预算整体压缩10%。</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579.15</w:t>
      </w:r>
      <w:r>
        <w:rPr>
          <w:rFonts w:eastAsia="仿宋_GB2312"/>
          <w:sz w:val="32"/>
          <w:szCs w:val="32"/>
        </w:rPr>
        <w:t>万元，</w:t>
      </w:r>
      <w:r>
        <w:rPr>
          <w:rFonts w:eastAsia="仿宋_GB2312"/>
          <w:sz w:val="32"/>
          <w:szCs w:val="32"/>
          <w:highlight w:val="none"/>
        </w:rPr>
        <w:t>其中，一般公共服务支出</w:t>
      </w:r>
      <w:r>
        <w:rPr>
          <w:rFonts w:hint="eastAsia" w:eastAsia="仿宋_GB2312"/>
          <w:sz w:val="32"/>
          <w:szCs w:val="32"/>
          <w:highlight w:val="none"/>
          <w:u w:val="single"/>
          <w:lang w:val="en-US" w:eastAsia="zh-CN"/>
        </w:rPr>
        <w:t>423.66</w:t>
      </w:r>
      <w:r>
        <w:rPr>
          <w:rFonts w:eastAsia="仿宋_GB2312"/>
          <w:sz w:val="32"/>
          <w:szCs w:val="32"/>
          <w:highlight w:val="none"/>
        </w:rPr>
        <w:t>万元，占</w:t>
      </w:r>
      <w:r>
        <w:rPr>
          <w:rFonts w:hint="eastAsia" w:eastAsia="仿宋_GB2312"/>
          <w:sz w:val="32"/>
          <w:szCs w:val="32"/>
          <w:highlight w:val="none"/>
          <w:u w:val="single"/>
          <w:lang w:val="en-US" w:eastAsia="zh-CN"/>
        </w:rPr>
        <w:t>73.15</w:t>
      </w:r>
      <w:r>
        <w:rPr>
          <w:rFonts w:eastAsia="仿宋_GB2312"/>
          <w:sz w:val="32"/>
          <w:szCs w:val="32"/>
          <w:highlight w:val="none"/>
        </w:rPr>
        <w:t xml:space="preserve"> %；公共安全支出</w:t>
      </w:r>
      <w:r>
        <w:rPr>
          <w:rFonts w:hint="eastAsia" w:eastAsia="仿宋_GB2312"/>
          <w:sz w:val="32"/>
          <w:szCs w:val="32"/>
          <w:highlight w:val="none"/>
          <w:u w:val="single"/>
          <w:lang w:val="en-US" w:eastAsia="zh-CN"/>
        </w:rPr>
        <w:t>51</w:t>
      </w:r>
      <w:r>
        <w:rPr>
          <w:rFonts w:eastAsia="仿宋_GB2312"/>
          <w:sz w:val="32"/>
          <w:szCs w:val="32"/>
          <w:highlight w:val="none"/>
        </w:rPr>
        <w:t>万元，占</w:t>
      </w:r>
      <w:r>
        <w:rPr>
          <w:rFonts w:hint="eastAsia" w:eastAsia="仿宋_GB2312"/>
          <w:sz w:val="32"/>
          <w:szCs w:val="32"/>
          <w:highlight w:val="none"/>
          <w:u w:val="single"/>
          <w:lang w:val="en-US" w:eastAsia="zh-CN"/>
        </w:rPr>
        <w:t>8.81</w:t>
      </w:r>
      <w:r>
        <w:rPr>
          <w:rFonts w:eastAsia="仿宋_GB2312"/>
          <w:sz w:val="32"/>
          <w:szCs w:val="32"/>
          <w:highlight w:val="none"/>
        </w:rPr>
        <w:t xml:space="preserve"> %；</w:t>
      </w:r>
      <w:r>
        <w:rPr>
          <w:rFonts w:hint="eastAsia" w:eastAsia="仿宋_GB2312"/>
          <w:sz w:val="32"/>
          <w:szCs w:val="32"/>
          <w:highlight w:val="none"/>
        </w:rPr>
        <w:t>社会保障和就业支出</w:t>
      </w:r>
      <w:r>
        <w:rPr>
          <w:rFonts w:hint="eastAsia" w:eastAsia="仿宋_GB2312"/>
          <w:sz w:val="32"/>
          <w:szCs w:val="32"/>
          <w:highlight w:val="none"/>
          <w:u w:val="single"/>
          <w:lang w:val="en-US" w:eastAsia="zh-CN"/>
        </w:rPr>
        <w:t>52.31</w:t>
      </w:r>
      <w:r>
        <w:rPr>
          <w:rFonts w:hint="eastAsia" w:eastAsia="仿宋_GB2312"/>
          <w:sz w:val="32"/>
          <w:szCs w:val="32"/>
          <w:highlight w:val="none"/>
          <w:lang w:val="en-US" w:eastAsia="zh-CN"/>
        </w:rPr>
        <w:t>万元，占</w:t>
      </w:r>
      <w:r>
        <w:rPr>
          <w:rFonts w:hint="eastAsia" w:eastAsia="仿宋_GB2312"/>
          <w:sz w:val="32"/>
          <w:szCs w:val="32"/>
          <w:highlight w:val="none"/>
          <w:u w:val="single"/>
          <w:lang w:val="en-US" w:eastAsia="zh-CN"/>
        </w:rPr>
        <w:t>9.03</w:t>
      </w:r>
      <w:r>
        <w:rPr>
          <w:rFonts w:hint="eastAsia" w:eastAsia="仿宋_GB2312"/>
          <w:sz w:val="32"/>
          <w:szCs w:val="32"/>
          <w:highlight w:val="none"/>
          <w:lang w:val="en-US" w:eastAsia="zh-CN"/>
        </w:rPr>
        <w:t>%；医疗健康支出</w:t>
      </w:r>
      <w:r>
        <w:rPr>
          <w:rFonts w:hint="eastAsia" w:eastAsia="仿宋_GB2312"/>
          <w:sz w:val="32"/>
          <w:szCs w:val="32"/>
          <w:highlight w:val="none"/>
          <w:u w:val="single"/>
          <w:lang w:val="en-US" w:eastAsia="zh-CN"/>
        </w:rPr>
        <w:t>27.05</w:t>
      </w:r>
      <w:r>
        <w:rPr>
          <w:rFonts w:hint="eastAsia" w:eastAsia="仿宋_GB2312"/>
          <w:sz w:val="32"/>
          <w:szCs w:val="32"/>
          <w:highlight w:val="none"/>
          <w:lang w:val="en-US" w:eastAsia="zh-CN"/>
        </w:rPr>
        <w:t>万元，占</w:t>
      </w:r>
      <w:r>
        <w:rPr>
          <w:rFonts w:hint="eastAsia" w:eastAsia="仿宋_GB2312"/>
          <w:sz w:val="32"/>
          <w:szCs w:val="32"/>
          <w:highlight w:val="none"/>
          <w:u w:val="single"/>
          <w:lang w:val="en-US" w:eastAsia="zh-CN"/>
        </w:rPr>
        <w:t>4.67</w:t>
      </w:r>
      <w:r>
        <w:rPr>
          <w:rFonts w:hint="eastAsia" w:eastAsia="仿宋_GB2312"/>
          <w:sz w:val="32"/>
          <w:szCs w:val="32"/>
          <w:highlight w:val="none"/>
          <w:lang w:val="en-US" w:eastAsia="zh-CN"/>
        </w:rPr>
        <w:t>%；住房保障支出</w:t>
      </w:r>
      <w:r>
        <w:rPr>
          <w:rFonts w:hint="eastAsia" w:eastAsia="仿宋_GB2312"/>
          <w:sz w:val="32"/>
          <w:szCs w:val="32"/>
          <w:highlight w:val="none"/>
          <w:u w:val="single"/>
          <w:lang w:val="en-US" w:eastAsia="zh-CN"/>
        </w:rPr>
        <w:t>25.13</w:t>
      </w:r>
      <w:r>
        <w:rPr>
          <w:rFonts w:hint="eastAsia" w:eastAsia="仿宋_GB2312"/>
          <w:sz w:val="32"/>
          <w:szCs w:val="32"/>
          <w:highlight w:val="none"/>
          <w:lang w:val="en-US" w:eastAsia="zh-CN"/>
        </w:rPr>
        <w:t>万元，占</w:t>
      </w:r>
      <w:r>
        <w:rPr>
          <w:rFonts w:hint="eastAsia" w:eastAsia="仿宋_GB2312"/>
          <w:sz w:val="32"/>
          <w:szCs w:val="32"/>
          <w:highlight w:val="none"/>
          <w:u w:val="single"/>
          <w:lang w:val="en-US" w:eastAsia="zh-CN"/>
        </w:rPr>
        <w:t>4.34</w:t>
      </w:r>
      <w:r>
        <w:rPr>
          <w:rFonts w:hint="eastAsia" w:eastAsia="仿宋_GB2312"/>
          <w:sz w:val="32"/>
          <w:szCs w:val="32"/>
          <w:highlight w:val="none"/>
          <w:lang w:val="en-US" w:eastAsia="zh-CN"/>
        </w:rPr>
        <w:t>%</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rPr>
        <w:t>385.09</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none"/>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rPr>
        <w:t>194.06</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u w:val="single"/>
        </w:rPr>
        <w:t>一般公共服务</w:t>
      </w:r>
      <w:r>
        <w:rPr>
          <w:rFonts w:eastAsia="仿宋_GB2312"/>
          <w:sz w:val="32"/>
          <w:szCs w:val="32"/>
          <w:highlight w:val="none"/>
        </w:rPr>
        <w:t>支出</w:t>
      </w:r>
      <w:r>
        <w:rPr>
          <w:rFonts w:hint="eastAsia" w:eastAsia="仿宋_GB2312"/>
          <w:sz w:val="32"/>
          <w:szCs w:val="32"/>
          <w:highlight w:val="none"/>
          <w:u w:val="single"/>
          <w:lang w:val="en-US" w:eastAsia="zh-CN"/>
        </w:rPr>
        <w:t>143.06</w:t>
      </w:r>
      <w:r>
        <w:rPr>
          <w:rFonts w:eastAsia="仿宋_GB2312"/>
          <w:sz w:val="32"/>
          <w:szCs w:val="32"/>
          <w:highlight w:val="none"/>
        </w:rPr>
        <w:t>万元，主要用于</w:t>
      </w:r>
      <w:r>
        <w:rPr>
          <w:rFonts w:hint="eastAsia" w:eastAsia="仿宋_GB2312"/>
          <w:sz w:val="32"/>
          <w:szCs w:val="32"/>
          <w:highlight w:val="none"/>
        </w:rPr>
        <w:t>信访事务</w:t>
      </w:r>
      <w:r>
        <w:rPr>
          <w:rFonts w:hint="eastAsia" w:eastAsia="仿宋_GB2312"/>
          <w:sz w:val="32"/>
          <w:szCs w:val="32"/>
          <w:highlight w:val="none"/>
          <w:lang w:eastAsia="zh-CN"/>
        </w:rPr>
        <w:t>、行政运行、一般行政管理事务、专项业务</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公共安全支出</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51</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一般行政管理事务（司法）</w:t>
      </w:r>
      <w:r>
        <w:rPr>
          <w:rFonts w:hint="eastAsia" w:eastAsia="仿宋_GB2312"/>
          <w:sz w:val="32"/>
          <w:szCs w:val="32"/>
          <w:highlight w:val="none"/>
          <w:lang w:eastAsia="zh-CN"/>
        </w:rPr>
        <w:t>、基层司法业务、普法宣传、律师管理、公共法律援助、社区矫正</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highlight w:val="none"/>
        </w:rPr>
        <w:t>五、</w:t>
      </w:r>
      <w:r>
        <w:rPr>
          <w:rFonts w:eastAsia="黑体"/>
          <w:sz w:val="32"/>
          <w:szCs w:val="32"/>
        </w:rPr>
        <w:t>政府性基金预算支出</w:t>
      </w:r>
    </w:p>
    <w:p>
      <w:pPr>
        <w:widowControl/>
        <w:spacing w:line="600" w:lineRule="exact"/>
        <w:ind w:firstLine="660"/>
        <w:jc w:val="left"/>
        <w:rPr>
          <w:rFonts w:eastAsia="仿宋_GB2312"/>
          <w:b w:val="0"/>
          <w:bCs/>
          <w:color w:val="000000" w:themeColor="text1"/>
          <w:sz w:val="32"/>
          <w:szCs w:val="32"/>
          <w14:textFill>
            <w14:solidFill>
              <w14:schemeClr w14:val="tx1"/>
            </w14:solidFill>
          </w14:textFill>
        </w:rPr>
      </w:pPr>
      <w:r>
        <w:rPr>
          <w:rFonts w:eastAsia="仿宋_GB2312"/>
          <w:b w:val="0"/>
          <w:bCs/>
          <w:color w:val="000000" w:themeColor="text1"/>
          <w:sz w:val="32"/>
          <w:szCs w:val="32"/>
          <w14:textFill>
            <w14:solidFill>
              <w14:schemeClr w14:val="tx1"/>
            </w14:solidFill>
          </w14:textFill>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579.15</w:t>
      </w:r>
      <w:r>
        <w:rPr>
          <w:rFonts w:eastAsia="仿宋_GB2312"/>
          <w:sz w:val="32"/>
          <w:szCs w:val="32"/>
        </w:rPr>
        <w:t>万元，比上年预算减少</w:t>
      </w:r>
      <w:r>
        <w:rPr>
          <w:rFonts w:hint="eastAsia" w:eastAsia="仿宋_GB2312"/>
          <w:sz w:val="32"/>
          <w:szCs w:val="32"/>
        </w:rPr>
        <w:t>24</w:t>
      </w:r>
      <w:r>
        <w:rPr>
          <w:rFonts w:eastAsia="仿宋_GB2312"/>
          <w:sz w:val="32"/>
          <w:szCs w:val="32"/>
        </w:rPr>
        <w:t>万元，下降</w:t>
      </w:r>
      <w:r>
        <w:rPr>
          <w:rFonts w:hint="eastAsia" w:eastAsia="仿宋_GB2312"/>
          <w:sz w:val="32"/>
          <w:szCs w:val="32"/>
        </w:rPr>
        <w:t>4.0</w:t>
      </w:r>
      <w:r>
        <w:rPr>
          <w:rFonts w:eastAsia="仿宋_GB2312"/>
          <w:sz w:val="32"/>
          <w:szCs w:val="32"/>
        </w:rPr>
        <w:t>%，主要是</w:t>
      </w:r>
      <w:r>
        <w:rPr>
          <w:rFonts w:hint="eastAsia" w:eastAsia="仿宋_GB2312"/>
          <w:sz w:val="32"/>
          <w:szCs w:val="32"/>
        </w:rPr>
        <w:t>部门预算编制改革，调整支出结构，将运转经费人均0.8万元调整至行政单位人均2.5万元、全额事业单位人均1.5万元，相应减少项目支出预算。</w:t>
      </w:r>
    </w:p>
    <w:p>
      <w:pPr>
        <w:widowControl/>
        <w:spacing w:line="600" w:lineRule="exact"/>
        <w:ind w:firstLine="660"/>
        <w:rPr>
          <w:rFonts w:eastAsia="仿宋_GB2312"/>
          <w:sz w:val="32"/>
          <w:szCs w:val="32"/>
          <w:highlight w:val="red"/>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40</w:t>
      </w:r>
      <w:r>
        <w:rPr>
          <w:rFonts w:eastAsia="仿宋_GB2312"/>
          <w:sz w:val="32"/>
          <w:szCs w:val="32"/>
        </w:rPr>
        <w:t>万元，其中，公务接待费</w:t>
      </w:r>
      <w:r>
        <w:rPr>
          <w:rFonts w:hint="eastAsia" w:eastAsia="仿宋_GB2312"/>
          <w:sz w:val="32"/>
          <w:szCs w:val="32"/>
          <w:u w:val="single"/>
          <w:lang w:val="en-US" w:eastAsia="zh-CN"/>
        </w:rPr>
        <w:t>25</w:t>
      </w:r>
      <w:r>
        <w:rPr>
          <w:rFonts w:eastAsia="仿宋_GB2312"/>
          <w:sz w:val="32"/>
          <w:szCs w:val="32"/>
        </w:rPr>
        <w:t>万元，公务用车购置及运行费</w:t>
      </w:r>
      <w:r>
        <w:rPr>
          <w:rFonts w:hint="eastAsia" w:eastAsia="仿宋_GB2312"/>
          <w:sz w:val="32"/>
          <w:szCs w:val="32"/>
          <w:u w:val="single"/>
          <w:lang w:val="en-US" w:eastAsia="zh-CN"/>
        </w:rPr>
        <w:t>15</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15</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rPr>
        <w:t>人员机构无变化</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eastAsia="楷体_GB2312"/>
          <w:b/>
          <w:sz w:val="32"/>
          <w:szCs w:val="32"/>
          <w:highlight w:val="none"/>
        </w:rPr>
        <w:t>：</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w:t>
      </w:r>
      <w:r>
        <w:rPr>
          <w:rFonts w:eastAsia="仿宋_GB2312"/>
          <w:sz w:val="32"/>
          <w:szCs w:val="32"/>
          <w:highlight w:val="none"/>
          <w:u w:val="single"/>
        </w:rPr>
        <w:t xml:space="preserve"> </w:t>
      </w:r>
      <w:r>
        <w:rPr>
          <w:rFonts w:eastAsia="仿宋_GB2312"/>
          <w:kern w:val="0"/>
          <w:sz w:val="32"/>
          <w:szCs w:val="32"/>
          <w:highlight w:val="none"/>
        </w:rPr>
        <w:t>万元，拟召开</w:t>
      </w:r>
      <w:r>
        <w:rPr>
          <w:rFonts w:hint="eastAsia" w:eastAsia="仿宋_GB2312"/>
          <w:sz w:val="32"/>
          <w:szCs w:val="32"/>
          <w:highlight w:val="none"/>
          <w:u w:val="single"/>
          <w:lang w:val="en-US" w:eastAsia="zh-CN"/>
        </w:rPr>
        <w:t>司法</w:t>
      </w:r>
      <w:r>
        <w:rPr>
          <w:rFonts w:hint="eastAsia" w:eastAsia="仿宋_GB2312"/>
          <w:sz w:val="32"/>
          <w:szCs w:val="32"/>
          <w:highlight w:val="none"/>
          <w:u w:val="none"/>
          <w:lang w:val="en-US" w:eastAsia="zh-CN"/>
        </w:rPr>
        <w:t>、</w:t>
      </w:r>
      <w:r>
        <w:rPr>
          <w:rFonts w:hint="eastAsia" w:eastAsia="仿宋_GB2312"/>
          <w:sz w:val="32"/>
          <w:szCs w:val="32"/>
          <w:highlight w:val="none"/>
          <w:u w:val="single"/>
          <w:lang w:val="en-US" w:eastAsia="zh-CN"/>
        </w:rPr>
        <w:t>民调</w:t>
      </w:r>
      <w:r>
        <w:rPr>
          <w:rFonts w:eastAsia="仿宋_GB2312"/>
          <w:kern w:val="0"/>
          <w:sz w:val="32"/>
          <w:szCs w:val="32"/>
          <w:highlight w:val="none"/>
        </w:rPr>
        <w:t>会议，人数</w:t>
      </w:r>
      <w:r>
        <w:rPr>
          <w:rFonts w:hint="eastAsia" w:eastAsia="仿宋_GB2312"/>
          <w:sz w:val="32"/>
          <w:szCs w:val="32"/>
          <w:highlight w:val="none"/>
          <w:u w:val="single"/>
          <w:lang w:val="en-US" w:eastAsia="zh-CN"/>
        </w:rPr>
        <w:t>400</w:t>
      </w:r>
      <w:r>
        <w:rPr>
          <w:rFonts w:eastAsia="仿宋_GB2312"/>
          <w:kern w:val="0"/>
          <w:sz w:val="32"/>
          <w:szCs w:val="32"/>
          <w:highlight w:val="none"/>
        </w:rPr>
        <w:t>人，内容为</w:t>
      </w:r>
      <w:r>
        <w:rPr>
          <w:rFonts w:hint="eastAsia" w:eastAsia="仿宋_GB2312"/>
          <w:sz w:val="32"/>
          <w:szCs w:val="32"/>
          <w:highlight w:val="none"/>
          <w:u w:val="single"/>
          <w:lang w:val="en-US" w:eastAsia="zh-CN"/>
        </w:rPr>
        <w:t>司法视频会议超时</w:t>
      </w:r>
      <w:r>
        <w:rPr>
          <w:rFonts w:hint="eastAsia" w:eastAsia="仿宋_GB2312"/>
          <w:sz w:val="32"/>
          <w:szCs w:val="32"/>
          <w:highlight w:val="none"/>
          <w:u w:val="none"/>
          <w:lang w:val="en-US" w:eastAsia="zh-CN"/>
        </w:rPr>
        <w:t>，</w:t>
      </w:r>
      <w:r>
        <w:rPr>
          <w:rFonts w:hint="eastAsia" w:eastAsia="仿宋_GB2312"/>
          <w:sz w:val="32"/>
          <w:szCs w:val="32"/>
          <w:highlight w:val="none"/>
          <w:u w:val="single"/>
          <w:lang w:val="en-US" w:eastAsia="zh-CN"/>
        </w:rPr>
        <w:t>民调动员会议</w:t>
      </w:r>
      <w:r>
        <w:rPr>
          <w:rFonts w:eastAsia="仿宋_GB2312"/>
          <w:kern w:val="0"/>
          <w:sz w:val="32"/>
          <w:szCs w:val="32"/>
          <w:highlight w:val="none"/>
        </w:rPr>
        <w:t>；培训费预算</w:t>
      </w:r>
      <w:r>
        <w:rPr>
          <w:rFonts w:hint="eastAsia" w:eastAsia="仿宋_GB2312"/>
          <w:sz w:val="32"/>
          <w:szCs w:val="32"/>
          <w:highlight w:val="none"/>
          <w:u w:val="single"/>
          <w:lang w:val="en-US" w:eastAsia="zh-CN"/>
        </w:rPr>
        <w:t>1</w:t>
      </w:r>
      <w:r>
        <w:rPr>
          <w:rFonts w:eastAsia="仿宋_GB2312"/>
          <w:kern w:val="0"/>
          <w:sz w:val="32"/>
          <w:szCs w:val="32"/>
          <w:highlight w:val="none"/>
        </w:rPr>
        <w:t>万元，拟开展</w:t>
      </w:r>
      <w:r>
        <w:rPr>
          <w:rFonts w:hint="eastAsia" w:eastAsia="仿宋_GB2312"/>
          <w:kern w:val="0"/>
          <w:sz w:val="32"/>
          <w:szCs w:val="32"/>
          <w:highlight w:val="none"/>
          <w:u w:val="single"/>
          <w:lang w:val="en-US" w:eastAsia="zh-CN"/>
        </w:rPr>
        <w:t>人员</w:t>
      </w:r>
      <w:r>
        <w:rPr>
          <w:rFonts w:eastAsia="仿宋_GB2312"/>
          <w:kern w:val="0"/>
          <w:sz w:val="32"/>
          <w:szCs w:val="32"/>
          <w:highlight w:val="none"/>
        </w:rPr>
        <w:t>培训，人数</w:t>
      </w:r>
      <w:r>
        <w:rPr>
          <w:rFonts w:hint="eastAsia" w:eastAsia="仿宋_GB2312"/>
          <w:sz w:val="32"/>
          <w:szCs w:val="32"/>
          <w:highlight w:val="none"/>
          <w:u w:val="single"/>
          <w:lang w:val="en-US" w:eastAsia="zh-CN"/>
        </w:rPr>
        <w:t>33</w:t>
      </w:r>
      <w:r>
        <w:rPr>
          <w:rFonts w:eastAsia="仿宋_GB2312"/>
          <w:kern w:val="0"/>
          <w:sz w:val="32"/>
          <w:szCs w:val="32"/>
          <w:highlight w:val="none"/>
        </w:rPr>
        <w:t>人，内容为</w:t>
      </w:r>
      <w:r>
        <w:rPr>
          <w:rFonts w:hint="eastAsia" w:eastAsia="仿宋_GB2312"/>
          <w:sz w:val="32"/>
          <w:szCs w:val="32"/>
          <w:highlight w:val="none"/>
          <w:u w:val="single"/>
        </w:rPr>
        <w:t>信访</w:t>
      </w:r>
      <w:r>
        <w:rPr>
          <w:rFonts w:hint="eastAsia" w:eastAsia="仿宋_GB2312"/>
          <w:sz w:val="32"/>
          <w:szCs w:val="32"/>
          <w:highlight w:val="none"/>
          <w:u w:val="none"/>
        </w:rPr>
        <w:t>，</w:t>
      </w:r>
      <w:r>
        <w:rPr>
          <w:rFonts w:hint="eastAsia" w:eastAsia="仿宋_GB2312"/>
          <w:sz w:val="32"/>
          <w:szCs w:val="32"/>
          <w:highlight w:val="none"/>
          <w:u w:val="single"/>
        </w:rPr>
        <w:t>司法</w:t>
      </w:r>
      <w:r>
        <w:rPr>
          <w:rFonts w:hint="eastAsia" w:eastAsia="仿宋_GB2312"/>
          <w:sz w:val="32"/>
          <w:szCs w:val="32"/>
          <w:highlight w:val="none"/>
          <w:u w:val="none"/>
          <w:lang w:val="en-US" w:eastAsia="zh-CN"/>
        </w:rPr>
        <w:t>等</w:t>
      </w:r>
      <w:r>
        <w:rPr>
          <w:rFonts w:eastAsia="仿宋_GB2312"/>
          <w:kern w:val="0"/>
          <w:sz w:val="32"/>
          <w:szCs w:val="32"/>
          <w:highlight w:val="none"/>
        </w:rPr>
        <w:t>；拟举办</w:t>
      </w:r>
      <w:r>
        <w:rPr>
          <w:rFonts w:hint="eastAsia" w:eastAsia="仿宋_GB2312"/>
          <w:sz w:val="32"/>
          <w:szCs w:val="32"/>
          <w:highlight w:val="none"/>
          <w:u w:val="single"/>
          <w:lang w:val="en-US" w:eastAsia="zh-CN"/>
        </w:rPr>
        <w:t>元旦</w:t>
      </w:r>
      <w:r>
        <w:rPr>
          <w:rFonts w:hint="eastAsia" w:eastAsia="仿宋_GB2312"/>
          <w:sz w:val="32"/>
          <w:szCs w:val="32"/>
          <w:highlight w:val="none"/>
          <w:u w:val="none"/>
          <w:lang w:val="en-US" w:eastAsia="zh-CN"/>
        </w:rPr>
        <w:t>，</w:t>
      </w:r>
      <w:r>
        <w:rPr>
          <w:rFonts w:hint="eastAsia" w:eastAsia="仿宋_GB2312"/>
          <w:sz w:val="32"/>
          <w:szCs w:val="32"/>
          <w:highlight w:val="none"/>
          <w:u w:val="single"/>
          <w:lang w:val="en-US" w:eastAsia="zh-CN"/>
        </w:rPr>
        <w:t>春节</w:t>
      </w:r>
      <w:r>
        <w:rPr>
          <w:rFonts w:eastAsia="仿宋_GB2312"/>
          <w:kern w:val="0"/>
          <w:sz w:val="32"/>
          <w:szCs w:val="32"/>
          <w:highlight w:val="none"/>
        </w:rPr>
        <w:t>等节庆、晚会、论坛、赛事活动，经费预算</w:t>
      </w:r>
      <w:r>
        <w:rPr>
          <w:rFonts w:hint="eastAsia" w:eastAsia="仿宋_GB2312"/>
          <w:kern w:val="0"/>
          <w:sz w:val="32"/>
          <w:szCs w:val="32"/>
          <w:highlight w:val="none"/>
          <w:lang w:val="en-US" w:eastAsia="zh-CN"/>
        </w:rPr>
        <w:t>2</w:t>
      </w:r>
      <w:r>
        <w:rPr>
          <w:rFonts w:eastAsia="仿宋_GB2312"/>
          <w:kern w:val="0"/>
          <w:sz w:val="32"/>
          <w:szCs w:val="32"/>
          <w:highlight w:val="none"/>
        </w:rPr>
        <w:t>万元。</w:t>
      </w:r>
    </w:p>
    <w:p>
      <w:pPr>
        <w:widowControl/>
        <w:spacing w:line="600" w:lineRule="exact"/>
        <w:ind w:firstLine="660"/>
        <w:rPr>
          <w:rFonts w:eastAsia="仿宋_GB2312"/>
          <w:sz w:val="32"/>
          <w:szCs w:val="32"/>
        </w:rPr>
      </w:pPr>
      <w:bookmarkStart w:id="0" w:name="_GoBack"/>
      <w:bookmarkEnd w:id="0"/>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其中，货物类采购预算0万元；工程类采购预算0万元；服务类采购预算0万元。</w:t>
      </w:r>
    </w:p>
    <w:p>
      <w:pPr>
        <w:widowControl/>
        <w:spacing w:line="600" w:lineRule="exact"/>
        <w:ind w:firstLine="660"/>
        <w:jc w:val="left"/>
        <w:rPr>
          <w:rFonts w:hint="eastAsia" w:eastAsia="仿宋_GB2312"/>
          <w:color w:val="FF000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1</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1</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u w:val="single"/>
          <w:lang w:val="en-US" w:eastAsia="zh-CN"/>
        </w:rPr>
        <w:t>890.8</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lang w:val="en-US" w:eastAsia="zh-CN"/>
        </w:rPr>
        <w:t>685.23</w:t>
      </w:r>
      <w:r>
        <w:rPr>
          <w:rFonts w:hint="eastAsia" w:eastAsia="仿宋_GB2312"/>
          <w:bCs/>
          <w:kern w:val="0"/>
          <w:sz w:val="32"/>
          <w:szCs w:val="32"/>
          <w:highlight w:val="none"/>
        </w:rPr>
        <w:t>万元，单位项目支出</w:t>
      </w:r>
      <w:r>
        <w:rPr>
          <w:rFonts w:hint="eastAsia" w:eastAsia="仿宋_GB2312"/>
          <w:bCs/>
          <w:kern w:val="0"/>
          <w:sz w:val="32"/>
          <w:szCs w:val="32"/>
          <w:highlight w:val="none"/>
          <w:u w:val="single"/>
          <w:lang w:val="en-US" w:eastAsia="zh-CN"/>
        </w:rPr>
        <w:t>205.57</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9"/>
        <w:ind w:firstLine="320" w:firstLineChars="100"/>
        <w:jc w:val="left"/>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9"/>
        <w:ind w:firstLine="320" w:firstLineChars="100"/>
        <w:jc w:val="center"/>
        <w:rPr>
          <w:rFonts w:hint="eastAsia" w:eastAsia="仿宋_GB2312"/>
          <w:sz w:val="32"/>
          <w:szCs w:val="32"/>
        </w:rPr>
      </w:pPr>
    </w:p>
    <w:p>
      <w:pPr>
        <w:pStyle w:val="9"/>
        <w:ind w:firstLine="320" w:firstLineChars="100"/>
        <w:jc w:val="center"/>
        <w:rPr>
          <w:rFonts w:hint="eastAsia" w:eastAsia="仿宋_GB2312"/>
          <w:sz w:val="32"/>
          <w:szCs w:val="32"/>
        </w:rPr>
      </w:pPr>
    </w:p>
    <w:p>
      <w:pPr>
        <w:pStyle w:val="9"/>
        <w:ind w:firstLine="442" w:firstLineChars="100"/>
        <w:jc w:val="center"/>
        <w:rPr>
          <w:rFonts w:hint="eastAsia" w:ascii="宋体" w:hAnsi="宋体" w:eastAsia="宋体" w:cs="宋体"/>
          <w:b w:val="0"/>
          <w:bCs w:val="0"/>
          <w:color w:val="000000"/>
          <w:sz w:val="28"/>
          <w:szCs w:val="28"/>
        </w:rPr>
      </w:pPr>
      <w:r>
        <w:rPr>
          <w:rFonts w:hint="eastAsia" w:ascii="宋体" w:hAnsi="宋体" w:eastAsia="宋体" w:cs="宋体"/>
          <w:b/>
          <w:bCs/>
          <w:color w:val="000000"/>
          <w:sz w:val="44"/>
          <w:szCs w:val="44"/>
        </w:rPr>
        <w:t>20</w:t>
      </w:r>
      <w:r>
        <w:rPr>
          <w:rFonts w:hint="eastAsia" w:ascii="宋体" w:hAnsi="宋体" w:eastAsia="宋体" w:cs="宋体"/>
          <w:b/>
          <w:bCs/>
          <w:color w:val="000000"/>
          <w:sz w:val="44"/>
          <w:szCs w:val="44"/>
          <w:lang w:val="en-US" w:eastAsia="zh-CN"/>
        </w:rPr>
        <w:t>2</w:t>
      </w:r>
      <w:r>
        <w:rPr>
          <w:rFonts w:hint="eastAsia" w:ascii="宋体" w:hAnsi="宋体" w:cs="宋体"/>
          <w:b/>
          <w:bCs/>
          <w:color w:val="000000"/>
          <w:sz w:val="44"/>
          <w:szCs w:val="44"/>
          <w:lang w:val="en-US" w:eastAsia="zh-CN"/>
        </w:rPr>
        <w:t>2</w:t>
      </w:r>
      <w:r>
        <w:rPr>
          <w:rFonts w:hint="eastAsia" w:ascii="宋体" w:hAnsi="宋体" w:eastAsia="宋体" w:cs="宋体"/>
          <w:b/>
          <w:bCs/>
          <w:color w:val="000000"/>
          <w:sz w:val="44"/>
          <w:szCs w:val="44"/>
        </w:rPr>
        <w:t>年</w:t>
      </w:r>
      <w:r>
        <w:rPr>
          <w:rFonts w:hint="eastAsia" w:ascii="宋体" w:hAnsi="宋体" w:cs="宋体"/>
          <w:b/>
          <w:bCs/>
          <w:color w:val="000000"/>
          <w:sz w:val="44"/>
          <w:szCs w:val="44"/>
          <w:lang w:val="en-US" w:eastAsia="zh-CN"/>
        </w:rPr>
        <w:t>度</w:t>
      </w:r>
      <w:r>
        <w:rPr>
          <w:rFonts w:hint="eastAsia" w:ascii="宋体" w:hAnsi="宋体" w:eastAsia="宋体" w:cs="宋体"/>
          <w:b/>
          <w:bCs/>
          <w:color w:val="000000"/>
          <w:sz w:val="44"/>
          <w:szCs w:val="44"/>
        </w:rPr>
        <w:t>部门整体支出绩效自评</w:t>
      </w:r>
      <w:r>
        <w:rPr>
          <w:rFonts w:hint="eastAsia" w:ascii="宋体" w:hAnsi="宋体" w:cs="宋体"/>
          <w:b/>
          <w:bCs/>
          <w:color w:val="000000"/>
          <w:sz w:val="44"/>
          <w:szCs w:val="44"/>
          <w:lang w:val="en-US" w:eastAsia="zh-CN"/>
        </w:rPr>
        <w:t>报告</w:t>
      </w:r>
    </w:p>
    <w:p>
      <w:pPr>
        <w:keepNext w:val="0"/>
        <w:keepLines w:val="0"/>
        <w:pageBreakBefore w:val="0"/>
        <w:widowControl w:val="0"/>
        <w:kinsoku/>
        <w:wordWrap/>
        <w:overflowPunct/>
        <w:topLinePunct w:val="0"/>
        <w:autoSpaceDE/>
        <w:autoSpaceDN/>
        <w:bidi w:val="0"/>
        <w:adjustRightInd/>
        <w:snapToGrid/>
        <w:spacing w:line="120" w:lineRule="auto"/>
        <w:jc w:val="left"/>
        <w:textAlignment w:val="auto"/>
        <w:rPr>
          <w:rFonts w:hint="eastAsia" w:ascii="宋体" w:hAnsi="宋体" w:eastAsia="宋体" w:cs="宋体"/>
          <w:b w:val="0"/>
          <w:bCs w:val="0"/>
          <w:color w:val="000000"/>
          <w:sz w:val="28"/>
          <w:szCs w:val="28"/>
        </w:rPr>
      </w:pPr>
    </w:p>
    <w:p>
      <w:pPr>
        <w:spacing w:line="360" w:lineRule="auto"/>
        <w:rPr>
          <w:rFonts w:hint="eastAsia" w:eastAsia="黑体"/>
          <w:color w:val="000000"/>
          <w:kern w:val="0"/>
          <w:sz w:val="32"/>
          <w:szCs w:val="32"/>
          <w:lang w:eastAsia="zh-CN"/>
        </w:rPr>
      </w:pPr>
      <w:r>
        <w:rPr>
          <w:rFonts w:hAnsi="黑体" w:eastAsia="黑体"/>
          <w:color w:val="000000"/>
          <w:kern w:val="0"/>
          <w:sz w:val="32"/>
          <w:szCs w:val="32"/>
        </w:rPr>
        <w:t>附件</w:t>
      </w:r>
      <w:r>
        <w:rPr>
          <w:rFonts w:hint="eastAsia" w:eastAsia="黑体"/>
          <w:color w:val="000000"/>
          <w:kern w:val="0"/>
          <w:sz w:val="32"/>
          <w:szCs w:val="32"/>
          <w:lang w:val="en-US" w:eastAsia="zh-CN"/>
        </w:rPr>
        <w:t>1</w:t>
      </w:r>
    </w:p>
    <w:p>
      <w:pPr>
        <w:spacing w:line="360" w:lineRule="auto"/>
        <w:jc w:val="center"/>
        <w:rPr>
          <w:rFonts w:hint="default" w:hAnsi="黑体" w:eastAsia="黑体"/>
          <w:color w:val="000000"/>
          <w:kern w:val="0"/>
          <w:sz w:val="32"/>
          <w:szCs w:val="32"/>
          <w:lang w:val="en-US" w:eastAsia="zh-CN"/>
        </w:rPr>
      </w:pPr>
      <w:r>
        <w:rPr>
          <w:rFonts w:hint="eastAsia" w:ascii="方正大标宋简体" w:eastAsia="方正大标宋简体" w:cs="仿宋_GB2312"/>
          <w:color w:val="000000"/>
          <w:sz w:val="44"/>
          <w:szCs w:val="44"/>
        </w:rPr>
        <w:t>20</w:t>
      </w:r>
      <w:r>
        <w:rPr>
          <w:rFonts w:hint="eastAsia" w:ascii="方正大标宋简体" w:eastAsia="方正大标宋简体" w:cs="仿宋_GB2312"/>
          <w:color w:val="000000"/>
          <w:sz w:val="44"/>
          <w:szCs w:val="44"/>
          <w:lang w:val="en-US" w:eastAsia="zh-CN"/>
        </w:rPr>
        <w:t>22</w:t>
      </w:r>
      <w:r>
        <w:rPr>
          <w:rFonts w:hint="eastAsia" w:ascii="方正大标宋简体" w:eastAsia="方正大标宋简体" w:cs="仿宋_GB2312"/>
          <w:color w:val="000000"/>
          <w:sz w:val="44"/>
          <w:szCs w:val="44"/>
        </w:rPr>
        <w:t>年部门整体支出绩效自评表</w:t>
      </w:r>
    </w:p>
    <w:tbl>
      <w:tblPr>
        <w:tblStyle w:val="12"/>
        <w:tblW w:w="0" w:type="auto"/>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710"/>
        <w:gridCol w:w="1382"/>
        <w:gridCol w:w="522"/>
        <w:gridCol w:w="81"/>
        <w:gridCol w:w="1885"/>
        <w:gridCol w:w="1622"/>
        <w:gridCol w:w="5"/>
        <w:gridCol w:w="1535"/>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3450" w:type="dxa"/>
            <w:gridSpan w:val="3"/>
            <w:noWrap w:val="0"/>
            <w:vAlign w:val="center"/>
          </w:tcPr>
          <w:p>
            <w:pPr>
              <w:spacing w:line="360" w:lineRule="auto"/>
              <w:jc w:val="center"/>
              <w:rPr>
                <w:rFonts w:hAnsi="黑体" w:eastAsia="黑体"/>
                <w:color w:val="000000"/>
                <w:kern w:val="0"/>
                <w:sz w:val="32"/>
                <w:szCs w:val="32"/>
                <w:vertAlign w:val="baseline"/>
              </w:rPr>
            </w:pPr>
            <w:r>
              <w:rPr>
                <w:rFonts w:hint="eastAsia" w:cs="宋体"/>
                <w:color w:val="000000"/>
                <w:sz w:val="24"/>
                <w:lang w:val="en-US" w:eastAsia="zh-CN"/>
              </w:rPr>
              <w:t>预算单位名称</w:t>
            </w:r>
          </w:p>
        </w:tc>
        <w:tc>
          <w:tcPr>
            <w:tcW w:w="7009" w:type="dxa"/>
            <w:gridSpan w:val="7"/>
            <w:noWrap w:val="0"/>
            <w:vAlign w:val="center"/>
          </w:tcPr>
          <w:p>
            <w:pPr>
              <w:spacing w:line="360" w:lineRule="auto"/>
              <w:jc w:val="center"/>
              <w:rPr>
                <w:rFonts w:hAnsi="黑体" w:eastAsia="黑体"/>
                <w:color w:val="000000"/>
                <w:kern w:val="0"/>
                <w:sz w:val="32"/>
                <w:szCs w:val="32"/>
                <w:vertAlign w:val="baseline"/>
              </w:rPr>
            </w:pPr>
            <w:r>
              <w:rPr>
                <w:rFonts w:hint="eastAsia" w:cs="宋体"/>
                <w:color w:val="000000"/>
                <w:sz w:val="24"/>
                <w:lang w:val="en-US" w:eastAsia="zh-CN"/>
              </w:rPr>
              <w:t>湖南省益阳市大通湖区政法委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年度预算资金（万元）</w:t>
            </w:r>
          </w:p>
        </w:tc>
        <w:tc>
          <w:tcPr>
            <w:tcW w:w="2695" w:type="dxa"/>
            <w:gridSpan w:val="4"/>
            <w:noWrap w:val="0"/>
            <w:vAlign w:val="center"/>
          </w:tcPr>
          <w:p>
            <w:pPr>
              <w:spacing w:line="360" w:lineRule="auto"/>
              <w:jc w:val="center"/>
              <w:rPr>
                <w:rFonts w:hAnsi="黑体" w:eastAsia="黑体"/>
                <w:color w:val="000000"/>
                <w:kern w:val="0"/>
                <w:sz w:val="32"/>
                <w:szCs w:val="32"/>
                <w:vertAlign w:val="baseline"/>
              </w:rPr>
            </w:pPr>
          </w:p>
        </w:tc>
        <w:tc>
          <w:tcPr>
            <w:tcW w:w="188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年初预算数</w:t>
            </w:r>
          </w:p>
        </w:tc>
        <w:tc>
          <w:tcPr>
            <w:tcW w:w="1622"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全年预算数</w:t>
            </w:r>
          </w:p>
        </w:tc>
        <w:tc>
          <w:tcPr>
            <w:tcW w:w="1540" w:type="dxa"/>
            <w:gridSpan w:val="2"/>
            <w:noWrap w:val="0"/>
            <w:vAlign w:val="center"/>
          </w:tcPr>
          <w:p>
            <w:pPr>
              <w:spacing w:line="360" w:lineRule="auto"/>
              <w:jc w:val="center"/>
              <w:rPr>
                <w:rFonts w:hint="default" w:hAnsi="黑体" w:eastAsia="黑体"/>
                <w:color w:val="000000"/>
                <w:kern w:val="0"/>
                <w:sz w:val="32"/>
                <w:szCs w:val="32"/>
                <w:vertAlign w:val="baseline"/>
                <w:lang w:val="en-US" w:eastAsia="zh-CN"/>
              </w:rPr>
            </w:pPr>
            <w:r>
              <w:rPr>
                <w:rFonts w:hint="eastAsia" w:cs="宋体"/>
                <w:color w:val="000000"/>
                <w:sz w:val="24"/>
                <w:lang w:val="en-US" w:eastAsia="zh-CN"/>
              </w:rPr>
              <w:t>全年执行数</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vMerge w:val="continue"/>
            <w:noWrap w:val="0"/>
            <w:vAlign w:val="center"/>
          </w:tcPr>
          <w:p>
            <w:pPr>
              <w:spacing w:line="360" w:lineRule="auto"/>
              <w:jc w:val="center"/>
              <w:rPr>
                <w:rFonts w:hint="eastAsia" w:cs="宋体"/>
                <w:color w:val="000000"/>
                <w:sz w:val="24"/>
                <w:lang w:val="en-US" w:eastAsia="zh-CN"/>
              </w:rPr>
            </w:pPr>
          </w:p>
        </w:tc>
        <w:tc>
          <w:tcPr>
            <w:tcW w:w="2695" w:type="dxa"/>
            <w:gridSpan w:val="4"/>
            <w:noWrap w:val="0"/>
            <w:vAlign w:val="center"/>
          </w:tcPr>
          <w:p>
            <w:pPr>
              <w:spacing w:line="360" w:lineRule="auto"/>
              <w:jc w:val="center"/>
              <w:rPr>
                <w:rFonts w:hint="default" w:hAnsi="黑体" w:eastAsia="黑体"/>
                <w:color w:val="000000"/>
                <w:kern w:val="0"/>
                <w:sz w:val="32"/>
                <w:szCs w:val="32"/>
                <w:vertAlign w:val="baseline"/>
                <w:lang w:val="en-US" w:eastAsia="zh-CN"/>
              </w:rPr>
            </w:pPr>
            <w:r>
              <w:rPr>
                <w:rFonts w:hint="eastAsia" w:cs="宋体"/>
                <w:color w:val="000000"/>
                <w:sz w:val="24"/>
                <w:lang w:val="en-US" w:eastAsia="zh-CN"/>
              </w:rPr>
              <w:t>年度资金总额</w:t>
            </w:r>
          </w:p>
        </w:tc>
        <w:tc>
          <w:tcPr>
            <w:tcW w:w="188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579.15</w:t>
            </w:r>
          </w:p>
        </w:tc>
        <w:tc>
          <w:tcPr>
            <w:tcW w:w="1622"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908.52</w:t>
            </w:r>
          </w:p>
        </w:tc>
        <w:tc>
          <w:tcPr>
            <w:tcW w:w="1540"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890.8</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98.05%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vMerge w:val="continue"/>
            <w:noWrap w:val="0"/>
            <w:vAlign w:val="center"/>
          </w:tcPr>
          <w:p>
            <w:pPr>
              <w:spacing w:line="360" w:lineRule="auto"/>
              <w:jc w:val="center"/>
              <w:rPr>
                <w:rFonts w:hint="eastAsia" w:cs="宋体"/>
                <w:color w:val="000000"/>
                <w:sz w:val="24"/>
                <w:lang w:val="en-US" w:eastAsia="zh-CN"/>
              </w:rPr>
            </w:pPr>
          </w:p>
        </w:tc>
        <w:tc>
          <w:tcPr>
            <w:tcW w:w="2695" w:type="dxa"/>
            <w:gridSpan w:val="4"/>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其中：当年财政拨款</w:t>
            </w:r>
          </w:p>
        </w:tc>
        <w:tc>
          <w:tcPr>
            <w:tcW w:w="188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579.15</w:t>
            </w:r>
          </w:p>
        </w:tc>
        <w:tc>
          <w:tcPr>
            <w:tcW w:w="1622"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813.77</w:t>
            </w:r>
          </w:p>
        </w:tc>
        <w:tc>
          <w:tcPr>
            <w:tcW w:w="1540"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813.77</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vMerge w:val="continue"/>
            <w:noWrap w:val="0"/>
            <w:vAlign w:val="center"/>
          </w:tcPr>
          <w:p>
            <w:pPr>
              <w:spacing w:line="360" w:lineRule="auto"/>
              <w:jc w:val="center"/>
              <w:rPr>
                <w:rFonts w:hint="eastAsia" w:cs="宋体"/>
                <w:color w:val="000000"/>
                <w:sz w:val="24"/>
                <w:lang w:val="en-US" w:eastAsia="zh-CN"/>
              </w:rPr>
            </w:pPr>
          </w:p>
        </w:tc>
        <w:tc>
          <w:tcPr>
            <w:tcW w:w="2695" w:type="dxa"/>
            <w:gridSpan w:val="4"/>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上年结转资金</w:t>
            </w:r>
          </w:p>
        </w:tc>
        <w:tc>
          <w:tcPr>
            <w:tcW w:w="188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0</w:t>
            </w:r>
          </w:p>
        </w:tc>
        <w:tc>
          <w:tcPr>
            <w:tcW w:w="1622"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17.72</w:t>
            </w:r>
          </w:p>
        </w:tc>
        <w:tc>
          <w:tcPr>
            <w:tcW w:w="1540"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17.72</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vMerge w:val="continue"/>
            <w:noWrap w:val="0"/>
            <w:vAlign w:val="center"/>
          </w:tcPr>
          <w:p>
            <w:pPr>
              <w:spacing w:line="360" w:lineRule="auto"/>
              <w:jc w:val="center"/>
              <w:rPr>
                <w:rFonts w:hint="eastAsia" w:cs="宋体"/>
                <w:color w:val="000000"/>
                <w:sz w:val="24"/>
                <w:lang w:val="en-US" w:eastAsia="zh-CN"/>
              </w:rPr>
            </w:pPr>
          </w:p>
        </w:tc>
        <w:tc>
          <w:tcPr>
            <w:tcW w:w="2695" w:type="dxa"/>
            <w:gridSpan w:val="4"/>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其他资金</w:t>
            </w:r>
          </w:p>
        </w:tc>
        <w:tc>
          <w:tcPr>
            <w:tcW w:w="188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0</w:t>
            </w:r>
          </w:p>
        </w:tc>
        <w:tc>
          <w:tcPr>
            <w:tcW w:w="1622"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77.03</w:t>
            </w:r>
          </w:p>
        </w:tc>
        <w:tc>
          <w:tcPr>
            <w:tcW w:w="1540" w:type="dxa"/>
            <w:gridSpan w:val="2"/>
            <w:noWrap w:val="0"/>
            <w:vAlign w:val="center"/>
          </w:tcPr>
          <w:p>
            <w:pPr>
              <w:spacing w:line="360" w:lineRule="auto"/>
              <w:jc w:val="center"/>
              <w:rPr>
                <w:rFonts w:hint="default" w:ascii="Times New Roman" w:hAnsi="Times New Roman" w:eastAsia="宋体" w:cs="宋体"/>
                <w:color w:val="000000"/>
                <w:kern w:val="2"/>
                <w:sz w:val="24"/>
                <w:szCs w:val="24"/>
                <w:lang w:val="en-US" w:eastAsia="zh-CN" w:bidi="ar-SA"/>
              </w:rPr>
            </w:pPr>
            <w:r>
              <w:rPr>
                <w:rFonts w:hint="eastAsia" w:cs="宋体"/>
                <w:color w:val="000000"/>
                <w:sz w:val="24"/>
                <w:lang w:val="en-US" w:eastAsia="zh-CN"/>
              </w:rPr>
              <w:t>59.31</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68"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年度总体目标</w:t>
            </w:r>
          </w:p>
        </w:tc>
        <w:tc>
          <w:tcPr>
            <w:tcW w:w="3870" w:type="dxa"/>
            <w:gridSpan w:val="4"/>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预期目标</w:t>
            </w:r>
          </w:p>
        </w:tc>
        <w:tc>
          <w:tcPr>
            <w:tcW w:w="4521" w:type="dxa"/>
            <w:gridSpan w:val="4"/>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2068" w:type="dxa"/>
            <w:gridSpan w:val="2"/>
            <w:vMerge w:val="continue"/>
            <w:noWrap w:val="0"/>
            <w:vAlign w:val="center"/>
          </w:tcPr>
          <w:p>
            <w:pPr>
              <w:spacing w:line="360" w:lineRule="auto"/>
              <w:jc w:val="center"/>
              <w:rPr>
                <w:rFonts w:hint="eastAsia" w:cs="宋体"/>
                <w:color w:val="000000"/>
                <w:sz w:val="24"/>
                <w:lang w:val="en-US" w:eastAsia="zh-CN"/>
              </w:rPr>
            </w:pPr>
          </w:p>
        </w:tc>
        <w:tc>
          <w:tcPr>
            <w:tcW w:w="3870" w:type="dxa"/>
            <w:gridSpan w:val="4"/>
            <w:noWrap w:val="0"/>
            <w:vAlign w:val="center"/>
          </w:tcPr>
          <w:p>
            <w:pPr>
              <w:numPr>
                <w:ilvl w:val="0"/>
                <w:numId w:val="0"/>
              </w:num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目标一：筑牢保护人民群众安全的铜墙铁壁</w:t>
            </w:r>
          </w:p>
          <w:p>
            <w:pPr>
              <w:numPr>
                <w:ilvl w:val="0"/>
                <w:numId w:val="0"/>
              </w:num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目标二：切实维护国家安全与社会公平正义</w:t>
            </w:r>
          </w:p>
          <w:p>
            <w:pPr>
              <w:numPr>
                <w:ilvl w:val="0"/>
                <w:numId w:val="0"/>
              </w:numPr>
              <w:spacing w:line="360" w:lineRule="auto"/>
              <w:ind w:leftChars="0"/>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目标三：优化营商环境促进司法便民利民</w:t>
            </w:r>
          </w:p>
          <w:p>
            <w:pPr>
              <w:numPr>
                <w:ilvl w:val="0"/>
                <w:numId w:val="0"/>
              </w:numPr>
              <w:spacing w:line="360" w:lineRule="auto"/>
              <w:ind w:leftChars="0"/>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目标四：化解矛盾提升服务全面依法治区</w:t>
            </w:r>
          </w:p>
          <w:p>
            <w:pPr>
              <w:numPr>
                <w:ilvl w:val="0"/>
                <w:numId w:val="0"/>
              </w:numPr>
              <w:spacing w:line="360" w:lineRule="auto"/>
              <w:ind w:leftChars="0"/>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目标五：推进市域社会治理营造平安氛围</w:t>
            </w:r>
          </w:p>
        </w:tc>
        <w:tc>
          <w:tcPr>
            <w:tcW w:w="4521" w:type="dxa"/>
            <w:gridSpan w:val="4"/>
            <w:noWrap w:val="0"/>
            <w:vAlign w:val="center"/>
          </w:tcPr>
          <w:p>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一：全区刑事立案196起，同比下降10.5%，破案123起，破案率62.76%，破案率同比上升12.42%，抓获犯罪嫌疑人184人，同比上升5.75%，移送起诉181人，同比上升33.1%。受理行政案件222起，同比下降22.1%，行政案件办结率52.25%，同比上升3.47%，行政处罚168人，同比上升7%。实现命案18年全破。强制戒毒2人。立盗窃刑事案件42起，破获12起，抓获犯罪嫌疑人14人，完成率33.33%。深入推进专项整治。深入开展“利剑护蕾”专项行动，侦办性侵未成年人案件1起，全面梳理近5年来性侵未成年人的案件，实现了案件全破。</w:t>
            </w:r>
          </w:p>
          <w:p>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二：对全区重点人员进行了全面摸排，共摸排上报82人，其中I类风险人员5人，Ⅱ类风险77人，均实行动态管理，已全部落实“五包一”管控措施。开展重大涉稳问题隐患排查工作。积极开展矛盾纠纷排查，指导督促各单位及时快速处置矛盾隐患苗头，稳妥化解涉稳突发事件。认真做好防范打击邪教破坏活动。为严密防范滋扰破坏党的二十大，对“法轮功”“全能神”等邪教重点人员及不放心人员共47人纳入社会治安防控体系，严防聚集滋事和制造有影响力的反宣案事件。开展了2次社会面邪教反宣品集中排查清理整治，共搜查出反宣品21份。开展“法轮功”人员核准入库工作。成功转化2名法轮功练习人员。</w:t>
            </w:r>
          </w:p>
          <w:p>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三：2022年新收31件涉民营企业民事案件，结案26件，结案率74.3%，调撤率57.7%，案件平均审理周期缩短至51.4天。发挥行、专调委会作用，加强涉企劳资纠纷的调处。受理调处涉企拖欠农民工工资纠纷3起。涉及金额5万多元；坚持矛盾纠纷不过夜，及时为企业排忧解难。成功调处工程款结算纠纷，确保企业的顺利生产。</w:t>
            </w:r>
          </w:p>
          <w:p>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四：深入推进矛盾纠纷多元化解。全区各级人民调解组织排查调处各类矛盾纠纷956起，调解成功930起，调解成功率97.3%，其中疑难复杂案件18起，基层排查调处各类纠纷563起，行业性专业性和其他调委会调解案件393起，涉案金额1717.7万元，涉及纠纷当事人1956人，村（社区）调委会调解案件占镇村两级调委会调解案件总数达96.8%。</w:t>
            </w:r>
          </w:p>
          <w:p>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五：深化平安乡村创建。落实联创机制，将机关单位与联点村平安创建和民调工作同推进同考评，促成联创工作格局。开展了平安村、社区和平安网格创建活动；区、镇、村三级开展了平安家庭评比；开展行业平安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trPr>
        <w:tc>
          <w:tcPr>
            <w:tcW w:w="2068"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部门职能职责</w:t>
            </w:r>
          </w:p>
        </w:tc>
        <w:tc>
          <w:tcPr>
            <w:tcW w:w="8391" w:type="dxa"/>
            <w:gridSpan w:val="8"/>
            <w:noWrap w:val="0"/>
            <w:vAlign w:val="center"/>
          </w:tcPr>
          <w:p>
            <w:p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一、区委政法委贯彻落实党中央关于政法工作的方针政策和决策部署以及省委、市委、区委的部署要求，在履行职责过程中坚持和加强党对政法工作的集中统一领导。主要职责是：</w:t>
            </w:r>
          </w:p>
          <w:p>
            <w:p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一）深入贯彻习近平新时代中国特色社会主义思想，坚决执行党的路线方针政策和党中央决策部署，统一政法机关的思想和行动。对一定时期内的政法、司法行政、信访等工作作出全局性部署，并督促贯彻落实。（二）深入推进平安大通湖、法治大通湖建设，加强队伍建设，深化智能化建设，坚决维护国家政治安全、确保社会大局稳定、促进社会公平正义、保障人民安居乐业。（三）分析研判政法工作情况动态，分析社会稳定形势，创新综治维稳工作机制，协调推动预防、化解影响稳定的社会矛盾和风险，协调应对和处置重大突发事件。（四）加强对政法工作的督查，统筹协调平安建设、维护社会稳定、反邪教有关法律法规政策的实施工作。（五）组织开展政法战线的调研工作，探索政法工作规律，加强协调管理，推进司法体制改革。（六）掌握政法舆情动态，指导政法部门媒体网络宣传工作，做好涉及政法工作的重大宣传工作。（七）监督政法各部门依法行使职权，指导、协调政法各部门密切配合，研究和协调重大、疑难案件，推进严格执法、公正司法。（八）加强政法系统党的纪律建设和政法队伍建设，承办区法学会日常工作。（九）承担全面依法治区重大问题的政策研究，协调有关方面提出全面依法治区中长期规划建议，负责有关重大决策部署督察工作。开展依法治区和法治政府建设考核工作。（十）指导全区规范性文件管理有关工作。承担区管委规范性文件送审稿的合法性审查和公平竞争审查工作。承办区管委及其各部门规范性文件的登记工作。负责区管委规范性文件向市人民政府报送备案工作。受理有关规范性文件审查申请。负责镇政府和区直部门规范性文件的备案审查工作。组织开展政府规范性文件清理工作。负责区管委法律顾问工作，负责对重大行政决策等重要行政行为合法性审查，提供法律意见。负责立法协调相关工作。（十一）承担统筹推进法治政府建设的责任。指导、监督依法行政工作。综合协调行政执法，承担推进行政执法体制改革有关工作，推进规范公正文明执法。承办区管委会的行政复议、行政赔偿和行政应诉工作。（十二）负责拟订全区法治宣传教育规划，组织开展普法宣传工作。推动人民参与和促进法治建设。指导依法治理和法治创建工作。组织区管委会学法活动。指导调解工作和人民陪审员、人民监督员选任管理工作。（十三）指导管理基层司法所建设和人民调解、社区矫正。指导刑满释放人员帮教安置工作。（十四）负责实施公共法律服务体系建设，负责法律援助、司法鉴定、仲裁和基层法律服务管理工作。（十五）负责全区信访工作。负责接待群众来访，处理群众信访诉求。处理网上投诉平台和领导信箱的网上信访事项。承办上级党政领导和主管部门交办、督办的信访事项。督促检查有关部门落实群众网上投诉、来信批示件情况。协同有关部门处理重大信访问题和纠纷问题。及时向区委、区管委会领导报告重要情况，协助处理各部门和各镇（办事处）向区委、区管委会反映的重要信访维稳问题。（十六）办理区委、区管委和市委政法委、市司法局、市信访局、市长热线办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358"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绩效指标</w:t>
            </w:r>
          </w:p>
        </w:tc>
        <w:tc>
          <w:tcPr>
            <w:tcW w:w="71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一级指标</w:t>
            </w:r>
          </w:p>
        </w:tc>
        <w:tc>
          <w:tcPr>
            <w:tcW w:w="1904"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二级指标</w:t>
            </w:r>
          </w:p>
        </w:tc>
        <w:tc>
          <w:tcPr>
            <w:tcW w:w="1966"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三级指标</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年度指标值</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实际完成值</w:t>
            </w:r>
          </w:p>
        </w:tc>
        <w:tc>
          <w:tcPr>
            <w:tcW w:w="1359"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产生指标</w:t>
            </w: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数量指标</w:t>
            </w:r>
          </w:p>
        </w:tc>
        <w:tc>
          <w:tcPr>
            <w:tcW w:w="1966"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在职人员控制</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 xml:space="preserve">33人 </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33人</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内设机构运行个数</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6个</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6个</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质量指标</w:t>
            </w:r>
          </w:p>
        </w:tc>
        <w:tc>
          <w:tcPr>
            <w:tcW w:w="1966"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预算执行率</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95%</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98.5%</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三公经费控制率</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60.5%</w:t>
            </w:r>
          </w:p>
        </w:tc>
        <w:tc>
          <w:tcPr>
            <w:tcW w:w="1359"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厉行节约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时效指标</w:t>
            </w:r>
          </w:p>
        </w:tc>
        <w:tc>
          <w:tcPr>
            <w:tcW w:w="1966"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highlight w:val="none"/>
                <w:lang w:val="en-US" w:eastAsia="zh-CN"/>
              </w:rPr>
              <w:t>资金使用时间</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1"/>
                <w:szCs w:val="21"/>
                <w:highlight w:val="none"/>
                <w:lang w:val="en-US" w:eastAsia="zh-CN"/>
              </w:rPr>
              <w:t>2022年1月-12月</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1"/>
                <w:szCs w:val="21"/>
                <w:highlight w:val="none"/>
                <w:lang w:val="en-US" w:eastAsia="zh-CN"/>
              </w:rPr>
              <w:t>2022年1月-12月</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highlight w:val="none"/>
                <w:lang w:val="en-US" w:eastAsia="zh-CN"/>
              </w:rPr>
              <w:t>资金拨付时效</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1"/>
                <w:szCs w:val="21"/>
                <w:highlight w:val="none"/>
                <w:lang w:val="en-US" w:eastAsia="zh-CN"/>
              </w:rPr>
              <w:t>2022年1月-12月</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1"/>
                <w:szCs w:val="21"/>
                <w:highlight w:val="none"/>
                <w:lang w:val="en-US" w:eastAsia="zh-CN"/>
              </w:rPr>
              <w:t>2022年1月-12月</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成本指标</w:t>
            </w:r>
          </w:p>
        </w:tc>
        <w:tc>
          <w:tcPr>
            <w:tcW w:w="1966" w:type="dxa"/>
            <w:gridSpan w:val="2"/>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三公经费金额</w:t>
            </w:r>
          </w:p>
        </w:tc>
        <w:tc>
          <w:tcPr>
            <w:tcW w:w="1627"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40万</w:t>
            </w:r>
          </w:p>
        </w:tc>
        <w:tc>
          <w:tcPr>
            <w:tcW w:w="15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24.2万</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效益指标</w:t>
            </w:r>
          </w:p>
        </w:tc>
        <w:tc>
          <w:tcPr>
            <w:tcW w:w="1904"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经济效益指标</w:t>
            </w: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带动全区人员政治、经济、文化、社会、生态文明的建设和有效发展</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535" w:type="dxa"/>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社会效益指标</w:t>
            </w: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保证全区的社会治理治安</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535" w:type="dxa"/>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保障全区的生命财产安全</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535" w:type="dxa"/>
            <w:noWrap w:val="0"/>
            <w:vAlign w:val="center"/>
          </w:tcPr>
          <w:p>
            <w:pPr>
              <w:spacing w:line="360" w:lineRule="auto"/>
              <w:jc w:val="center"/>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长期有效发展</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生态效益指标</w:t>
            </w: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维护全区人员的生产生活环境</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可持续影响指标</w:t>
            </w: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服务区委区管委大局、提升干部队伍素质</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促进经济文化可持续发展长期有效</w:t>
            </w:r>
          </w:p>
        </w:tc>
        <w:tc>
          <w:tcPr>
            <w:tcW w:w="162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w:t>
            </w:r>
          </w:p>
        </w:tc>
        <w:tc>
          <w:tcPr>
            <w:tcW w:w="15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促进生态文明环境可持续发展长期有效</w:t>
            </w:r>
          </w:p>
        </w:tc>
        <w:tc>
          <w:tcPr>
            <w:tcW w:w="162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w:t>
            </w:r>
          </w:p>
        </w:tc>
        <w:tc>
          <w:tcPr>
            <w:tcW w:w="15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cs="宋体"/>
                <w:color w:val="000000"/>
                <w:sz w:val="24"/>
                <w:lang w:val="en-US" w:eastAsia="zh-CN"/>
              </w:rPr>
            </w:pPr>
            <w:r>
              <w:rPr>
                <w:rFonts w:hint="eastAsia" w:ascii="Times New Roman" w:hAnsi="Times New Roman" w:eastAsia="宋体" w:cs="宋体"/>
                <w:color w:val="000000"/>
                <w:sz w:val="24"/>
                <w:szCs w:val="24"/>
                <w:highlight w:val="none"/>
                <w:lang w:val="en-US" w:eastAsia="zh-CN"/>
              </w:rPr>
              <w:t>长期有效</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满意度指标</w:t>
            </w:r>
          </w:p>
        </w:tc>
        <w:tc>
          <w:tcPr>
            <w:tcW w:w="1904" w:type="dxa"/>
            <w:gridSpan w:val="2"/>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服务对象满意度指标</w:t>
            </w: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公众服务满意率</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359" w:type="dxa"/>
            <w:noWrap w:val="0"/>
            <w:vAlign w:val="center"/>
          </w:tcPr>
          <w:p>
            <w:pPr>
              <w:spacing w:line="360" w:lineRule="auto"/>
              <w:jc w:val="center"/>
              <w:rPr>
                <w:rFonts w:hint="eastAsia" w:cs="宋体"/>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58" w:type="dxa"/>
            <w:vMerge w:val="continue"/>
            <w:noWrap w:val="0"/>
            <w:vAlign w:val="center"/>
          </w:tcPr>
          <w:p>
            <w:pPr>
              <w:spacing w:line="360" w:lineRule="auto"/>
              <w:jc w:val="center"/>
              <w:rPr>
                <w:rFonts w:hint="eastAsia" w:cs="宋体"/>
                <w:color w:val="000000"/>
                <w:sz w:val="24"/>
                <w:lang w:val="en-US" w:eastAsia="zh-CN"/>
              </w:rPr>
            </w:pPr>
          </w:p>
        </w:tc>
        <w:tc>
          <w:tcPr>
            <w:tcW w:w="710" w:type="dxa"/>
            <w:vMerge w:val="continue"/>
            <w:noWrap w:val="0"/>
            <w:vAlign w:val="center"/>
          </w:tcPr>
          <w:p>
            <w:pPr>
              <w:spacing w:line="360" w:lineRule="auto"/>
              <w:jc w:val="center"/>
              <w:rPr>
                <w:rFonts w:hint="eastAsia" w:cs="宋体"/>
                <w:color w:val="000000"/>
                <w:sz w:val="24"/>
                <w:lang w:val="en-US" w:eastAsia="zh-CN"/>
              </w:rPr>
            </w:pPr>
          </w:p>
        </w:tc>
        <w:tc>
          <w:tcPr>
            <w:tcW w:w="1904" w:type="dxa"/>
            <w:gridSpan w:val="2"/>
            <w:vMerge w:val="continue"/>
            <w:noWrap w:val="0"/>
            <w:vAlign w:val="center"/>
          </w:tcPr>
          <w:p>
            <w:pPr>
              <w:spacing w:line="360" w:lineRule="auto"/>
              <w:jc w:val="center"/>
              <w:rPr>
                <w:rFonts w:hint="eastAsia" w:cs="宋体"/>
                <w:color w:val="000000"/>
                <w:sz w:val="24"/>
                <w:lang w:val="en-US" w:eastAsia="zh-CN"/>
              </w:rPr>
            </w:pPr>
          </w:p>
        </w:tc>
        <w:tc>
          <w:tcPr>
            <w:tcW w:w="19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宋体"/>
                <w:color w:val="000000"/>
                <w:kern w:val="2"/>
                <w:sz w:val="24"/>
                <w:szCs w:val="24"/>
                <w:lang w:val="en-US" w:eastAsia="zh-CN" w:bidi="ar-SA"/>
              </w:rPr>
            </w:pPr>
            <w:r>
              <w:rPr>
                <w:rFonts w:hint="eastAsia" w:ascii="Times New Roman" w:hAnsi="Times New Roman" w:eastAsia="宋体" w:cs="宋体"/>
                <w:color w:val="000000"/>
                <w:sz w:val="24"/>
                <w:szCs w:val="24"/>
                <w:highlight w:val="none"/>
                <w:lang w:val="en-US" w:eastAsia="zh-CN"/>
              </w:rPr>
              <w:t>政府机构人员满意率</w:t>
            </w:r>
          </w:p>
        </w:tc>
        <w:tc>
          <w:tcPr>
            <w:tcW w:w="1627" w:type="dxa"/>
            <w:gridSpan w:val="2"/>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5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szCs w:val="24"/>
                <w:highlight w:val="none"/>
                <w:lang w:val="en-US" w:eastAsia="zh-CN"/>
              </w:rPr>
              <w:t>100%</w:t>
            </w:r>
          </w:p>
        </w:tc>
        <w:tc>
          <w:tcPr>
            <w:tcW w:w="1359" w:type="dxa"/>
            <w:noWrap w:val="0"/>
            <w:vAlign w:val="center"/>
          </w:tcPr>
          <w:p>
            <w:pPr>
              <w:spacing w:line="360" w:lineRule="auto"/>
              <w:jc w:val="center"/>
              <w:rPr>
                <w:rFonts w:hint="eastAsia" w:cs="宋体"/>
                <w:color w:val="000000"/>
                <w:sz w:val="24"/>
                <w:lang w:val="en-US" w:eastAsia="zh-CN"/>
              </w:rPr>
            </w:pPr>
          </w:p>
        </w:tc>
      </w:tr>
    </w:tbl>
    <w:p>
      <w:pPr>
        <w:spacing w:line="360" w:lineRule="auto"/>
        <w:rPr>
          <w:rFonts w:hAnsi="黑体" w:eastAsia="黑体"/>
          <w:color w:val="000000"/>
          <w:kern w:val="0"/>
          <w:sz w:val="32"/>
          <w:szCs w:val="32"/>
        </w:rPr>
      </w:pPr>
    </w:p>
    <w:p>
      <w:pPr>
        <w:spacing w:line="360" w:lineRule="auto"/>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hAnsi="黑体" w:eastAsia="黑体"/>
          <w:color w:val="000000"/>
          <w:kern w:val="0"/>
          <w:sz w:val="32"/>
          <w:szCs w:val="32"/>
        </w:rPr>
      </w:pPr>
    </w:p>
    <w:p>
      <w:pPr>
        <w:widowControl/>
        <w:rPr>
          <w:rFonts w:eastAsia="黑体"/>
          <w:color w:val="000000"/>
          <w:kern w:val="0"/>
          <w:sz w:val="32"/>
          <w:szCs w:val="32"/>
        </w:rPr>
      </w:pPr>
      <w:r>
        <w:rPr>
          <w:rFonts w:hAnsi="黑体" w:eastAsia="黑体"/>
          <w:color w:val="000000"/>
          <w:kern w:val="0"/>
          <w:sz w:val="32"/>
          <w:szCs w:val="32"/>
        </w:rPr>
        <w:t>附件</w:t>
      </w:r>
      <w:r>
        <w:rPr>
          <w:rFonts w:hint="eastAsia" w:hAnsi="黑体" w:eastAsia="黑体"/>
          <w:color w:val="000000"/>
          <w:kern w:val="0"/>
          <w:sz w:val="32"/>
          <w:szCs w:val="32"/>
          <w:lang w:val="en-US" w:eastAsia="zh-CN"/>
        </w:rPr>
        <w:t>4</w:t>
      </w:r>
    </w:p>
    <w:p>
      <w:pPr>
        <w:autoSpaceDE w:val="0"/>
        <w:autoSpaceDN w:val="0"/>
        <w:spacing w:line="600" w:lineRule="exact"/>
        <w:jc w:val="center"/>
        <w:rPr>
          <w:rFonts w:hint="eastAsia" w:eastAsia="仿宋_GB2312" w:cs="仿宋_GB2312"/>
          <w:color w:val="000000"/>
          <w:sz w:val="24"/>
        </w:rPr>
      </w:pPr>
      <w:r>
        <w:rPr>
          <w:rFonts w:hint="eastAsia" w:ascii="方正大标宋简体" w:eastAsia="方正大标宋简体" w:cs="仿宋_GB2312"/>
          <w:bCs/>
          <w:color w:val="000000"/>
          <w:kern w:val="0"/>
          <w:sz w:val="44"/>
          <w:szCs w:val="44"/>
        </w:rPr>
        <w:t>20</w:t>
      </w:r>
      <w:r>
        <w:rPr>
          <w:rFonts w:hint="eastAsia" w:ascii="方正大标宋简体" w:eastAsia="方正大标宋简体" w:cs="仿宋_GB2312"/>
          <w:bCs/>
          <w:color w:val="000000"/>
          <w:kern w:val="0"/>
          <w:sz w:val="44"/>
          <w:szCs w:val="44"/>
          <w:lang w:val="en-US" w:eastAsia="zh-CN"/>
        </w:rPr>
        <w:t>22</w:t>
      </w:r>
      <w:r>
        <w:rPr>
          <w:rFonts w:hint="eastAsia" w:ascii="方正大标宋简体" w:eastAsia="方正大标宋简体" w:cs="仿宋_GB2312"/>
          <w:bCs/>
          <w:color w:val="000000"/>
          <w:kern w:val="0"/>
          <w:sz w:val="44"/>
          <w:szCs w:val="44"/>
        </w:rPr>
        <w:t>年部门整体支出绩效评价基础数据表</w:t>
      </w:r>
    </w:p>
    <w:tbl>
      <w:tblPr>
        <w:tblStyle w:val="11"/>
        <w:tblW w:w="0" w:type="auto"/>
        <w:tblInd w:w="-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4"/>
        <w:gridCol w:w="2696"/>
        <w:gridCol w:w="2635"/>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财政供养人员情况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2022年编制人数</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2022年</w:t>
            </w:r>
          </w:p>
          <w:p>
            <w:pPr>
              <w:spacing w:line="360" w:lineRule="auto"/>
              <w:jc w:val="center"/>
              <w:rPr>
                <w:rFonts w:hint="eastAsia" w:cs="宋体"/>
                <w:color w:val="000000"/>
                <w:sz w:val="24"/>
                <w:lang w:val="en-US" w:eastAsia="zh-CN"/>
              </w:rPr>
            </w:pPr>
            <w:r>
              <w:rPr>
                <w:rFonts w:hint="eastAsia" w:cs="宋体"/>
                <w:color w:val="000000"/>
                <w:sz w:val="24"/>
                <w:lang w:val="en-US" w:eastAsia="zh-CN"/>
              </w:rPr>
              <w:t>实际在职人数</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变动数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33</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33</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“三公经费”变动情况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上年预算数</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本年预算数</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变动率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400000</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400000</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项目支出安排情况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项目支出预算总额</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实际项目支出总额</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2055676.97</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2055676.97</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预算完成情况</w:t>
            </w:r>
          </w:p>
        </w:tc>
        <w:tc>
          <w:tcPr>
            <w:tcW w:w="2696"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2022年预算总额</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2022年决算总额</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9085150.81</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8907983.4</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98.05%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预算调整情况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年初预算数</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年中预算调整</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调整率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5791462</w:t>
            </w:r>
          </w:p>
        </w:tc>
        <w:tc>
          <w:tcPr>
            <w:tcW w:w="2635" w:type="dxa"/>
            <w:noWrap w:val="0"/>
            <w:vAlign w:val="bottom"/>
          </w:tcPr>
          <w:p>
            <w:pPr>
              <w:spacing w:line="360" w:lineRule="auto"/>
              <w:jc w:val="center"/>
              <w:rPr>
                <w:rFonts w:hint="eastAsia" w:ascii="Times New Roman" w:hAnsi="Times New Roman" w:eastAsia="宋体" w:cs="宋体"/>
                <w:color w:val="000000"/>
                <w:sz w:val="24"/>
                <w:lang w:val="en-US" w:eastAsia="zh-CN"/>
              </w:rPr>
            </w:pPr>
            <w:r>
              <w:rPr>
                <w:rFonts w:hint="default" w:ascii="Times New Roman" w:hAnsi="Times New Roman" w:eastAsia="宋体" w:cs="宋体"/>
                <w:color w:val="000000"/>
                <w:sz w:val="24"/>
                <w:lang w:val="en-US" w:eastAsia="zh-CN"/>
              </w:rPr>
              <w:t>3293688.81</w:t>
            </w:r>
          </w:p>
        </w:tc>
        <w:tc>
          <w:tcPr>
            <w:tcW w:w="2250" w:type="dxa"/>
            <w:noWrap w:val="0"/>
            <w:vAlign w:val="center"/>
          </w:tcPr>
          <w:p>
            <w:pPr>
              <w:spacing w:line="360" w:lineRule="auto"/>
              <w:jc w:val="center"/>
              <w:rPr>
                <w:rFonts w:hint="default" w:ascii="Times New Roman" w:hAnsi="Times New Roman" w:eastAsia="宋体" w:cs="宋体"/>
                <w:color w:val="000000"/>
                <w:sz w:val="24"/>
                <w:lang w:val="en-US" w:eastAsia="zh-CN"/>
              </w:rPr>
            </w:pPr>
            <w:r>
              <w:rPr>
                <w:rFonts w:hint="eastAsia" w:ascii="Times New Roman" w:hAnsi="Times New Roman" w:eastAsia="宋体" w:cs="宋体"/>
                <w:color w:val="000000"/>
                <w:sz w:val="24"/>
                <w:lang w:val="en-US" w:eastAsia="zh-CN"/>
              </w:rPr>
              <w:t>56.87%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结转结余变动情况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上年结转结余总额</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本年结转结余总额</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变动率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ascii="Times New Roman" w:hAnsi="Times New Roman" w:eastAsia="宋体" w:cs="宋体"/>
                <w:color w:val="000000"/>
                <w:sz w:val="24"/>
                <w:lang w:val="en-US" w:eastAsia="zh-CN"/>
              </w:rPr>
            </w:pPr>
            <w:r>
              <w:rPr>
                <w:rFonts w:hint="eastAsia" w:ascii="Times New Roman" w:hAnsi="Times New Roman" w:eastAsia="宋体" w:cs="宋体"/>
                <w:color w:val="000000"/>
                <w:sz w:val="24"/>
                <w:lang w:val="en-US" w:eastAsia="zh-CN"/>
              </w:rPr>
              <w:t>177,167.41</w:t>
            </w:r>
          </w:p>
        </w:tc>
        <w:tc>
          <w:tcPr>
            <w:tcW w:w="2635" w:type="dxa"/>
            <w:noWrap w:val="0"/>
            <w:vAlign w:val="center"/>
          </w:tcPr>
          <w:p>
            <w:pPr>
              <w:spacing w:line="360" w:lineRule="auto"/>
              <w:jc w:val="center"/>
              <w:rPr>
                <w:rFonts w:hint="eastAsia" w:ascii="Times New Roman" w:hAnsi="Times New Roman" w:eastAsia="宋体" w:cs="宋体"/>
                <w:color w:val="000000"/>
                <w:sz w:val="24"/>
                <w:lang w:val="en-US" w:eastAsia="zh-CN"/>
              </w:rPr>
            </w:pPr>
            <w:r>
              <w:rPr>
                <w:rFonts w:hint="eastAsia" w:ascii="Times New Roman" w:hAnsi="Times New Roman" w:eastAsia="宋体" w:cs="宋体"/>
                <w:color w:val="000000"/>
                <w:sz w:val="24"/>
                <w:lang w:val="en-US" w:eastAsia="zh-CN"/>
              </w:rPr>
              <w:t>177,167.41</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“三公经费”控制情况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“三公经费”预算数</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“三公经费”实际支出</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400000</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242007</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政府采购执行情况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政府采购预算数</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实际政府采购金额</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　0</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0　</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固定资产使用情况</w:t>
            </w: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固定资产总额</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实际在用固定资产总额</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2651046.47</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2651046.47</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restart"/>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内部控制制度完成情况（是/否）</w:t>
            </w:r>
          </w:p>
        </w:tc>
        <w:tc>
          <w:tcPr>
            <w:tcW w:w="2696"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预算业务管理</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收支业务管理</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政府采购业务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是</w:t>
            </w:r>
          </w:p>
        </w:tc>
        <w:tc>
          <w:tcPr>
            <w:tcW w:w="2635"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是</w:t>
            </w:r>
          </w:p>
        </w:tc>
        <w:tc>
          <w:tcPr>
            <w:tcW w:w="2250" w:type="dxa"/>
            <w:noWrap w:val="0"/>
            <w:vAlign w:val="center"/>
          </w:tcPr>
          <w:p>
            <w:pPr>
              <w:spacing w:line="360" w:lineRule="auto"/>
              <w:jc w:val="center"/>
              <w:rPr>
                <w:rFonts w:hint="eastAsia" w:cs="宋体"/>
                <w:color w:val="000000"/>
                <w:sz w:val="24"/>
                <w:lang w:val="en-US" w:eastAsia="zh-CN"/>
              </w:rPr>
            </w:pPr>
            <w:r>
              <w:rPr>
                <w:rFonts w:hint="eastAsia" w:cs="宋体"/>
                <w:color w:val="000000"/>
                <w:sz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国有资产业务管理</w:t>
            </w:r>
          </w:p>
        </w:tc>
        <w:tc>
          <w:tcPr>
            <w:tcW w:w="2635"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建设项目业务管理</w:t>
            </w:r>
          </w:p>
        </w:tc>
        <w:tc>
          <w:tcPr>
            <w:tcW w:w="2250" w:type="dxa"/>
            <w:noWrap w:val="0"/>
            <w:vAlign w:val="center"/>
          </w:tcPr>
          <w:p>
            <w:pPr>
              <w:spacing w:line="360" w:lineRule="auto"/>
              <w:jc w:val="center"/>
              <w:rPr>
                <w:rFonts w:hint="default" w:cs="宋体"/>
                <w:color w:val="000000"/>
                <w:sz w:val="24"/>
                <w:lang w:val="en-US" w:eastAsia="zh-CN"/>
              </w:rPr>
            </w:pPr>
            <w:r>
              <w:rPr>
                <w:rFonts w:hint="eastAsia" w:cs="宋体"/>
                <w:color w:val="000000"/>
                <w:sz w:val="24"/>
                <w:lang w:val="en-US" w:eastAsia="zh-CN"/>
              </w:rPr>
              <w:t>合同业务管理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534" w:type="dxa"/>
            <w:vMerge w:val="continue"/>
            <w:noWrap w:val="0"/>
            <w:vAlign w:val="center"/>
          </w:tcPr>
          <w:p>
            <w:pPr>
              <w:spacing w:line="360" w:lineRule="auto"/>
              <w:jc w:val="center"/>
              <w:rPr>
                <w:rFonts w:hint="eastAsia" w:cs="宋体"/>
                <w:color w:val="000000"/>
                <w:sz w:val="24"/>
                <w:lang w:val="en-US" w:eastAsia="zh-CN"/>
              </w:rPr>
            </w:pPr>
          </w:p>
        </w:tc>
        <w:tc>
          <w:tcPr>
            <w:tcW w:w="2696" w:type="dxa"/>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是</w:t>
            </w:r>
          </w:p>
        </w:tc>
        <w:tc>
          <w:tcPr>
            <w:tcW w:w="2635" w:type="dxa"/>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是</w:t>
            </w:r>
          </w:p>
        </w:tc>
        <w:tc>
          <w:tcPr>
            <w:tcW w:w="2250" w:type="dxa"/>
            <w:noWrap w:val="0"/>
            <w:vAlign w:val="center"/>
          </w:tcPr>
          <w:p>
            <w:pPr>
              <w:spacing w:line="360" w:lineRule="auto"/>
              <w:jc w:val="center"/>
              <w:rPr>
                <w:rFonts w:hint="eastAsia" w:ascii="Times New Roman" w:hAnsi="Times New Roman" w:eastAsia="宋体" w:cs="宋体"/>
                <w:color w:val="000000"/>
                <w:kern w:val="2"/>
                <w:sz w:val="24"/>
                <w:szCs w:val="24"/>
                <w:lang w:val="en-US" w:eastAsia="zh-CN" w:bidi="ar-SA"/>
              </w:rPr>
            </w:pPr>
            <w:r>
              <w:rPr>
                <w:rFonts w:hint="eastAsia" w:cs="宋体"/>
                <w:color w:val="000000"/>
                <w:sz w:val="24"/>
                <w:lang w:val="en-US" w:eastAsia="zh-CN"/>
              </w:rPr>
              <w:t>是</w:t>
            </w:r>
          </w:p>
        </w:tc>
      </w:tr>
    </w:tbl>
    <w:p>
      <w:pPr>
        <w:spacing w:line="360" w:lineRule="auto"/>
        <w:rPr>
          <w:rFonts w:hAnsi="黑体" w:eastAsia="黑体"/>
          <w:color w:val="000000"/>
          <w:kern w:val="0"/>
          <w:sz w:val="32"/>
          <w:szCs w:val="32"/>
        </w:rPr>
      </w:pPr>
    </w:p>
    <w:p>
      <w:pPr>
        <w:spacing w:line="360" w:lineRule="auto"/>
        <w:rPr>
          <w:rFonts w:hint="eastAsia" w:eastAsia="黑体"/>
          <w:color w:val="000000"/>
          <w:kern w:val="0"/>
          <w:sz w:val="32"/>
          <w:szCs w:val="32"/>
          <w:lang w:val="en-US" w:eastAsia="zh-CN"/>
        </w:rPr>
      </w:pPr>
      <w:r>
        <w:rPr>
          <w:rFonts w:hAnsi="黑体" w:eastAsia="黑体"/>
          <w:color w:val="000000"/>
          <w:kern w:val="0"/>
          <w:sz w:val="32"/>
          <w:szCs w:val="32"/>
        </w:rPr>
        <w:t>附件</w:t>
      </w:r>
      <w:r>
        <w:rPr>
          <w:rFonts w:hint="eastAsia" w:hAnsi="黑体" w:eastAsia="黑体"/>
          <w:color w:val="000000"/>
          <w:kern w:val="0"/>
          <w:sz w:val="32"/>
          <w:szCs w:val="32"/>
          <w:lang w:val="en-US" w:eastAsia="zh-CN"/>
        </w:rPr>
        <w:t>5</w:t>
      </w:r>
    </w:p>
    <w:p>
      <w:pPr>
        <w:autoSpaceDE w:val="0"/>
        <w:autoSpaceDN w:val="0"/>
        <w:spacing w:line="360" w:lineRule="auto"/>
        <w:jc w:val="center"/>
        <w:rPr>
          <w:rFonts w:hint="eastAsia" w:ascii="方正大标宋简体" w:eastAsia="方正大标宋简体" w:cs="仿宋_GB2312"/>
          <w:color w:val="000000"/>
          <w:sz w:val="44"/>
          <w:szCs w:val="44"/>
        </w:rPr>
      </w:pPr>
      <w:r>
        <w:rPr>
          <w:rFonts w:hint="eastAsia" w:ascii="方正大标宋简体" w:eastAsia="方正大标宋简体" w:cs="仿宋_GB2312"/>
          <w:color w:val="000000"/>
          <w:sz w:val="44"/>
          <w:szCs w:val="44"/>
        </w:rPr>
        <w:t>20</w:t>
      </w:r>
      <w:r>
        <w:rPr>
          <w:rFonts w:hint="eastAsia" w:ascii="方正大标宋简体" w:eastAsia="方正大标宋简体" w:cs="仿宋_GB2312"/>
          <w:color w:val="000000"/>
          <w:sz w:val="44"/>
          <w:szCs w:val="44"/>
          <w:lang w:val="en-US" w:eastAsia="zh-CN"/>
        </w:rPr>
        <w:t>22</w:t>
      </w:r>
      <w:r>
        <w:rPr>
          <w:rFonts w:hint="eastAsia" w:ascii="方正大标宋简体" w:eastAsia="方正大标宋简体" w:cs="仿宋_GB2312"/>
          <w:color w:val="000000"/>
          <w:sz w:val="44"/>
          <w:szCs w:val="44"/>
        </w:rPr>
        <w:t>年部门整体支出绩效自评指标计分表</w:t>
      </w:r>
    </w:p>
    <w:tbl>
      <w:tblPr>
        <w:tblStyle w:val="11"/>
        <w:tblW w:w="0" w:type="auto"/>
        <w:jc w:val="center"/>
        <w:tblLayout w:type="fixed"/>
        <w:tblCellMar>
          <w:top w:w="0" w:type="dxa"/>
          <w:left w:w="28" w:type="dxa"/>
          <w:bottom w:w="0" w:type="dxa"/>
          <w:right w:w="28" w:type="dxa"/>
        </w:tblCellMar>
      </w:tblPr>
      <w:tblGrid>
        <w:gridCol w:w="724"/>
        <w:gridCol w:w="547"/>
        <w:gridCol w:w="689"/>
        <w:gridCol w:w="547"/>
        <w:gridCol w:w="5"/>
        <w:gridCol w:w="948"/>
        <w:gridCol w:w="466"/>
        <w:gridCol w:w="2757"/>
        <w:gridCol w:w="594"/>
        <w:gridCol w:w="2742"/>
        <w:gridCol w:w="487"/>
      </w:tblGrid>
      <w:tr>
        <w:tblPrEx>
          <w:tblCellMar>
            <w:top w:w="0" w:type="dxa"/>
            <w:left w:w="28" w:type="dxa"/>
            <w:bottom w:w="0" w:type="dxa"/>
            <w:right w:w="28" w:type="dxa"/>
          </w:tblCellMar>
        </w:tblPrEx>
        <w:trPr>
          <w:trHeight w:val="719" w:hRule="atLeast"/>
          <w:tblHeader/>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一级指标</w:t>
            </w:r>
          </w:p>
        </w:tc>
        <w:tc>
          <w:tcPr>
            <w:tcW w:w="54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分值</w:t>
            </w:r>
          </w:p>
        </w:tc>
        <w:tc>
          <w:tcPr>
            <w:tcW w:w="689"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二级指标</w:t>
            </w:r>
          </w:p>
        </w:tc>
        <w:tc>
          <w:tcPr>
            <w:tcW w:w="54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分值</w:t>
            </w:r>
          </w:p>
        </w:tc>
        <w:tc>
          <w:tcPr>
            <w:tcW w:w="953" w:type="dxa"/>
            <w:gridSpan w:val="2"/>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三级</w:t>
            </w:r>
          </w:p>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指标</w:t>
            </w:r>
          </w:p>
        </w:tc>
        <w:tc>
          <w:tcPr>
            <w:tcW w:w="466"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分值</w:t>
            </w:r>
          </w:p>
        </w:tc>
        <w:tc>
          <w:tcPr>
            <w:tcW w:w="275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评价标准</w:t>
            </w:r>
          </w:p>
        </w:tc>
        <w:tc>
          <w:tcPr>
            <w:tcW w:w="3336" w:type="dxa"/>
            <w:gridSpan w:val="2"/>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指标说明</w:t>
            </w:r>
          </w:p>
        </w:tc>
        <w:tc>
          <w:tcPr>
            <w:tcW w:w="48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b/>
                <w:color w:val="000000"/>
                <w:kern w:val="0"/>
                <w:sz w:val="24"/>
              </w:rPr>
            </w:pPr>
            <w:r>
              <w:rPr>
                <w:rFonts w:hint="eastAsia" w:cs="宋体"/>
                <w:b/>
                <w:color w:val="000000"/>
                <w:kern w:val="0"/>
                <w:sz w:val="24"/>
              </w:rPr>
              <w:t>得分</w:t>
            </w:r>
          </w:p>
        </w:tc>
      </w:tr>
      <w:tr>
        <w:tblPrEx>
          <w:tblCellMar>
            <w:top w:w="0" w:type="dxa"/>
            <w:left w:w="28" w:type="dxa"/>
            <w:bottom w:w="0" w:type="dxa"/>
            <w:right w:w="28" w:type="dxa"/>
          </w:tblCellMar>
        </w:tblPrEx>
        <w:trPr>
          <w:trHeight w:val="1983" w:hRule="atLeast"/>
          <w:jc w:val="center"/>
        </w:trPr>
        <w:tc>
          <w:tcPr>
            <w:tcW w:w="724" w:type="dxa"/>
            <w:vMerge w:val="restart"/>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投</w:t>
            </w:r>
          </w:p>
          <w:p>
            <w:pPr>
              <w:overflowPunct w:val="0"/>
              <w:autoSpaceDE w:val="0"/>
              <w:autoSpaceDN w:val="0"/>
              <w:spacing w:line="250" w:lineRule="exact"/>
              <w:jc w:val="center"/>
              <w:rPr>
                <w:rFonts w:hint="eastAsia" w:cs="宋体"/>
                <w:color w:val="000000"/>
                <w:kern w:val="0"/>
                <w:sz w:val="24"/>
              </w:rPr>
            </w:pPr>
          </w:p>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入</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default" w:eastAsia="宋体" w:cs="宋体"/>
                <w:color w:val="000000"/>
                <w:kern w:val="0"/>
                <w:sz w:val="24"/>
                <w:lang w:val="en-US" w:eastAsia="zh-CN"/>
              </w:rPr>
            </w:pPr>
            <w:r>
              <w:rPr>
                <w:rFonts w:hint="eastAsia" w:cs="宋体"/>
                <w:color w:val="000000"/>
                <w:kern w:val="0"/>
                <w:sz w:val="24"/>
                <w:lang w:val="en-US" w:eastAsia="zh-CN"/>
              </w:rPr>
              <w:t>(</w:t>
            </w:r>
            <w:r>
              <w:rPr>
                <w:rFonts w:hint="eastAsia" w:cs="宋体"/>
                <w:color w:val="000000"/>
                <w:kern w:val="0"/>
                <w:sz w:val="24"/>
              </w:rPr>
              <w:t>1</w:t>
            </w:r>
            <w:r>
              <w:rPr>
                <w:rFonts w:hint="eastAsia" w:cs="宋体"/>
                <w:color w:val="000000"/>
                <w:kern w:val="0"/>
                <w:sz w:val="24"/>
                <w:lang w:val="en-US" w:eastAsia="zh-CN"/>
              </w:rPr>
              <w:t>5分)</w:t>
            </w:r>
          </w:p>
        </w:tc>
        <w:tc>
          <w:tcPr>
            <w:tcW w:w="689" w:type="dxa"/>
            <w:vMerge w:val="restart"/>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预算配置</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15</w:t>
            </w:r>
            <w:r>
              <w:rPr>
                <w:rFonts w:hint="eastAsia" w:cs="宋体"/>
                <w:color w:val="000000"/>
                <w:kern w:val="0"/>
                <w:sz w:val="24"/>
                <w:lang w:val="en-US" w:eastAsia="zh-CN"/>
              </w:rPr>
              <w:t>分）</w:t>
            </w: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在职人员控制率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7</w:t>
            </w:r>
            <w:r>
              <w:rPr>
                <w:rFonts w:hint="eastAsia" w:cs="宋体"/>
                <w:color w:val="000000"/>
                <w:kern w:val="0"/>
                <w:sz w:val="24"/>
                <w:lang w:val="en-US" w:eastAsia="zh-CN"/>
              </w:rPr>
              <w:t>分）</w:t>
            </w:r>
          </w:p>
        </w:tc>
        <w:tc>
          <w:tcPr>
            <w:tcW w:w="2757" w:type="dxa"/>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以100%为标准。在职人员控制率≦100%，计7分；每超过一个百分点扣0.2分，扣完为止。</w:t>
            </w:r>
          </w:p>
        </w:tc>
        <w:tc>
          <w:tcPr>
            <w:tcW w:w="3336" w:type="dxa"/>
            <w:gridSpan w:val="2"/>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在职人员控制率=（在职人员数/编制数）×100%，在职人员数：部门（单位）实际在职人数，以财政分局确定的部门决算编制口径为准。</w:t>
            </w:r>
          </w:p>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编制数：机构编制部门核定批复的部门（单位）的人员编制数。</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7</w:t>
            </w:r>
          </w:p>
        </w:tc>
      </w:tr>
      <w:tr>
        <w:tblPrEx>
          <w:tblCellMar>
            <w:top w:w="0" w:type="dxa"/>
            <w:left w:w="28" w:type="dxa"/>
            <w:bottom w:w="0" w:type="dxa"/>
            <w:right w:w="28" w:type="dxa"/>
          </w:tblCellMar>
        </w:tblPrEx>
        <w:trPr>
          <w:trHeight w:val="1183" w:hRule="atLeast"/>
          <w:jc w:val="center"/>
        </w:trPr>
        <w:tc>
          <w:tcPr>
            <w:tcW w:w="724" w:type="dxa"/>
            <w:vMerge w:val="continue"/>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continue"/>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“三公经费”变动率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8</w:t>
            </w:r>
            <w:r>
              <w:rPr>
                <w:rFonts w:hint="eastAsia" w:cs="宋体"/>
                <w:color w:val="000000"/>
                <w:kern w:val="0"/>
                <w:sz w:val="24"/>
                <w:lang w:val="en-US" w:eastAsia="zh-CN"/>
              </w:rPr>
              <w:t>分）</w:t>
            </w:r>
          </w:p>
        </w:tc>
        <w:tc>
          <w:tcPr>
            <w:tcW w:w="275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“三公经费”变动率≦0,计8分；“三公经费”＞0，每超过一个百分点扣0.8分，扣完为止。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“三公经费”变动率=[（本年度“三公经费”预算数-上年度“三公经费”预算数）/上年度“三公经费”预算数]×100%</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8</w:t>
            </w:r>
          </w:p>
        </w:tc>
      </w:tr>
      <w:tr>
        <w:tblPrEx>
          <w:tblCellMar>
            <w:top w:w="0" w:type="dxa"/>
            <w:left w:w="28" w:type="dxa"/>
            <w:bottom w:w="0" w:type="dxa"/>
            <w:right w:w="28" w:type="dxa"/>
          </w:tblCellMar>
        </w:tblPrEx>
        <w:trPr>
          <w:trHeight w:val="1111" w:hRule="atLeast"/>
          <w:jc w:val="center"/>
        </w:trPr>
        <w:tc>
          <w:tcPr>
            <w:tcW w:w="724"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过</w:t>
            </w:r>
          </w:p>
          <w:p>
            <w:pPr>
              <w:overflowPunct w:val="0"/>
              <w:autoSpaceDE w:val="0"/>
              <w:autoSpaceDN w:val="0"/>
              <w:spacing w:line="250" w:lineRule="exact"/>
              <w:jc w:val="center"/>
              <w:rPr>
                <w:rFonts w:hint="eastAsia" w:cs="宋体"/>
                <w:color w:val="000000"/>
                <w:kern w:val="0"/>
                <w:sz w:val="24"/>
              </w:rPr>
            </w:pPr>
          </w:p>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程</w:t>
            </w:r>
          </w:p>
        </w:tc>
        <w:tc>
          <w:tcPr>
            <w:tcW w:w="547" w:type="dxa"/>
            <w:vMerge w:val="restart"/>
            <w:tcBorders>
              <w:top w:val="nil"/>
              <w:left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50</w:t>
            </w:r>
            <w:r>
              <w:rPr>
                <w:rFonts w:hint="eastAsia" w:cs="宋体"/>
                <w:color w:val="000000"/>
                <w:kern w:val="0"/>
                <w:sz w:val="24"/>
                <w:lang w:val="en-US" w:eastAsia="zh-CN"/>
              </w:rPr>
              <w:t>分）</w:t>
            </w:r>
          </w:p>
        </w:tc>
        <w:tc>
          <w:tcPr>
            <w:tcW w:w="689"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预算执行</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20</w:t>
            </w:r>
            <w:r>
              <w:rPr>
                <w:rFonts w:hint="eastAsia" w:cs="宋体"/>
                <w:color w:val="000000"/>
                <w:kern w:val="0"/>
                <w:sz w:val="24"/>
                <w:lang w:val="en-US" w:eastAsia="zh-CN"/>
              </w:rPr>
              <w:t>分）</w:t>
            </w: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预算完成率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100%计满分，每低于5%扣2分，扣完为止。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预算完成率=（上年结转+年初预算+本年追加预算-年末结余/上年结转+年初预算+本年追加预算）×100%。</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5</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left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预算控制率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预算控制率=0，计5分；0-10%（含），计4分；10-20%（含），计3分；20-30%（含），计2分；大于30%不得分</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预算控制率=（本年追加预算/年初预算）×100%。</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0</w:t>
            </w:r>
          </w:p>
        </w:tc>
      </w:tr>
      <w:tr>
        <w:tblPrEx>
          <w:tblCellMar>
            <w:top w:w="0" w:type="dxa"/>
            <w:left w:w="28" w:type="dxa"/>
            <w:bottom w:w="0" w:type="dxa"/>
            <w:right w:w="28" w:type="dxa"/>
          </w:tblCellMar>
        </w:tblPrEx>
        <w:trPr>
          <w:trHeight w:val="1423"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left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新建楼堂馆所面积控制率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100%以下（含）计满分，每超出5%扣2分，扣完为止。没有楼梯馆所项目的部门按满分计算</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楼堂馆所面积控制率=实际建设面积/批准建设面积×100% 。</w:t>
            </w:r>
          </w:p>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该指标以2016年完工的新建楼堂馆所为评价内容。</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5</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left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新建楼堂馆所投资概算控制率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100%以下（含）计满分，每超出5%扣2分，扣完为止。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楼堂馆所投资预算控制率=实际投资金额/批准投资金额×100% 。</w:t>
            </w:r>
          </w:p>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该指标以2016年完工的新建楼堂馆所为评价内容。</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5</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left w:val="single" w:color="auto"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kern w:val="0"/>
                <w:sz w:val="24"/>
              </w:rPr>
            </w:pPr>
            <w:r>
              <w:rPr>
                <w:rFonts w:hint="eastAsia" w:cs="宋体"/>
                <w:color w:val="000000"/>
                <w:kern w:val="0"/>
                <w:sz w:val="24"/>
              </w:rPr>
              <w:t>预算管理</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30</w:t>
            </w:r>
            <w:r>
              <w:rPr>
                <w:rFonts w:hint="eastAsia" w:cs="宋体"/>
                <w:color w:val="000000"/>
                <w:kern w:val="0"/>
                <w:sz w:val="24"/>
                <w:lang w:val="en-US" w:eastAsia="zh-CN"/>
              </w:rPr>
              <w:t>分）</w:t>
            </w: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公用经费控制率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7</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100%以下（含）计满分，每超出1%扣1分，扣完为止。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公用经费控制率=（实际支出公用经费总额/预算安排公用经费总额）×100%。</w:t>
            </w:r>
          </w:p>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公用经费支出是指部门基本支出中的一般商品和服务支出。</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7</w:t>
            </w:r>
          </w:p>
        </w:tc>
      </w:tr>
      <w:tr>
        <w:tblPrEx>
          <w:tblCellMar>
            <w:top w:w="0" w:type="dxa"/>
            <w:left w:w="28" w:type="dxa"/>
            <w:bottom w:w="0" w:type="dxa"/>
            <w:right w:w="28" w:type="dxa"/>
          </w:tblCellMar>
        </w:tblPrEx>
        <w:trPr>
          <w:trHeight w:val="933"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5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“三公经费”控制率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8</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100%以下（含）计满分，每超出1%扣1分，扣完为止。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cs="宋体"/>
                <w:color w:val="000000"/>
                <w:kern w:val="0"/>
                <w:sz w:val="24"/>
              </w:rPr>
            </w:pPr>
            <w:r>
              <w:rPr>
                <w:rFonts w:hint="eastAsia" w:cs="宋体"/>
                <w:color w:val="000000"/>
                <w:kern w:val="0"/>
                <w:sz w:val="24"/>
              </w:rPr>
              <w:t>“三公经费”控制率=（“三公经费”实际支出数/“三公经费”预算安排数）×100%。</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5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8</w:t>
            </w:r>
          </w:p>
        </w:tc>
      </w:tr>
      <w:tr>
        <w:tblPrEx>
          <w:tblCellMar>
            <w:top w:w="0" w:type="dxa"/>
            <w:left w:w="28" w:type="dxa"/>
            <w:bottom w:w="0" w:type="dxa"/>
            <w:right w:w="28" w:type="dxa"/>
          </w:tblCellMar>
        </w:tblPrEx>
        <w:trPr>
          <w:trHeight w:val="709" w:hRule="atLeast"/>
          <w:jc w:val="center"/>
        </w:trPr>
        <w:tc>
          <w:tcPr>
            <w:tcW w:w="724" w:type="dxa"/>
            <w:vMerge w:val="restart"/>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过</w:t>
            </w:r>
          </w:p>
          <w:p>
            <w:pPr>
              <w:overflowPunct w:val="0"/>
              <w:autoSpaceDE w:val="0"/>
              <w:autoSpaceDN w:val="0"/>
              <w:spacing w:line="270" w:lineRule="exact"/>
              <w:jc w:val="center"/>
              <w:rPr>
                <w:rFonts w:hint="eastAsia" w:cs="宋体"/>
                <w:color w:val="000000"/>
                <w:kern w:val="0"/>
                <w:sz w:val="24"/>
              </w:rPr>
            </w:pPr>
          </w:p>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程</w:t>
            </w:r>
          </w:p>
        </w:tc>
        <w:tc>
          <w:tcPr>
            <w:tcW w:w="547" w:type="dxa"/>
            <w:vMerge w:val="restart"/>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50</w:t>
            </w:r>
            <w:r>
              <w:rPr>
                <w:rFonts w:hint="eastAsia" w:cs="宋体"/>
                <w:color w:val="000000"/>
                <w:kern w:val="0"/>
                <w:sz w:val="24"/>
                <w:lang w:val="en-US" w:eastAsia="zh-CN"/>
              </w:rPr>
              <w:t>分）</w:t>
            </w:r>
          </w:p>
        </w:tc>
        <w:tc>
          <w:tcPr>
            <w:tcW w:w="689" w:type="dxa"/>
            <w:vMerge w:val="restart"/>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预算管理</w:t>
            </w: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管理制度健全性</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8</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每出现一例不符合要求的扣2分，扣完为止。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①有内部财务管理制度、会计核算制度等管理制度；</w:t>
            </w:r>
          </w:p>
          <w:p>
            <w:pPr>
              <w:overflowPunct w:val="0"/>
              <w:autoSpaceDE w:val="0"/>
              <w:autoSpaceDN w:val="0"/>
              <w:spacing w:line="27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②有本部门厉行节约制度；</w:t>
            </w:r>
          </w:p>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③相关管理制度合法、合规、完整；④相关管理制度得到有效执行。</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8</w:t>
            </w:r>
          </w:p>
        </w:tc>
      </w:tr>
      <w:tr>
        <w:tblPrEx>
          <w:tblCellMar>
            <w:top w:w="0" w:type="dxa"/>
            <w:left w:w="28" w:type="dxa"/>
            <w:bottom w:w="0" w:type="dxa"/>
            <w:right w:w="28" w:type="dxa"/>
          </w:tblCellMar>
        </w:tblPrEx>
        <w:trPr>
          <w:trHeight w:val="567" w:hRule="atLeast"/>
          <w:jc w:val="center"/>
        </w:trPr>
        <w:tc>
          <w:tcPr>
            <w:tcW w:w="724" w:type="dxa"/>
            <w:vMerge w:val="continue"/>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资金使用合规性</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eastAsia="宋体" w:cs="宋体"/>
                <w:color w:val="000000"/>
                <w:kern w:val="0"/>
                <w:sz w:val="24"/>
                <w:lang w:eastAsia="zh-CN"/>
              </w:rPr>
            </w:pPr>
          </w:p>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每出现一例不符合要求的扣1分，扣完为止。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5</w:t>
            </w:r>
          </w:p>
        </w:tc>
      </w:tr>
      <w:tr>
        <w:tblPrEx>
          <w:tblCellMar>
            <w:top w:w="0" w:type="dxa"/>
            <w:left w:w="28" w:type="dxa"/>
            <w:bottom w:w="0" w:type="dxa"/>
            <w:right w:w="28" w:type="dxa"/>
          </w:tblCellMar>
        </w:tblPrEx>
        <w:trPr>
          <w:trHeight w:val="567" w:hRule="atLeast"/>
          <w:jc w:val="center"/>
        </w:trPr>
        <w:tc>
          <w:tcPr>
            <w:tcW w:w="724" w:type="dxa"/>
            <w:vMerge w:val="continue"/>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single" w:color="auto" w:sz="4" w:space="0"/>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预决算信息公开性</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2</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每出现一例不符合要求的扣1分，扣完为止。</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①按规定内容公开预决算信息；</w:t>
            </w:r>
          </w:p>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②按规定时限公开预决算信息；</w:t>
            </w:r>
          </w:p>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预决算信息是指与部门预算、执行、决算、监督、绩效等管理相关的信息。</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2</w:t>
            </w:r>
          </w:p>
        </w:tc>
      </w:tr>
      <w:tr>
        <w:tblPrEx>
          <w:tblCellMar>
            <w:top w:w="0" w:type="dxa"/>
            <w:left w:w="28" w:type="dxa"/>
            <w:bottom w:w="0" w:type="dxa"/>
            <w:right w:w="28" w:type="dxa"/>
          </w:tblCellMar>
        </w:tblPrEx>
        <w:trPr>
          <w:trHeight w:val="901" w:hRule="atLeast"/>
          <w:jc w:val="center"/>
        </w:trPr>
        <w:tc>
          <w:tcPr>
            <w:tcW w:w="724"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产</w:t>
            </w:r>
          </w:p>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出</w:t>
            </w:r>
          </w:p>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及</w:t>
            </w:r>
          </w:p>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效</w:t>
            </w:r>
          </w:p>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率</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35</w:t>
            </w:r>
            <w:r>
              <w:rPr>
                <w:rFonts w:hint="eastAsia" w:cs="宋体"/>
                <w:color w:val="000000"/>
                <w:kern w:val="0"/>
                <w:sz w:val="24"/>
                <w:lang w:val="en-US" w:eastAsia="zh-CN"/>
              </w:rPr>
              <w:t>分）</w:t>
            </w:r>
          </w:p>
        </w:tc>
        <w:tc>
          <w:tcPr>
            <w:tcW w:w="689"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职责履行</w:t>
            </w:r>
          </w:p>
        </w:tc>
        <w:tc>
          <w:tcPr>
            <w:tcW w:w="547"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8</w:t>
            </w:r>
            <w:r>
              <w:rPr>
                <w:rFonts w:hint="eastAsia" w:cs="宋体"/>
                <w:color w:val="000000"/>
                <w:kern w:val="0"/>
                <w:sz w:val="24"/>
                <w:lang w:val="en-US" w:eastAsia="zh-CN"/>
              </w:rPr>
              <w:t>分）</w:t>
            </w:r>
          </w:p>
        </w:tc>
        <w:tc>
          <w:tcPr>
            <w:tcW w:w="953" w:type="dxa"/>
            <w:gridSpan w:val="2"/>
            <w:tcBorders>
              <w:top w:val="nil"/>
              <w:left w:val="nil"/>
              <w:bottom w:val="nil"/>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目标任务实际完成率</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8</w:t>
            </w:r>
            <w:r>
              <w:rPr>
                <w:rFonts w:hint="eastAsia" w:cs="宋体"/>
                <w:color w:val="000000"/>
                <w:kern w:val="0"/>
                <w:sz w:val="24"/>
                <w:lang w:val="en-US" w:eastAsia="zh-CN"/>
              </w:rPr>
              <w:t>分）</w:t>
            </w:r>
          </w:p>
        </w:tc>
        <w:tc>
          <w:tcPr>
            <w:tcW w:w="2757"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该项得分=（年度综合目标管理考核得分/总分）*8</w:t>
            </w:r>
          </w:p>
        </w:tc>
        <w:tc>
          <w:tcPr>
            <w:tcW w:w="3336"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根据区年度综合目标管理考核得分折算。</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8</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履职 效益</w:t>
            </w: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15</w:t>
            </w:r>
            <w:r>
              <w:rPr>
                <w:rFonts w:hint="eastAsia" w:cs="宋体"/>
                <w:color w:val="000000"/>
                <w:kern w:val="0"/>
                <w:sz w:val="24"/>
                <w:lang w:val="en-US" w:eastAsia="zh-CN"/>
              </w:rPr>
              <w:t>分）</w:t>
            </w:r>
          </w:p>
        </w:tc>
        <w:tc>
          <w:tcPr>
            <w:tcW w:w="953" w:type="dxa"/>
            <w:gridSpan w:val="2"/>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经济效益</w:t>
            </w:r>
          </w:p>
        </w:tc>
        <w:tc>
          <w:tcPr>
            <w:tcW w:w="466" w:type="dxa"/>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人）</w:t>
            </w:r>
          </w:p>
        </w:tc>
        <w:tc>
          <w:tcPr>
            <w:tcW w:w="6093" w:type="dxa"/>
            <w:gridSpan w:val="3"/>
            <w:vMerge w:val="restart"/>
            <w:tcBorders>
              <w:top w:val="single" w:color="auto" w:sz="4" w:space="0"/>
              <w:left w:val="single" w:color="auto" w:sz="4" w:space="0"/>
              <w:bottom w:val="nil"/>
              <w:right w:val="single" w:color="000000"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此三项指标为设置部门整体支出绩效评价指标时必须考虑的要素，可根据部门实际情况有选择的进行设置，并将其细化为相应的个性化指标。</w:t>
            </w:r>
          </w:p>
        </w:tc>
        <w:tc>
          <w:tcPr>
            <w:tcW w:w="487" w:type="dxa"/>
            <w:vMerge w:val="restart"/>
            <w:tcBorders>
              <w:top w:val="nil"/>
              <w:left w:val="nil"/>
              <w:right w:val="single" w:color="auto" w:sz="4" w:space="0"/>
            </w:tcBorders>
            <w:noWrap w:val="0"/>
            <w:vAlign w:val="center"/>
          </w:tcPr>
          <w:p>
            <w:pPr>
              <w:overflowPunct w:val="0"/>
              <w:autoSpaceDE w:val="0"/>
              <w:autoSpaceDN w:val="0"/>
              <w:spacing w:line="240" w:lineRule="exact"/>
              <w:ind w:firstLine="240" w:firstLineChars="100"/>
              <w:jc w:val="center"/>
              <w:rPr>
                <w:rFonts w:hint="eastAsia" w:cs="宋体"/>
                <w:color w:val="000000"/>
                <w:kern w:val="0"/>
                <w:sz w:val="24"/>
              </w:rPr>
            </w:pPr>
          </w:p>
          <w:p>
            <w:pPr>
              <w:overflowPunct w:val="0"/>
              <w:autoSpaceDE w:val="0"/>
              <w:autoSpaceDN w:val="0"/>
              <w:spacing w:line="240" w:lineRule="exact"/>
              <w:jc w:val="right"/>
              <w:rPr>
                <w:rFonts w:hint="default" w:eastAsia="宋体" w:cs="宋体"/>
                <w:color w:val="000000"/>
                <w:kern w:val="0"/>
                <w:sz w:val="24"/>
                <w:lang w:val="en-US" w:eastAsia="zh-CN"/>
              </w:rPr>
            </w:pPr>
            <w:r>
              <w:rPr>
                <w:rFonts w:hint="eastAsia" w:cs="宋体"/>
                <w:color w:val="000000"/>
                <w:kern w:val="0"/>
                <w:sz w:val="24"/>
                <w:lang w:val="en-US" w:eastAsia="zh-CN"/>
              </w:rPr>
              <w:t>15</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社会效益</w:t>
            </w:r>
          </w:p>
        </w:tc>
        <w:tc>
          <w:tcPr>
            <w:tcW w:w="466" w:type="dxa"/>
            <w:tcBorders>
              <w:top w:val="single" w:color="auto" w:sz="4" w:space="0"/>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6093" w:type="dxa"/>
            <w:gridSpan w:val="3"/>
            <w:vMerge w:val="continue"/>
            <w:tcBorders>
              <w:top w:val="single" w:color="auto" w:sz="4" w:space="0"/>
              <w:left w:val="single" w:color="auto" w:sz="4" w:space="0"/>
              <w:bottom w:val="nil"/>
              <w:right w:val="single" w:color="000000" w:sz="4" w:space="0"/>
            </w:tcBorders>
            <w:noWrap w:val="0"/>
            <w:vAlign w:val="center"/>
          </w:tcPr>
          <w:p>
            <w:pPr>
              <w:overflowPunct w:val="0"/>
              <w:autoSpaceDE w:val="0"/>
              <w:autoSpaceDN w:val="0"/>
              <w:spacing w:line="270" w:lineRule="exact"/>
              <w:ind w:firstLine="240" w:firstLineChars="100"/>
              <w:jc w:val="center"/>
              <w:rPr>
                <w:rFonts w:hint="eastAsia" w:cs="宋体"/>
                <w:color w:val="000000"/>
                <w:sz w:val="24"/>
              </w:rPr>
            </w:pPr>
          </w:p>
        </w:tc>
        <w:tc>
          <w:tcPr>
            <w:tcW w:w="487" w:type="dxa"/>
            <w:vMerge w:val="continue"/>
            <w:tcBorders>
              <w:left w:val="nil"/>
              <w:right w:val="single" w:color="auto" w:sz="4" w:space="0"/>
            </w:tcBorders>
            <w:noWrap w:val="0"/>
            <w:vAlign w:val="center"/>
          </w:tcPr>
          <w:p>
            <w:pPr>
              <w:overflowPunct w:val="0"/>
              <w:autoSpaceDE w:val="0"/>
              <w:autoSpaceDN w:val="0"/>
              <w:spacing w:line="240" w:lineRule="exact"/>
              <w:ind w:firstLine="240" w:firstLineChars="100"/>
              <w:jc w:val="center"/>
              <w:rPr>
                <w:rFonts w:hint="eastAsia" w:cs="宋体"/>
                <w:color w:val="000000"/>
                <w:kern w:val="0"/>
                <w:sz w:val="24"/>
              </w:rPr>
            </w:pP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生态效益</w:t>
            </w:r>
          </w:p>
        </w:tc>
        <w:tc>
          <w:tcPr>
            <w:tcW w:w="466" w:type="dxa"/>
            <w:tcBorders>
              <w:top w:val="single" w:color="auto" w:sz="4" w:space="0"/>
              <w:left w:val="single" w:color="auto" w:sz="4" w:space="0"/>
              <w:bottom w:val="nil"/>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5</w:t>
            </w:r>
            <w:r>
              <w:rPr>
                <w:rFonts w:hint="eastAsia" w:cs="宋体"/>
                <w:color w:val="000000"/>
                <w:kern w:val="0"/>
                <w:sz w:val="24"/>
                <w:lang w:val="en-US" w:eastAsia="zh-CN"/>
              </w:rPr>
              <w:t>分）</w:t>
            </w:r>
          </w:p>
        </w:tc>
        <w:tc>
          <w:tcPr>
            <w:tcW w:w="6093" w:type="dxa"/>
            <w:gridSpan w:val="3"/>
            <w:vMerge w:val="continue"/>
            <w:tcBorders>
              <w:top w:val="single" w:color="auto" w:sz="4" w:space="0"/>
              <w:left w:val="single" w:color="auto" w:sz="4" w:space="0"/>
              <w:bottom w:val="nil"/>
              <w:right w:val="single" w:color="000000" w:sz="4" w:space="0"/>
            </w:tcBorders>
            <w:noWrap w:val="0"/>
            <w:vAlign w:val="center"/>
          </w:tcPr>
          <w:p>
            <w:pPr>
              <w:overflowPunct w:val="0"/>
              <w:autoSpaceDE w:val="0"/>
              <w:autoSpaceDN w:val="0"/>
              <w:spacing w:line="270" w:lineRule="exact"/>
              <w:ind w:firstLine="240" w:firstLineChars="100"/>
              <w:jc w:val="center"/>
              <w:rPr>
                <w:rFonts w:hint="eastAsia" w:cs="宋体"/>
                <w:color w:val="000000"/>
                <w:sz w:val="24"/>
              </w:rPr>
            </w:pPr>
          </w:p>
        </w:tc>
        <w:tc>
          <w:tcPr>
            <w:tcW w:w="487" w:type="dxa"/>
            <w:vMerge w:val="continue"/>
            <w:tcBorders>
              <w:left w:val="nil"/>
              <w:bottom w:val="nil"/>
              <w:right w:val="single" w:color="auto" w:sz="4" w:space="0"/>
            </w:tcBorders>
            <w:noWrap w:val="0"/>
            <w:vAlign w:val="center"/>
          </w:tcPr>
          <w:p>
            <w:pPr>
              <w:overflowPunct w:val="0"/>
              <w:autoSpaceDE w:val="0"/>
              <w:autoSpaceDN w:val="0"/>
              <w:spacing w:line="240" w:lineRule="exact"/>
              <w:ind w:firstLine="240" w:firstLineChars="100"/>
              <w:jc w:val="center"/>
              <w:rPr>
                <w:rFonts w:hint="eastAsia" w:cs="宋体"/>
                <w:color w:val="000000"/>
                <w:sz w:val="24"/>
              </w:rPr>
            </w:pPr>
          </w:p>
        </w:tc>
      </w:tr>
      <w:tr>
        <w:tblPrEx>
          <w:tblCellMar>
            <w:top w:w="0" w:type="dxa"/>
            <w:left w:w="28" w:type="dxa"/>
            <w:bottom w:w="0" w:type="dxa"/>
            <w:right w:w="28" w:type="dxa"/>
          </w:tblCellMar>
        </w:tblPrEx>
        <w:trPr>
          <w:trHeight w:val="1573" w:hRule="atLeast"/>
          <w:jc w:val="center"/>
        </w:trPr>
        <w:tc>
          <w:tcPr>
            <w:tcW w:w="724"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restart"/>
            <w:tcBorders>
              <w:top w:val="nil"/>
              <w:left w:val="single" w:color="auto" w:sz="4" w:space="0"/>
              <w:bottom w:val="single" w:color="000000"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12</w:t>
            </w:r>
            <w:r>
              <w:rPr>
                <w:rFonts w:hint="eastAsia" w:cs="宋体"/>
                <w:color w:val="000000"/>
                <w:kern w:val="0"/>
                <w:sz w:val="24"/>
                <w:lang w:val="en-US" w:eastAsia="zh-CN"/>
              </w:rPr>
              <w:t>分）</w:t>
            </w: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行政效能</w:t>
            </w:r>
          </w:p>
        </w:tc>
        <w:tc>
          <w:tcPr>
            <w:tcW w:w="466"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6</w:t>
            </w:r>
            <w:r>
              <w:rPr>
                <w:rFonts w:hint="eastAsia" w:cs="宋体"/>
                <w:color w:val="000000"/>
                <w:kern w:val="0"/>
                <w:sz w:val="24"/>
                <w:lang w:val="en-US" w:eastAsia="zh-CN"/>
              </w:rPr>
              <w:t>分）</w:t>
            </w:r>
          </w:p>
        </w:tc>
        <w:tc>
          <w:tcPr>
            <w:tcW w:w="3351" w:type="dxa"/>
            <w:gridSpan w:val="2"/>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促进部门改进文风会风，加强经费及资产管理，推动网上办事，提高行政效率，降低行政成本效果较好的计6分；一般3分；无效果或者效果不明显0分。</w:t>
            </w:r>
          </w:p>
        </w:tc>
        <w:tc>
          <w:tcPr>
            <w:tcW w:w="2742"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根据部门自评材料评定。</w:t>
            </w:r>
          </w:p>
        </w:tc>
        <w:tc>
          <w:tcPr>
            <w:tcW w:w="487" w:type="dxa"/>
            <w:tcBorders>
              <w:top w:val="single" w:color="auto" w:sz="4" w:space="0"/>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6</w:t>
            </w:r>
          </w:p>
        </w:tc>
      </w:tr>
      <w:tr>
        <w:tblPrEx>
          <w:tblCellMar>
            <w:top w:w="0" w:type="dxa"/>
            <w:left w:w="28" w:type="dxa"/>
            <w:bottom w:w="0" w:type="dxa"/>
            <w:right w:w="28" w:type="dxa"/>
          </w:tblCellMar>
        </w:tblPrEx>
        <w:trPr>
          <w:trHeight w:val="567" w:hRule="atLeast"/>
          <w:jc w:val="center"/>
        </w:trPr>
        <w:tc>
          <w:tcPr>
            <w:tcW w:w="724" w:type="dxa"/>
            <w:vMerge w:val="continue"/>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689" w:type="dxa"/>
            <w:vMerge w:val="continue"/>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547" w:type="dxa"/>
            <w:vMerge w:val="continue"/>
            <w:tcBorders>
              <w:top w:val="nil"/>
              <w:left w:val="single" w:color="auto" w:sz="4" w:space="0"/>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sz w:val="24"/>
              </w:rPr>
            </w:pPr>
          </w:p>
        </w:tc>
        <w:tc>
          <w:tcPr>
            <w:tcW w:w="953"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cs="宋体"/>
                <w:color w:val="000000"/>
                <w:kern w:val="0"/>
                <w:sz w:val="24"/>
              </w:rPr>
            </w:pPr>
            <w:r>
              <w:rPr>
                <w:rFonts w:hint="eastAsia" w:cs="宋体"/>
                <w:color w:val="000000"/>
                <w:kern w:val="0"/>
                <w:sz w:val="24"/>
              </w:rPr>
              <w:t>社会公众或服务对象满意度</w:t>
            </w:r>
          </w:p>
        </w:tc>
        <w:tc>
          <w:tcPr>
            <w:tcW w:w="466"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jc w:val="center"/>
              <w:rPr>
                <w:rFonts w:hint="eastAsia" w:eastAsia="宋体" w:cs="宋体"/>
                <w:color w:val="000000"/>
                <w:kern w:val="0"/>
                <w:sz w:val="24"/>
                <w:lang w:val="en-US" w:eastAsia="zh-CN"/>
              </w:rPr>
            </w:pPr>
            <w:r>
              <w:rPr>
                <w:rFonts w:hint="eastAsia" w:cs="宋体"/>
                <w:color w:val="000000"/>
                <w:kern w:val="0"/>
                <w:sz w:val="24"/>
                <w:lang w:eastAsia="zh-CN"/>
              </w:rPr>
              <w:t>（</w:t>
            </w:r>
            <w:r>
              <w:rPr>
                <w:rFonts w:hint="eastAsia" w:cs="宋体"/>
                <w:color w:val="000000"/>
                <w:kern w:val="0"/>
                <w:sz w:val="24"/>
              </w:rPr>
              <w:t>6</w:t>
            </w:r>
            <w:r>
              <w:rPr>
                <w:rFonts w:hint="eastAsia" w:cs="宋体"/>
                <w:color w:val="000000"/>
                <w:kern w:val="0"/>
                <w:sz w:val="24"/>
                <w:lang w:val="en-US" w:eastAsia="zh-CN"/>
              </w:rPr>
              <w:t>分）</w:t>
            </w:r>
          </w:p>
        </w:tc>
        <w:tc>
          <w:tcPr>
            <w:tcW w:w="3351" w:type="dxa"/>
            <w:gridSpan w:val="2"/>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90%（含）以上计6分；</w:t>
            </w:r>
          </w:p>
          <w:p>
            <w:pPr>
              <w:overflowPunct w:val="0"/>
              <w:autoSpaceDE w:val="0"/>
              <w:autoSpaceDN w:val="0"/>
              <w:spacing w:line="27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80%（含）-90%，计4分；</w:t>
            </w:r>
          </w:p>
          <w:p>
            <w:pPr>
              <w:overflowPunct w:val="0"/>
              <w:autoSpaceDE w:val="0"/>
              <w:autoSpaceDN w:val="0"/>
              <w:spacing w:line="270" w:lineRule="exact"/>
              <w:ind w:firstLine="240" w:firstLineChars="100"/>
              <w:jc w:val="center"/>
              <w:rPr>
                <w:rFonts w:hint="eastAsia" w:eastAsia="宋体" w:cs="宋体"/>
                <w:color w:val="000000"/>
                <w:kern w:val="0"/>
                <w:sz w:val="24"/>
                <w:lang w:eastAsia="zh-CN"/>
              </w:rPr>
            </w:pPr>
            <w:r>
              <w:rPr>
                <w:rFonts w:hint="eastAsia" w:cs="宋体"/>
                <w:color w:val="000000"/>
                <w:kern w:val="0"/>
                <w:sz w:val="24"/>
              </w:rPr>
              <w:t>70%（含）-80%，计2分；</w:t>
            </w:r>
          </w:p>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低于70%计0分。</w:t>
            </w:r>
          </w:p>
        </w:tc>
        <w:tc>
          <w:tcPr>
            <w:tcW w:w="2742" w:type="dxa"/>
            <w:tcBorders>
              <w:top w:val="nil"/>
              <w:left w:val="nil"/>
              <w:bottom w:val="single" w:color="auto" w:sz="4" w:space="0"/>
              <w:right w:val="single" w:color="auto" w:sz="4" w:space="0"/>
            </w:tcBorders>
            <w:noWrap w:val="0"/>
            <w:vAlign w:val="center"/>
          </w:tcPr>
          <w:p>
            <w:pPr>
              <w:overflowPunct w:val="0"/>
              <w:autoSpaceDE w:val="0"/>
              <w:autoSpaceDN w:val="0"/>
              <w:spacing w:line="270" w:lineRule="exact"/>
              <w:ind w:firstLine="240" w:firstLineChars="100"/>
              <w:jc w:val="center"/>
              <w:rPr>
                <w:rFonts w:hint="eastAsia" w:cs="宋体"/>
                <w:color w:val="000000"/>
                <w:kern w:val="0"/>
                <w:sz w:val="24"/>
              </w:rPr>
            </w:pPr>
            <w:r>
              <w:rPr>
                <w:rFonts w:hint="eastAsia" w:cs="宋体"/>
                <w:color w:val="000000"/>
                <w:kern w:val="0"/>
                <w:sz w:val="24"/>
              </w:rPr>
              <w:t>社会公众或服务对象是指部门（单位）履行职责而影响到的部门、群体或个人，一般采取社会调查的方式。</w:t>
            </w:r>
          </w:p>
        </w:tc>
        <w:tc>
          <w:tcPr>
            <w:tcW w:w="487" w:type="dxa"/>
            <w:tcBorders>
              <w:top w:val="nil"/>
              <w:left w:val="nil"/>
              <w:bottom w:val="single" w:color="auto" w:sz="4" w:space="0"/>
              <w:right w:val="single" w:color="auto" w:sz="4" w:space="0"/>
            </w:tcBorders>
            <w:noWrap w:val="0"/>
            <w:vAlign w:val="center"/>
          </w:tcPr>
          <w:p>
            <w:pPr>
              <w:overflowPunct w:val="0"/>
              <w:autoSpaceDE w:val="0"/>
              <w:autoSpaceDN w:val="0"/>
              <w:spacing w:line="240" w:lineRule="exact"/>
              <w:ind w:firstLine="240" w:firstLineChars="100"/>
              <w:jc w:val="center"/>
              <w:rPr>
                <w:rFonts w:hint="eastAsia" w:eastAsia="宋体" w:cs="宋体"/>
                <w:color w:val="000000"/>
                <w:kern w:val="0"/>
                <w:sz w:val="24"/>
                <w:lang w:val="en-US" w:eastAsia="zh-CN"/>
              </w:rPr>
            </w:pPr>
            <w:r>
              <w:rPr>
                <w:rFonts w:hint="eastAsia" w:cs="宋体"/>
                <w:color w:val="000000"/>
                <w:kern w:val="0"/>
                <w:sz w:val="24"/>
                <w:lang w:val="en-US" w:eastAsia="zh-CN"/>
              </w:rPr>
              <w:t>6</w:t>
            </w:r>
          </w:p>
        </w:tc>
      </w:tr>
      <w:tr>
        <w:tblPrEx>
          <w:tblCellMar>
            <w:top w:w="0" w:type="dxa"/>
            <w:left w:w="28" w:type="dxa"/>
            <w:bottom w:w="0" w:type="dxa"/>
            <w:right w:w="28" w:type="dxa"/>
          </w:tblCellMar>
        </w:tblPrEx>
        <w:trPr>
          <w:trHeight w:val="567" w:hRule="atLeast"/>
          <w:jc w:val="center"/>
        </w:trPr>
        <w:tc>
          <w:tcPr>
            <w:tcW w:w="2512" w:type="dxa"/>
            <w:gridSpan w:val="5"/>
            <w:tcBorders>
              <w:top w:val="single" w:color="auto" w:sz="4" w:space="0"/>
              <w:left w:val="single" w:color="auto" w:sz="4" w:space="0"/>
              <w:bottom w:val="single" w:color="auto" w:sz="4" w:space="0"/>
              <w:right w:val="single" w:color="auto" w:sz="4" w:space="0"/>
            </w:tcBorders>
            <w:noWrap w:val="0"/>
            <w:vAlign w:val="center"/>
          </w:tcPr>
          <w:p>
            <w:pPr>
              <w:overflowPunct w:val="0"/>
              <w:autoSpaceDE w:val="0"/>
              <w:autoSpaceDN w:val="0"/>
              <w:spacing w:line="240" w:lineRule="exact"/>
              <w:jc w:val="center"/>
              <w:rPr>
                <w:rFonts w:hint="eastAsia" w:cs="宋体"/>
                <w:color w:val="000000"/>
                <w:kern w:val="0"/>
                <w:sz w:val="24"/>
              </w:rPr>
            </w:pPr>
            <w:r>
              <w:rPr>
                <w:rFonts w:hint="eastAsia" w:cs="宋体"/>
                <w:color w:val="000000"/>
                <w:sz w:val="24"/>
              </w:rPr>
              <w:t>合计</w:t>
            </w:r>
          </w:p>
        </w:tc>
        <w:tc>
          <w:tcPr>
            <w:tcW w:w="7994" w:type="dxa"/>
            <w:gridSpan w:val="6"/>
            <w:tcBorders>
              <w:top w:val="single" w:color="auto" w:sz="4" w:space="0"/>
              <w:left w:val="single" w:color="auto" w:sz="4" w:space="0"/>
              <w:bottom w:val="single" w:color="auto" w:sz="4" w:space="0"/>
              <w:right w:val="single" w:color="auto" w:sz="4" w:space="0"/>
            </w:tcBorders>
            <w:noWrap w:val="0"/>
            <w:vAlign w:val="center"/>
          </w:tcPr>
          <w:p>
            <w:pPr>
              <w:overflowPunct w:val="0"/>
              <w:autoSpaceDE w:val="0"/>
              <w:autoSpaceDN w:val="0"/>
              <w:spacing w:line="240" w:lineRule="exact"/>
              <w:jc w:val="left"/>
              <w:rPr>
                <w:rFonts w:hint="default" w:eastAsia="宋体" w:cs="宋体"/>
                <w:color w:val="000000"/>
                <w:kern w:val="0"/>
                <w:sz w:val="24"/>
                <w:lang w:val="en-US" w:eastAsia="zh-CN"/>
              </w:rPr>
            </w:pPr>
            <w:r>
              <w:rPr>
                <w:rFonts w:hint="eastAsia" w:cs="宋体"/>
                <w:color w:val="000000"/>
                <w:kern w:val="0"/>
                <w:sz w:val="24"/>
                <w:lang w:val="en-US" w:eastAsia="zh-CN"/>
              </w:rPr>
              <w:t>95</w:t>
            </w:r>
          </w:p>
        </w:tc>
      </w:tr>
    </w:tbl>
    <w:p>
      <w:pPr>
        <w:pStyle w:val="10"/>
        <w:widowControl w:val="0"/>
        <w:adjustRightInd w:val="0"/>
        <w:snapToGrid w:val="0"/>
        <w:jc w:val="both"/>
        <w:rPr>
          <w:rFonts w:hint="eastAsia" w:ascii="宋体" w:hAnsi="宋体" w:eastAsia="宋体" w:cs="宋体"/>
          <w:b/>
          <w:sz w:val="44"/>
          <w:szCs w:val="44"/>
        </w:rPr>
      </w:pPr>
    </w:p>
    <w:p>
      <w:pPr>
        <w:pStyle w:val="10"/>
        <w:widowControl w:val="0"/>
        <w:adjustRightInd w:val="0"/>
        <w:snapToGrid w:val="0"/>
        <w:jc w:val="center"/>
        <w:rPr>
          <w:rFonts w:hint="eastAsia" w:ascii="宋体" w:hAnsi="宋体" w:eastAsia="宋体" w:cs="宋体"/>
          <w:b/>
          <w:sz w:val="44"/>
          <w:szCs w:val="44"/>
        </w:rPr>
      </w:pPr>
      <w:r>
        <w:rPr>
          <w:rFonts w:hint="eastAsia" w:ascii="宋体" w:hAnsi="宋体" w:eastAsia="宋体" w:cs="宋体"/>
          <w:b/>
          <w:sz w:val="44"/>
          <w:szCs w:val="44"/>
        </w:rPr>
        <w:t>大通湖</w:t>
      </w:r>
      <w:r>
        <w:rPr>
          <w:rFonts w:hint="eastAsia" w:ascii="宋体" w:hAnsi="宋体" w:eastAsia="宋体" w:cs="宋体"/>
          <w:b/>
          <w:sz w:val="44"/>
          <w:szCs w:val="44"/>
          <w:lang w:val="en-US" w:eastAsia="zh-CN"/>
        </w:rPr>
        <w:t>区委政法委员会</w:t>
      </w:r>
      <w:r>
        <w:rPr>
          <w:rFonts w:hint="eastAsia" w:ascii="宋体" w:hAnsi="宋体" w:eastAsia="宋体" w:cs="宋体"/>
          <w:b/>
          <w:sz w:val="44"/>
          <w:szCs w:val="44"/>
        </w:rPr>
        <w:t>20</w:t>
      </w:r>
      <w:r>
        <w:rPr>
          <w:rFonts w:hint="eastAsia" w:ascii="宋体" w:hAnsi="宋体" w:eastAsia="宋体" w:cs="宋体"/>
          <w:b/>
          <w:sz w:val="44"/>
          <w:szCs w:val="44"/>
          <w:lang w:val="en-US" w:eastAsia="zh-CN"/>
        </w:rPr>
        <w:t>2</w:t>
      </w:r>
      <w:r>
        <w:rPr>
          <w:rFonts w:hint="eastAsia" w:ascii="宋体" w:hAnsi="宋体" w:cs="宋体"/>
          <w:b/>
          <w:sz w:val="44"/>
          <w:szCs w:val="44"/>
          <w:lang w:val="en-US" w:eastAsia="zh-CN"/>
        </w:rPr>
        <w:t>2</w:t>
      </w:r>
      <w:r>
        <w:rPr>
          <w:rFonts w:hint="eastAsia" w:ascii="宋体" w:hAnsi="宋体" w:eastAsia="宋体" w:cs="宋体"/>
          <w:b/>
          <w:sz w:val="44"/>
          <w:szCs w:val="44"/>
        </w:rPr>
        <w:t>年度部门</w:t>
      </w:r>
    </w:p>
    <w:p>
      <w:pPr>
        <w:pStyle w:val="10"/>
        <w:widowControl w:val="0"/>
        <w:adjustRightInd w:val="0"/>
        <w:snapToGrid w:val="0"/>
        <w:jc w:val="center"/>
        <w:rPr>
          <w:rFonts w:hint="eastAsia" w:ascii="宋体" w:hAnsi="宋体" w:eastAsia="宋体" w:cs="宋体"/>
          <w:b/>
          <w:sz w:val="44"/>
          <w:szCs w:val="44"/>
        </w:rPr>
      </w:pPr>
      <w:r>
        <w:rPr>
          <w:rFonts w:hint="eastAsia" w:ascii="宋体" w:hAnsi="宋体" w:eastAsia="宋体" w:cs="宋体"/>
          <w:b/>
          <w:sz w:val="44"/>
          <w:szCs w:val="44"/>
        </w:rPr>
        <w:t>整体支出绩效</w:t>
      </w:r>
      <w:r>
        <w:rPr>
          <w:rFonts w:hint="eastAsia" w:ascii="宋体" w:hAnsi="宋体" w:eastAsia="宋体" w:cs="宋体"/>
          <w:b/>
          <w:sz w:val="44"/>
          <w:szCs w:val="44"/>
          <w:lang w:val="en-US" w:eastAsia="zh-CN"/>
        </w:rPr>
        <w:t>评价</w:t>
      </w:r>
      <w:r>
        <w:rPr>
          <w:rFonts w:hint="eastAsia" w:ascii="宋体" w:hAnsi="宋体" w:eastAsia="宋体" w:cs="宋体"/>
          <w:b/>
          <w:sz w:val="44"/>
          <w:szCs w:val="44"/>
        </w:rPr>
        <w:t>报告</w:t>
      </w:r>
    </w:p>
    <w:p>
      <w:pPr>
        <w:keepNext w:val="0"/>
        <w:keepLines w:val="0"/>
        <w:pageBreakBefore w:val="0"/>
        <w:kinsoku/>
        <w:wordWrap/>
        <w:overflowPunct w:val="0"/>
        <w:topLinePunct w:val="0"/>
        <w:autoSpaceDE w:val="0"/>
        <w:autoSpaceDN w:val="0"/>
        <w:bidi w:val="0"/>
        <w:adjustRightInd/>
        <w:snapToGrid/>
        <w:spacing w:line="360" w:lineRule="auto"/>
        <w:ind w:left="0" w:firstLine="640" w:firstLineChars="200"/>
        <w:textAlignment w:val="auto"/>
        <w:rPr>
          <w:rFonts w:hint="eastAsia" w:ascii="仿宋" w:hAnsi="仿宋" w:eastAsia="仿宋" w:cs="仿宋"/>
          <w:b w:val="0"/>
          <w:bCs w:val="0"/>
          <w:color w:val="303030"/>
          <w:sz w:val="32"/>
          <w:szCs w:val="32"/>
        </w:rPr>
      </w:pPr>
      <w:r>
        <w:rPr>
          <w:rFonts w:eastAsia="仿宋_GB2312"/>
          <w:color w:val="000000"/>
          <w:sz w:val="32"/>
          <w:szCs w:val="32"/>
        </w:rPr>
        <w:t>为进一步规范财政资金管理，牢固树立预算绩效理念，强化部门支出责任</w:t>
      </w:r>
      <w:r>
        <w:rPr>
          <w:rFonts w:hint="eastAsia" w:eastAsia="仿宋_GB2312"/>
          <w:color w:val="000000"/>
          <w:sz w:val="32"/>
          <w:szCs w:val="32"/>
        </w:rPr>
        <w:t>，</w:t>
      </w:r>
      <w:r>
        <w:rPr>
          <w:rFonts w:eastAsia="仿宋_GB2312"/>
          <w:color w:val="000000"/>
          <w:sz w:val="32"/>
          <w:szCs w:val="32"/>
        </w:rPr>
        <w:t>提高财政资金使用效益，根据</w:t>
      </w:r>
      <w:r>
        <w:rPr>
          <w:rFonts w:hint="eastAsia" w:eastAsia="仿宋_GB2312"/>
          <w:color w:val="000000"/>
          <w:sz w:val="32"/>
          <w:szCs w:val="32"/>
          <w:lang w:eastAsia="zh-CN"/>
        </w:rPr>
        <w:t>《</w:t>
      </w:r>
      <w:r>
        <w:rPr>
          <w:rFonts w:hint="eastAsia" w:eastAsia="仿宋_GB2312"/>
          <w:color w:val="000000"/>
          <w:sz w:val="32"/>
          <w:szCs w:val="32"/>
          <w:lang w:val="en-US" w:eastAsia="zh-CN"/>
        </w:rPr>
        <w:t>国务院关于进一步深化预算管理制度改革和意见</w:t>
      </w:r>
      <w:r>
        <w:rPr>
          <w:rFonts w:hint="eastAsia" w:eastAsia="仿宋_GB2312"/>
          <w:color w:val="000000"/>
          <w:sz w:val="32"/>
          <w:szCs w:val="32"/>
          <w:lang w:eastAsia="zh-CN"/>
        </w:rPr>
        <w:t>》（</w:t>
      </w:r>
      <w:r>
        <w:rPr>
          <w:rFonts w:hint="eastAsia" w:eastAsia="仿宋_GB2312"/>
          <w:color w:val="000000"/>
          <w:sz w:val="32"/>
          <w:szCs w:val="32"/>
          <w:lang w:val="en-US" w:eastAsia="zh-CN"/>
        </w:rPr>
        <w:t>国发</w:t>
      </w:r>
      <w:r>
        <w:rPr>
          <w:rFonts w:eastAsia="仿宋_GB2312"/>
          <w:color w:val="000000"/>
          <w:sz w:val="32"/>
          <w:szCs w:val="32"/>
        </w:rPr>
        <w:t>〔20</w:t>
      </w:r>
      <w:r>
        <w:rPr>
          <w:rFonts w:hint="eastAsia" w:eastAsia="仿宋_GB2312"/>
          <w:color w:val="000000"/>
          <w:sz w:val="32"/>
          <w:szCs w:val="32"/>
          <w:lang w:val="en-US" w:eastAsia="zh-CN"/>
        </w:rPr>
        <w:t>21</w:t>
      </w:r>
      <w:r>
        <w:rPr>
          <w:rFonts w:eastAsia="仿宋_GB2312"/>
          <w:color w:val="000000"/>
          <w:sz w:val="32"/>
          <w:szCs w:val="32"/>
        </w:rPr>
        <w:t>〕</w:t>
      </w:r>
      <w:r>
        <w:rPr>
          <w:rFonts w:hint="eastAsia" w:eastAsia="仿宋_GB2312"/>
          <w:color w:val="000000"/>
          <w:sz w:val="32"/>
          <w:szCs w:val="32"/>
          <w:lang w:val="en-US" w:eastAsia="zh-CN"/>
        </w:rPr>
        <w:t>5</w:t>
      </w:r>
      <w:r>
        <w:rPr>
          <w:rFonts w:eastAsia="仿宋_GB2312"/>
          <w:color w:val="000000"/>
          <w:sz w:val="32"/>
          <w:szCs w:val="32"/>
        </w:rPr>
        <w:t>号</w:t>
      </w:r>
      <w:r>
        <w:rPr>
          <w:rFonts w:hint="eastAsia" w:eastAsia="仿宋_GB2312"/>
          <w:color w:val="000000"/>
          <w:sz w:val="32"/>
          <w:szCs w:val="32"/>
          <w:lang w:val="en-US" w:eastAsia="zh-CN"/>
        </w:rPr>
        <w:t>)《</w:t>
      </w:r>
      <w:r>
        <w:rPr>
          <w:rFonts w:hint="eastAsia" w:eastAsia="仿宋_GB2312"/>
          <w:color w:val="000000"/>
          <w:sz w:val="32"/>
          <w:szCs w:val="32"/>
        </w:rPr>
        <w:t>湖南省关于全面实施预算绩效管理的实施意见</w:t>
      </w:r>
      <w:r>
        <w:rPr>
          <w:rFonts w:eastAsia="仿宋_GB2312"/>
          <w:color w:val="000000"/>
          <w:sz w:val="32"/>
          <w:szCs w:val="32"/>
        </w:rPr>
        <w:t>》（</w:t>
      </w:r>
      <w:r>
        <w:rPr>
          <w:rFonts w:hint="eastAsia" w:eastAsia="仿宋_GB2312"/>
          <w:color w:val="000000"/>
          <w:sz w:val="32"/>
          <w:szCs w:val="32"/>
        </w:rPr>
        <w:t>湘办发</w:t>
      </w:r>
      <w:r>
        <w:rPr>
          <w:rFonts w:eastAsia="仿宋_GB2312"/>
          <w:color w:val="000000"/>
          <w:sz w:val="32"/>
          <w:szCs w:val="32"/>
        </w:rPr>
        <w:t>〔201</w:t>
      </w:r>
      <w:r>
        <w:rPr>
          <w:rFonts w:hint="eastAsia" w:eastAsia="仿宋_GB2312"/>
          <w:color w:val="000000"/>
          <w:sz w:val="32"/>
          <w:szCs w:val="32"/>
        </w:rPr>
        <w:t>9</w:t>
      </w:r>
      <w:r>
        <w:rPr>
          <w:rFonts w:eastAsia="仿宋_GB2312"/>
          <w:color w:val="000000"/>
          <w:sz w:val="32"/>
          <w:szCs w:val="32"/>
        </w:rPr>
        <w:t>〕1</w:t>
      </w:r>
      <w:r>
        <w:rPr>
          <w:rFonts w:hint="eastAsia" w:eastAsia="仿宋_GB2312"/>
          <w:color w:val="000000"/>
          <w:sz w:val="32"/>
          <w:szCs w:val="32"/>
        </w:rPr>
        <w:t>0</w:t>
      </w:r>
      <w:r>
        <w:rPr>
          <w:rFonts w:eastAsia="仿宋_GB2312"/>
          <w:color w:val="000000"/>
          <w:sz w:val="32"/>
          <w:szCs w:val="32"/>
        </w:rPr>
        <w:t>号）等有关文件精神，</w:t>
      </w:r>
      <w:r>
        <w:rPr>
          <w:rFonts w:hint="eastAsia" w:ascii="仿宋" w:hAnsi="仿宋" w:eastAsia="仿宋" w:cs="仿宋"/>
          <w:b w:val="0"/>
          <w:bCs w:val="0"/>
          <w:color w:val="303030"/>
          <w:sz w:val="32"/>
          <w:szCs w:val="32"/>
        </w:rPr>
        <w:t>现将我</w:t>
      </w:r>
      <w:r>
        <w:rPr>
          <w:rFonts w:hint="eastAsia" w:ascii="仿宋" w:hAnsi="仿宋" w:eastAsia="仿宋" w:cs="仿宋"/>
          <w:b w:val="0"/>
          <w:bCs w:val="0"/>
          <w:color w:val="303030"/>
          <w:sz w:val="32"/>
          <w:szCs w:val="32"/>
          <w:lang w:eastAsia="zh-CN"/>
        </w:rPr>
        <w:t>委20</w:t>
      </w:r>
      <w:r>
        <w:rPr>
          <w:rFonts w:hint="eastAsia" w:ascii="仿宋" w:hAnsi="仿宋" w:eastAsia="仿宋" w:cs="仿宋"/>
          <w:b w:val="0"/>
          <w:bCs w:val="0"/>
          <w:color w:val="303030"/>
          <w:sz w:val="32"/>
          <w:szCs w:val="32"/>
          <w:lang w:val="en-US" w:eastAsia="zh-CN"/>
        </w:rPr>
        <w:t>21</w:t>
      </w:r>
      <w:r>
        <w:rPr>
          <w:rFonts w:hint="eastAsia" w:ascii="仿宋" w:hAnsi="仿宋" w:eastAsia="仿宋" w:cs="仿宋"/>
          <w:b w:val="0"/>
          <w:bCs w:val="0"/>
          <w:color w:val="303030"/>
          <w:sz w:val="32"/>
          <w:szCs w:val="32"/>
          <w:lang w:eastAsia="zh-CN"/>
        </w:rPr>
        <w:t>年</w:t>
      </w:r>
      <w:r>
        <w:rPr>
          <w:rFonts w:hint="eastAsia" w:ascii="仿宋" w:hAnsi="仿宋" w:eastAsia="仿宋" w:cs="仿宋"/>
          <w:b w:val="0"/>
          <w:bCs w:val="0"/>
          <w:color w:val="303030"/>
          <w:sz w:val="32"/>
          <w:szCs w:val="32"/>
        </w:rPr>
        <w:t>度部门整体支出绩效评价情况报告如下：</w:t>
      </w:r>
    </w:p>
    <w:p>
      <w:pPr>
        <w:pStyle w:val="23"/>
        <w:keepNext w:val="0"/>
        <w:keepLines w:val="0"/>
        <w:pageBreakBefore w:val="0"/>
        <w:numPr>
          <w:ilvl w:val="0"/>
          <w:numId w:val="0"/>
        </w:numPr>
        <w:kinsoku/>
        <w:wordWrap/>
        <w:topLinePunct w:val="0"/>
        <w:autoSpaceDE w:val="0"/>
        <w:autoSpaceDN/>
        <w:bidi w:val="0"/>
        <w:adjustRightInd/>
        <w:snapToGrid/>
        <w:spacing w:before="0" w:beforeAutospacing="0" w:after="0" w:afterAutospacing="0" w:line="360" w:lineRule="auto"/>
        <w:ind w:left="0" w:firstLine="960" w:firstLineChars="300"/>
        <w:jc w:val="both"/>
        <w:textAlignment w:val="auto"/>
        <w:rPr>
          <w:rFonts w:hint="default" w:ascii="黑体" w:hAnsi="黑体" w:eastAsia="黑体" w:cs="黑体"/>
          <w:b w:val="0"/>
          <w:bCs w:val="0"/>
          <w:snapToGrid w:val="0"/>
          <w:kern w:val="0"/>
          <w:sz w:val="32"/>
          <w:szCs w:val="32"/>
          <w:lang w:val="en-US" w:eastAsia="zh-CN"/>
        </w:rPr>
      </w:pPr>
      <w:r>
        <w:rPr>
          <w:rFonts w:hint="eastAsia" w:ascii="黑体" w:hAnsi="黑体" w:eastAsia="黑体" w:cs="黑体"/>
          <w:b w:val="0"/>
          <w:bCs w:val="0"/>
          <w:snapToGrid w:val="0"/>
          <w:kern w:val="0"/>
          <w:sz w:val="32"/>
          <w:szCs w:val="32"/>
          <w:lang w:eastAsia="zh-CN"/>
        </w:rPr>
        <w:t>一、基本情况</w:t>
      </w:r>
      <w:r>
        <w:rPr>
          <w:rFonts w:hint="eastAsia" w:ascii="黑体" w:hAnsi="黑体" w:eastAsia="黑体" w:cs="黑体"/>
          <w:b w:val="0"/>
          <w:bCs w:val="0"/>
          <w:snapToGrid w:val="0"/>
          <w:kern w:val="0"/>
          <w:sz w:val="32"/>
          <w:szCs w:val="32"/>
          <w:lang w:val="en-US" w:eastAsia="zh-CN"/>
        </w:rPr>
        <w:t xml:space="preserve"> </w:t>
      </w:r>
    </w:p>
    <w:p>
      <w:pPr>
        <w:keepNext w:val="0"/>
        <w:keepLines w:val="0"/>
        <w:pageBreakBefore w:val="0"/>
        <w:kinsoku/>
        <w:wordWrap/>
        <w:overflowPunct w:val="0"/>
        <w:topLinePunct w:val="0"/>
        <w:autoSpaceDE w:val="0"/>
        <w:autoSpaceDN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中共益阳市大通湖区委政法委是区委主管全区政法工作和区管委主管司法行政、信访工作的工作机关，为正科级，加挂区司法局、区信访局牌子。</w:t>
      </w:r>
    </w:p>
    <w:p>
      <w:pPr>
        <w:keepNext w:val="0"/>
        <w:keepLines w:val="0"/>
        <w:pageBreakBefore w:val="0"/>
        <w:kinsoku/>
        <w:wordWrap/>
        <w:overflowPunct w:val="0"/>
        <w:topLinePunct w:val="0"/>
        <w:autoSpaceDE w:val="0"/>
        <w:autoSpaceDN w:val="0"/>
        <w:bidi w:val="0"/>
        <w:adjustRightInd/>
        <w:snapToGrid/>
        <w:spacing w:line="360" w:lineRule="auto"/>
        <w:ind w:left="0" w:firstLine="640"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中共大通湖区委全面依法治区委员会办公室设在区委政法委，接受中共大通湖区委全面依法治区委员会的直接领导，承担委员会具体工作。</w:t>
      </w:r>
    </w:p>
    <w:p>
      <w:pPr>
        <w:keepNext w:val="0"/>
        <w:keepLines w:val="0"/>
        <w:pageBreakBefore w:val="0"/>
        <w:kinsoku/>
        <w:wordWrap/>
        <w:overflowPunct w:val="0"/>
        <w:topLinePunct w:val="0"/>
        <w:autoSpaceDE w:val="0"/>
        <w:autoSpaceDN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区委政法委贯彻落实党中央关于政法工作的方针政策和决策部署以及省委、市委、区委的部署要求，在履行职责过程中坚持和加强党对政法工作的集中统一领导。</w:t>
      </w:r>
    </w:p>
    <w:p>
      <w:pPr>
        <w:keepNext w:val="0"/>
        <w:keepLines w:val="0"/>
        <w:pageBreakBefore w:val="0"/>
        <w:kinsoku/>
        <w:wordWrap/>
        <w:overflowPunct w:val="0"/>
        <w:topLinePunct w:val="0"/>
        <w:autoSpaceDE w:val="0"/>
        <w:autoSpaceDN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区委政法委设以下内设机构：办公室、政工和人事财务室、维稳和政治安全办（反邪教协调办）、综治和基层社会治理办、司法事务办（社区矫正股、普法治理股、人民参与促进法治股、公共法律服务股）、信访办（执法监督室）。设河坝、北洲子、金盆、千山红司法所4个派出机构。</w:t>
      </w:r>
    </w:p>
    <w:p>
      <w:pPr>
        <w:pStyle w:val="10"/>
        <w:keepNext w:val="0"/>
        <w:keepLines w:val="0"/>
        <w:pageBreakBefore w:val="0"/>
        <w:kinsoku/>
        <w:wordWrap/>
        <w:overflowPunct w:val="0"/>
        <w:topLinePunct w:val="0"/>
        <w:bidi w:val="0"/>
        <w:adjustRightInd/>
        <w:snapToGrid/>
        <w:spacing w:before="0" w:beforeAutospacing="0" w:after="0" w:afterAutospacing="0" w:line="360" w:lineRule="auto"/>
        <w:ind w:left="0" w:firstLine="64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区委政法委机关行政编制17名。其中，书记1名（由区委委员兼任），常务副书记（正科级）1名，副书记（副科级）2名，政工室主任（副科级）1名。机关后勤服务全额拨款事业编制2名（后勤服务人员只出不进，编制空一减一）。大通湖区委政法委所属事业单位有大通湖区法律援助中心，正股级公益一类事业单位。核定全额拨款事业编制7名，设主任1名。主要职责是：负责指导、管理、监督本区的法律援助工作，组织法律援助制度的宣传和调研工作；受理、审查公民提出或人民法院等有关单位指定案件的法律援助申请，对符合规定条件的，指派法律服务人员办理。大通湖区农村土地承包仲裁委员会办公室，正股级公益一类事业单位。核定全额拨款事业编制7名，设主任1名。主要职责是：负责根据农村土地承包仲裁委员会授权，组建大通湖区农村土地承包仲裁庭；负责提供法律法规和政策咨询服务；负责管理文书、档案、印鉴及纠纷案件归集。</w:t>
      </w:r>
    </w:p>
    <w:p>
      <w:pPr>
        <w:keepNext w:val="0"/>
        <w:keepLines w:val="0"/>
        <w:pageBreakBefore w:val="0"/>
        <w:kinsoku/>
        <w:wordWrap/>
        <w:overflowPunct w:val="0"/>
        <w:topLinePunct w:val="0"/>
        <w:autoSpaceDE w:val="0"/>
        <w:autoSpaceDN w:val="0"/>
        <w:bidi w:val="0"/>
        <w:adjustRightInd/>
        <w:snapToGrid/>
        <w:spacing w:line="360" w:lineRule="auto"/>
        <w:ind w:firstLine="640" w:firstLineChars="200"/>
        <w:textAlignment w:val="auto"/>
        <w:rPr>
          <w:rFonts w:hint="eastAsia" w:ascii="黑体" w:hAnsi="黑体" w:eastAsia="黑体" w:cs="仿宋_GB2312"/>
          <w:bCs/>
          <w:color w:val="000000"/>
          <w:sz w:val="32"/>
          <w:szCs w:val="32"/>
        </w:rPr>
      </w:pPr>
      <w:r>
        <w:rPr>
          <w:rFonts w:hint="eastAsia" w:ascii="黑体" w:hAnsi="黑体" w:eastAsia="黑体" w:cs="仿宋_GB2312"/>
          <w:bCs/>
          <w:color w:val="000000"/>
          <w:sz w:val="32"/>
          <w:szCs w:val="32"/>
        </w:rPr>
        <w:t>二、绩效评价工作情况</w:t>
      </w:r>
    </w:p>
    <w:p>
      <w:pPr>
        <w:pStyle w:val="23"/>
        <w:keepNext w:val="0"/>
        <w:keepLines w:val="0"/>
        <w:pageBreakBefore w:val="0"/>
        <w:kinsoku/>
        <w:wordWrap/>
        <w:topLinePunct w:val="0"/>
        <w:autoSpaceDE w:val="0"/>
        <w:bidi w:val="0"/>
        <w:adjustRightInd/>
        <w:snapToGrid/>
        <w:spacing w:before="0" w:beforeAutospacing="0" w:after="0" w:afterAutospacing="0" w:line="360" w:lineRule="auto"/>
        <w:ind w:firstLine="640" w:firstLineChars="200"/>
        <w:jc w:val="both"/>
        <w:textAlignment w:val="auto"/>
        <w:rPr>
          <w:rStyle w:val="14"/>
          <w:rFonts w:hint="eastAsia" w:ascii="仿宋" w:hAnsi="仿宋" w:eastAsia="仿宋" w:cs="仿宋"/>
          <w:b w:val="0"/>
          <w:bCs w:val="0"/>
          <w:sz w:val="32"/>
          <w:szCs w:val="32"/>
        </w:rPr>
      </w:pPr>
      <w:r>
        <w:rPr>
          <w:rStyle w:val="14"/>
          <w:rFonts w:hint="eastAsia" w:ascii="仿宋" w:hAnsi="仿宋" w:eastAsia="仿宋" w:cs="仿宋"/>
          <w:b w:val="0"/>
          <w:bCs w:val="0"/>
          <w:sz w:val="32"/>
          <w:szCs w:val="32"/>
        </w:rPr>
        <w:t>（一）绩效评价目的</w:t>
      </w:r>
    </w:p>
    <w:p>
      <w:pPr>
        <w:keepNext w:val="0"/>
        <w:keepLines w:val="0"/>
        <w:pageBreakBefore w:val="0"/>
        <w:widowControl/>
        <w:kinsoku/>
        <w:wordWrap/>
        <w:topLinePunct w:val="0"/>
        <w:bidi w:val="0"/>
        <w:adjustRightInd/>
        <w:snapToGrid/>
        <w:spacing w:line="360" w:lineRule="auto"/>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财政支出绩效自评的目的，主要是通过项目立项情况(重点是绩效目标的设置情况)、资金使用情况、项目实施管理情况、项目绩效表现情况自我评价，了解资金使用是否达到了预期目标、资金管理是否规范、资金使用是否有效，检验资金支出效率和效果，分析存在问题及原因，及时总结经验，改进管理措施，不断增强和落实绩效管理责任，完善工作机制，有效提高资金管理水平和使用效益，进一步提升绩效管理水平，强化支出责任，提高财政资金使用效益。</w:t>
      </w:r>
    </w:p>
    <w:p>
      <w:pPr>
        <w:pStyle w:val="10"/>
        <w:keepNext w:val="0"/>
        <w:keepLines w:val="0"/>
        <w:pageBreakBefore w:val="0"/>
        <w:numPr>
          <w:ilvl w:val="0"/>
          <w:numId w:val="1"/>
        </w:numPr>
        <w:kinsoku/>
        <w:wordWrap/>
        <w:overflowPunct w:val="0"/>
        <w:topLinePunct w:val="0"/>
        <w:bidi w:val="0"/>
        <w:adjustRightInd/>
        <w:snapToGrid/>
        <w:spacing w:before="0" w:beforeAutospacing="0" w:after="0" w:afterAutospacing="0" w:line="360" w:lineRule="auto"/>
        <w:ind w:left="0" w:firstLine="640"/>
        <w:jc w:val="both"/>
        <w:textAlignment w:val="auto"/>
        <w:rPr>
          <w:rFonts w:hint="eastAsia"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绩效评价工作过程</w:t>
      </w:r>
      <w:r>
        <w:rPr>
          <w:rFonts w:hint="eastAsia" w:eastAsia="仿宋_GB2312" w:cs="Times New Roman"/>
          <w:color w:val="000000"/>
          <w:sz w:val="32"/>
          <w:szCs w:val="32"/>
          <w:lang w:val="en-US" w:eastAsia="zh-CN"/>
        </w:rPr>
        <w:t>。</w:t>
      </w:r>
    </w:p>
    <w:p>
      <w:pPr>
        <w:pStyle w:val="10"/>
        <w:keepNext w:val="0"/>
        <w:keepLines w:val="0"/>
        <w:pageBreakBefore w:val="0"/>
        <w:numPr>
          <w:ilvl w:val="0"/>
          <w:numId w:val="0"/>
        </w:numPr>
        <w:kinsoku/>
        <w:wordWrap/>
        <w:overflowPunct w:val="0"/>
        <w:topLinePunct w:val="0"/>
        <w:bidi w:val="0"/>
        <w:adjustRightInd/>
        <w:snapToGrid/>
        <w:spacing w:before="0" w:beforeAutospacing="0" w:after="0" w:afterAutospacing="0" w:line="360" w:lineRule="auto"/>
        <w:ind w:right="0" w:rightChars="0" w:firstLine="640" w:firstLineChars="20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我们按照区财政局绩效评价规程要求，制定了详细的工作方案，明确科室责任，确定评价指标细则,按照要求展开自评工作，查阅相关文件资料和财务凭证，对收集资料进行定量定性分析，综合评议后形成评价结论，出具绩效评价报告。</w:t>
      </w:r>
    </w:p>
    <w:p>
      <w:pPr>
        <w:keepNext w:val="0"/>
        <w:keepLines w:val="0"/>
        <w:pageBreakBefore w:val="0"/>
        <w:kinsoku/>
        <w:wordWrap/>
        <w:overflowPunct w:val="0"/>
        <w:topLinePunct w:val="0"/>
        <w:autoSpaceDE w:val="0"/>
        <w:autoSpaceDN w:val="0"/>
        <w:bidi w:val="0"/>
        <w:adjustRightInd/>
        <w:snapToGrid/>
        <w:spacing w:line="360" w:lineRule="auto"/>
        <w:ind w:firstLine="640" w:firstLineChars="200"/>
        <w:textAlignment w:val="auto"/>
        <w:rPr>
          <w:rFonts w:hint="eastAsia" w:ascii="黑体" w:hAnsi="黑体" w:eastAsia="黑体" w:cs="仿宋_GB2312"/>
          <w:bCs/>
          <w:color w:val="000000"/>
          <w:sz w:val="32"/>
          <w:szCs w:val="32"/>
        </w:rPr>
      </w:pPr>
      <w:r>
        <w:rPr>
          <w:rFonts w:hint="eastAsia" w:ascii="黑体" w:hAnsi="黑体" w:eastAsia="黑体" w:cs="仿宋_GB2312"/>
          <w:bCs/>
          <w:color w:val="000000"/>
          <w:sz w:val="32"/>
          <w:szCs w:val="32"/>
        </w:rPr>
        <w:t>三、主要绩效及评价结论</w:t>
      </w:r>
    </w:p>
    <w:p>
      <w:pPr>
        <w:pStyle w:val="10"/>
        <w:keepNext w:val="0"/>
        <w:keepLines w:val="0"/>
        <w:pageBreakBefore w:val="0"/>
        <w:kinsoku/>
        <w:wordWrap/>
        <w:overflowPunct w:val="0"/>
        <w:topLinePunct w:val="0"/>
        <w:bidi w:val="0"/>
        <w:adjustRightInd/>
        <w:snapToGrid/>
        <w:spacing w:before="0" w:beforeAutospacing="0" w:after="0" w:afterAutospacing="0" w:line="360" w:lineRule="auto"/>
        <w:ind w:left="0" w:firstLine="640"/>
        <w:jc w:val="both"/>
        <w:textAlignment w:val="auto"/>
        <w:rPr>
          <w:rFonts w:hint="default" w:ascii="Times New Roman" w:hAnsi="Times New Roman" w:eastAsia="仿宋" w:cs="Times New Roman"/>
          <w:color w:val="000000"/>
          <w:sz w:val="32"/>
          <w:szCs w:val="32"/>
          <w:lang w:val="en-US" w:eastAsia="zh-CN"/>
        </w:rPr>
      </w:pPr>
      <w:r>
        <w:rPr>
          <w:rFonts w:hint="eastAsia" w:eastAsia="仿宋_GB2312" w:cs="Times New Roman"/>
          <w:color w:val="000000"/>
          <w:sz w:val="32"/>
          <w:szCs w:val="32"/>
          <w:lang w:val="en-US" w:eastAsia="zh-CN"/>
        </w:rPr>
        <w:t>1</w:t>
      </w:r>
      <w:r>
        <w:rPr>
          <w:rFonts w:hint="eastAsia" w:ascii="Times New Roman" w:hAnsi="Times New Roman" w:eastAsia="仿宋_GB2312" w:cs="Times New Roman"/>
          <w:color w:val="000000"/>
          <w:sz w:val="32"/>
          <w:szCs w:val="32"/>
          <w:lang w:val="en-US" w:eastAsia="zh-CN"/>
        </w:rPr>
        <w:t>、效率性分析，重点工作完成率：</w:t>
      </w:r>
      <w:r>
        <w:rPr>
          <w:rFonts w:hint="eastAsia" w:ascii="Times New Roman" w:hAnsi="Times New Roman" w:eastAsia="仿宋_GB2312" w:cs="Times New Roman"/>
          <w:color w:val="auto"/>
          <w:sz w:val="32"/>
          <w:szCs w:val="32"/>
          <w:lang w:val="en-US" w:eastAsia="zh-CN"/>
        </w:rPr>
        <w:t>一是</w:t>
      </w:r>
      <w:r>
        <w:rPr>
          <w:rFonts w:hint="default" w:ascii="Times New Roman" w:hAnsi="Times New Roman" w:eastAsia="仿宋_GB2312" w:cs="Times New Roman"/>
          <w:color w:val="auto"/>
          <w:sz w:val="32"/>
          <w:szCs w:val="32"/>
          <w:lang w:val="en-US" w:eastAsia="zh-CN"/>
        </w:rPr>
        <w:t>不断提升打击效能，深入推进专项整治</w:t>
      </w:r>
      <w:r>
        <w:rPr>
          <w:rFonts w:hint="eastAsia" w:ascii="Times New Roman" w:hAnsi="Times New Roman" w:eastAsia="仿宋_GB2312" w:cs="Times New Roman"/>
          <w:color w:val="auto"/>
          <w:sz w:val="32"/>
          <w:szCs w:val="32"/>
          <w:lang w:val="en-US" w:eastAsia="zh-CN"/>
        </w:rPr>
        <w:t>。</w:t>
      </w:r>
      <w:r>
        <w:rPr>
          <w:rFonts w:hint="eastAsia" w:ascii="仿宋" w:hAnsi="仿宋" w:eastAsia="仿宋" w:cs="仿宋"/>
          <w:b w:val="0"/>
          <w:bCs w:val="0"/>
          <w:color w:val="auto"/>
          <w:sz w:val="32"/>
          <w:szCs w:val="32"/>
          <w:lang w:val="en-US" w:eastAsia="zh-CN"/>
        </w:rPr>
        <w:t>全区刑事立案196起，同比下降10.5%，破案123起，破案率62.76%，破案率同比上升12.42%，抓获犯罪嫌疑人184人，同比上升5.75%，移送起诉181人，同比上升33.1%。受理行政案件222起，同比下降22.1%，行政案件办结率52.25%，同比上升3.47%，行政处罚168人，同比上升7%。实现命案18年全破。</w:t>
      </w:r>
      <w:r>
        <w:rPr>
          <w:rFonts w:hint="eastAsia" w:ascii="仿宋" w:hAnsi="仿宋" w:eastAsia="仿宋" w:cs="仿宋"/>
          <w:color w:val="auto"/>
          <w:sz w:val="32"/>
          <w:szCs w:val="32"/>
          <w:lang w:val="en-US" w:eastAsia="zh-CN"/>
        </w:rPr>
        <w:t>强制戒毒2人。</w:t>
      </w:r>
      <w:r>
        <w:rPr>
          <w:rFonts w:hint="eastAsia" w:ascii="Times New Roman" w:hAnsi="Times New Roman" w:eastAsia="仿宋_GB2312" w:cs="仿宋_GB2312"/>
          <w:sz w:val="32"/>
          <w:szCs w:val="32"/>
          <w:lang w:val="en-US" w:eastAsia="zh-CN"/>
        </w:rPr>
        <w:t>立盗窃刑事案件42起，破获12起，抓获犯罪嫌疑人14人，完成率33.33%。</w:t>
      </w:r>
      <w:r>
        <w:rPr>
          <w:rFonts w:hint="eastAsia" w:ascii="仿宋" w:hAnsi="仿宋" w:eastAsia="仿宋" w:cs="仿宋"/>
          <w:color w:val="auto"/>
          <w:sz w:val="32"/>
          <w:szCs w:val="32"/>
        </w:rPr>
        <w:t>深入开展“利剑护蕾”专项行动，</w:t>
      </w:r>
      <w:r>
        <w:rPr>
          <w:rFonts w:hint="eastAsia" w:ascii="仿宋" w:hAnsi="仿宋" w:eastAsia="仿宋" w:cs="仿宋"/>
          <w:color w:val="auto"/>
          <w:sz w:val="32"/>
          <w:szCs w:val="32"/>
          <w:lang w:val="en-US" w:eastAsia="zh-CN"/>
        </w:rPr>
        <w:t>侦办性侵未成年人案件1起，</w:t>
      </w:r>
      <w:r>
        <w:rPr>
          <w:rFonts w:hint="eastAsia" w:ascii="仿宋" w:hAnsi="仿宋" w:eastAsia="仿宋" w:cs="仿宋"/>
          <w:b w:val="0"/>
          <w:bCs w:val="0"/>
          <w:color w:val="auto"/>
          <w:sz w:val="32"/>
          <w:szCs w:val="32"/>
          <w:lang w:val="en-US" w:eastAsia="zh-CN"/>
        </w:rPr>
        <w:t>全面梳理近5年来</w:t>
      </w:r>
      <w:r>
        <w:rPr>
          <w:rFonts w:hint="eastAsia" w:ascii="仿宋" w:hAnsi="仿宋" w:eastAsia="仿宋" w:cs="仿宋"/>
          <w:color w:val="auto"/>
          <w:sz w:val="32"/>
          <w:szCs w:val="32"/>
          <w:lang w:val="en-US" w:eastAsia="zh-CN"/>
        </w:rPr>
        <w:t>性侵未成年人的案件，实现了案件全破。深入推进“生态三湘”行动，查处非法排污案件1起，行政拘留1人；查处非法捕捞案件7起，移送起诉11人。打击食药农资、假药劣药行动完成移送起诉4人，采取措施2人。办理假冒注册商标案（销售假烟案）一起，移送起诉4人。受理电诈类案件48起，破案8起，抓获涉诈人员59人，实现了发案和受损金额双下降。截至12月05日，全区反诈APP注册率38.31%，排名全市第2</w:t>
      </w:r>
      <w:r>
        <w:rPr>
          <w:rFonts w:hint="eastAsia" w:ascii="Times New Roman" w:hAnsi="Times New Roman" w:eastAsia="仿宋_GB2312" w:cs="Times New Roman"/>
          <w:color w:val="000000"/>
          <w:sz w:val="32"/>
          <w:szCs w:val="32"/>
          <w:lang w:val="en-US" w:eastAsia="zh-CN"/>
        </w:rPr>
        <w:t>。</w:t>
      </w:r>
      <w:r>
        <w:rPr>
          <w:rFonts w:hint="eastAsia" w:ascii="Times New Roman" w:hAnsi="Times New Roman" w:eastAsia="仿宋_GB2312" w:cs="Times New Roman"/>
          <w:color w:val="auto"/>
          <w:sz w:val="32"/>
          <w:szCs w:val="32"/>
          <w:lang w:val="en-US" w:eastAsia="zh-CN"/>
        </w:rPr>
        <w:t>二是扎实做好涉稳重点人员管控</w:t>
      </w:r>
      <w:r>
        <w:rPr>
          <w:rFonts w:hint="default" w:ascii="Times New Roman" w:hAnsi="Times New Roman" w:eastAsia="仿宋_GB2312" w:cs="Times New Roman"/>
          <w:color w:val="auto"/>
          <w:sz w:val="32"/>
          <w:szCs w:val="32"/>
          <w:lang w:val="en-US" w:eastAsia="zh-CN"/>
        </w:rPr>
        <w:t>，开展重大涉稳问题隐患排查工作</w:t>
      </w:r>
      <w:r>
        <w:rPr>
          <w:rFonts w:hint="eastAsia" w:ascii="Times New Roman" w:hAnsi="Times New Roman" w:eastAsia="仿宋_GB2312" w:cs="Times New Roman"/>
          <w:color w:val="auto"/>
          <w:sz w:val="32"/>
          <w:szCs w:val="32"/>
          <w:lang w:val="en-US" w:eastAsia="zh-CN"/>
        </w:rPr>
        <w:t>。</w:t>
      </w:r>
      <w:r>
        <w:rPr>
          <w:rFonts w:hint="eastAsia" w:ascii="仿宋" w:hAnsi="仿宋" w:eastAsia="仿宋" w:cs="仿宋_GB2312"/>
          <w:color w:val="000000"/>
          <w:sz w:val="32"/>
          <w:szCs w:val="32"/>
          <w:lang w:eastAsia="zh-CN"/>
        </w:rPr>
        <w:t>据省委、省政府（湘政办发〔2022〕1号）文件精神及市委政法委的统一安排，我们对全区重点人员进行了全面摸排，共摸排上报8</w:t>
      </w:r>
      <w:r>
        <w:rPr>
          <w:rFonts w:hint="eastAsia" w:ascii="仿宋" w:hAnsi="仿宋" w:eastAsia="仿宋" w:cs="仿宋_GB2312"/>
          <w:color w:val="000000"/>
          <w:sz w:val="32"/>
          <w:szCs w:val="32"/>
          <w:lang w:val="en-US" w:eastAsia="zh-CN"/>
        </w:rPr>
        <w:t>2</w:t>
      </w:r>
      <w:r>
        <w:rPr>
          <w:rFonts w:hint="eastAsia" w:ascii="仿宋" w:hAnsi="仿宋" w:eastAsia="仿宋" w:cs="仿宋_GB2312"/>
          <w:color w:val="000000"/>
          <w:sz w:val="32"/>
          <w:szCs w:val="32"/>
          <w:lang w:eastAsia="zh-CN"/>
        </w:rPr>
        <w:t>人，</w:t>
      </w:r>
      <w:r>
        <w:rPr>
          <w:rFonts w:hint="eastAsia" w:ascii="仿宋" w:hAnsi="仿宋" w:eastAsia="仿宋" w:cs="仿宋_GB2312"/>
          <w:color w:val="000000"/>
          <w:sz w:val="32"/>
          <w:szCs w:val="32"/>
          <w:lang w:val="en-US" w:eastAsia="zh-CN"/>
        </w:rPr>
        <w:t>其中</w:t>
      </w:r>
      <w:r>
        <w:rPr>
          <w:rFonts w:hint="eastAsia" w:ascii="仿宋" w:hAnsi="仿宋" w:eastAsia="仿宋" w:cs="仿宋_GB2312"/>
          <w:color w:val="000000"/>
          <w:sz w:val="32"/>
          <w:szCs w:val="32"/>
          <w:lang w:eastAsia="zh-CN"/>
        </w:rPr>
        <w:t>I类风险人员</w:t>
      </w:r>
      <w:r>
        <w:rPr>
          <w:rFonts w:hint="eastAsia" w:ascii="仿宋" w:hAnsi="仿宋" w:eastAsia="仿宋" w:cs="仿宋_GB2312"/>
          <w:color w:val="000000"/>
          <w:sz w:val="32"/>
          <w:szCs w:val="32"/>
          <w:lang w:val="en-US" w:eastAsia="zh-CN"/>
        </w:rPr>
        <w:t>5</w:t>
      </w:r>
      <w:r>
        <w:rPr>
          <w:rFonts w:hint="eastAsia" w:ascii="仿宋" w:hAnsi="仿宋" w:eastAsia="仿宋" w:cs="仿宋_GB2312"/>
          <w:color w:val="000000"/>
          <w:sz w:val="32"/>
          <w:szCs w:val="32"/>
          <w:lang w:eastAsia="zh-CN"/>
        </w:rPr>
        <w:t>人，Ⅱ类风险7</w:t>
      </w:r>
      <w:r>
        <w:rPr>
          <w:rFonts w:hint="eastAsia" w:ascii="仿宋" w:hAnsi="仿宋" w:eastAsia="仿宋" w:cs="仿宋_GB2312"/>
          <w:color w:val="000000"/>
          <w:sz w:val="32"/>
          <w:szCs w:val="32"/>
          <w:lang w:val="en-US" w:eastAsia="zh-CN"/>
        </w:rPr>
        <w:t>7</w:t>
      </w:r>
      <w:r>
        <w:rPr>
          <w:rFonts w:hint="eastAsia" w:ascii="仿宋" w:hAnsi="仿宋" w:eastAsia="仿宋" w:cs="仿宋_GB2312"/>
          <w:color w:val="000000"/>
          <w:sz w:val="32"/>
          <w:szCs w:val="32"/>
          <w:lang w:eastAsia="zh-CN"/>
        </w:rPr>
        <w:t>人，</w:t>
      </w:r>
      <w:r>
        <w:rPr>
          <w:rFonts w:hint="eastAsia" w:ascii="仿宋" w:hAnsi="仿宋" w:eastAsia="仿宋" w:cs="仿宋_GB2312"/>
          <w:color w:val="000000"/>
          <w:sz w:val="32"/>
          <w:szCs w:val="32"/>
          <w:lang w:val="en-US" w:eastAsia="zh-CN"/>
        </w:rPr>
        <w:t>均</w:t>
      </w:r>
      <w:r>
        <w:rPr>
          <w:rFonts w:hint="eastAsia" w:ascii="仿宋" w:hAnsi="仿宋" w:eastAsia="仿宋" w:cs="仿宋_GB2312"/>
          <w:color w:val="000000"/>
          <w:sz w:val="32"/>
          <w:szCs w:val="32"/>
          <w:lang w:eastAsia="zh-CN"/>
        </w:rPr>
        <w:t>实行动态管理，已全部落实</w:t>
      </w:r>
      <w:r>
        <w:rPr>
          <w:rFonts w:hint="eastAsia" w:ascii="仿宋" w:hAnsi="仿宋" w:eastAsia="仿宋" w:cs="仿宋_GB2312"/>
          <w:color w:val="000000"/>
          <w:sz w:val="32"/>
          <w:szCs w:val="32"/>
          <w:lang w:val="zh-CN" w:eastAsia="zh-CN"/>
        </w:rPr>
        <w:t>“五包一</w:t>
      </w:r>
      <w:r>
        <w:rPr>
          <w:rFonts w:hint="eastAsia" w:ascii="仿宋" w:hAnsi="仿宋" w:eastAsia="仿宋" w:cs="仿宋_GB2312"/>
          <w:color w:val="000000"/>
          <w:sz w:val="32"/>
          <w:szCs w:val="32"/>
          <w:lang w:eastAsia="zh-CN"/>
        </w:rPr>
        <w:t>”管控措施</w:t>
      </w:r>
      <w:r>
        <w:rPr>
          <w:rFonts w:hint="eastAsia" w:ascii="Times New Roman" w:hAnsi="Times New Roman" w:eastAsia="仿宋_GB2312" w:cs="Times New Roman"/>
          <w:color w:val="000000"/>
          <w:sz w:val="32"/>
          <w:szCs w:val="32"/>
          <w:lang w:val="en-US" w:eastAsia="zh-CN"/>
        </w:rPr>
        <w:t>。</w:t>
      </w:r>
      <w:r>
        <w:rPr>
          <w:rFonts w:hint="eastAsia" w:ascii="仿宋" w:hAnsi="仿宋" w:eastAsia="仿宋" w:cs="仿宋_GB2312"/>
          <w:color w:val="000000"/>
          <w:sz w:val="32"/>
          <w:szCs w:val="32"/>
          <w:lang w:eastAsia="zh-CN"/>
        </w:rPr>
        <w:t>定期开展了全区涉稳问题隐患排查工作，</w:t>
      </w:r>
      <w:r>
        <w:rPr>
          <w:rFonts w:hint="eastAsia" w:ascii="仿宋" w:hAnsi="仿宋" w:eastAsia="仿宋" w:cs="仿宋_GB2312"/>
          <w:color w:val="000000"/>
          <w:sz w:val="32"/>
          <w:szCs w:val="32"/>
          <w:lang w:val="en-US" w:eastAsia="zh-CN"/>
        </w:rPr>
        <w:t>开展社会稳定风险评估项目9个，其中委托第三方评估5个、自评4个、低风险8个、中风险1个，全部按规定程序进行备案登记，未出现一例应评而未评的事项，更无因项目评估引发渉稳事件发生。</w:t>
      </w:r>
      <w:r>
        <w:rPr>
          <w:rFonts w:hint="eastAsia" w:ascii="仿宋" w:hAnsi="仿宋" w:eastAsia="仿宋" w:cs="仿宋_GB2312"/>
          <w:color w:val="000000"/>
          <w:sz w:val="32"/>
          <w:szCs w:val="32"/>
          <w:lang w:eastAsia="zh-CN"/>
        </w:rPr>
        <w:t>开展了2次社会面邪教反宣品集中排查清理整治，共搜查出反宣品21份。开展</w:t>
      </w:r>
      <w:r>
        <w:rPr>
          <w:rFonts w:hint="eastAsia" w:ascii="仿宋" w:hAnsi="仿宋" w:eastAsia="仿宋" w:cs="仿宋_GB2312"/>
          <w:color w:val="000000"/>
          <w:sz w:val="32"/>
          <w:szCs w:val="32"/>
          <w:lang w:val="zh-CN" w:eastAsia="zh-CN"/>
        </w:rPr>
        <w:t>“法</w:t>
      </w:r>
      <w:r>
        <w:rPr>
          <w:rFonts w:hint="eastAsia" w:ascii="仿宋" w:hAnsi="仿宋" w:eastAsia="仿宋" w:cs="仿宋_GB2312"/>
          <w:color w:val="000000"/>
          <w:sz w:val="32"/>
          <w:szCs w:val="32"/>
          <w:lang w:eastAsia="zh-CN"/>
        </w:rPr>
        <w:t>轮功”人员核准入库工作。成功转化2名法轮功练习人员。</w:t>
      </w:r>
      <w:r>
        <w:rPr>
          <w:rFonts w:hint="eastAsia" w:ascii="Times New Roman" w:hAnsi="Times New Roman" w:eastAsia="仿宋_GB2312" w:cs="Times New Roman"/>
          <w:color w:val="auto"/>
          <w:sz w:val="32"/>
          <w:szCs w:val="32"/>
          <w:lang w:val="en-US" w:eastAsia="zh-CN"/>
        </w:rPr>
        <w:t>三是</w:t>
      </w:r>
      <w:r>
        <w:rPr>
          <w:rFonts w:hint="default" w:ascii="Times New Roman" w:hAnsi="Times New Roman" w:eastAsia="仿宋_GB2312" w:cs="Times New Roman"/>
          <w:color w:val="auto"/>
          <w:sz w:val="32"/>
          <w:szCs w:val="32"/>
          <w:lang w:val="en-US" w:eastAsia="zh-CN"/>
        </w:rPr>
        <w:t>网格化执行落地落实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诉前调解亮点突出</w:t>
      </w:r>
      <w:r>
        <w:rPr>
          <w:rFonts w:hint="eastAsia" w:ascii="Times New Roman" w:hAnsi="Times New Roman" w:eastAsia="仿宋_GB2312" w:cs="Times New Roman"/>
          <w:color w:val="000000"/>
          <w:sz w:val="32"/>
          <w:szCs w:val="32"/>
          <w:lang w:val="en-US" w:eastAsia="zh-CN"/>
        </w:rPr>
        <w:t>。</w:t>
      </w:r>
      <w:r>
        <w:rPr>
          <w:rFonts w:hint="eastAsia" w:ascii="仿宋_GB2312" w:hAnsi="仿宋_GB2312" w:eastAsia="仿宋_GB2312" w:cs="仿宋_GB2312"/>
          <w:b w:val="0"/>
          <w:bCs/>
          <w:color w:val="000000"/>
          <w:sz w:val="32"/>
          <w:szCs w:val="32"/>
          <w:lang w:val="en-US" w:eastAsia="zh-CN"/>
        </w:rPr>
        <w:t>制定了《关于大通湖区网格化执行管理工作实施意见》，以区人民法院为主体，各单位协助，由全区120余名网格员组建网格化执行平台，协助法院开展查人找物、收集证据、文书送达等执行辅助工作</w:t>
      </w:r>
      <w:r>
        <w:rPr>
          <w:rFonts w:hint="eastAsia" w:ascii="Times New Roman" w:hAnsi="Times New Roman" w:eastAsia="仿宋_GB2312" w:cs="Times New Roman"/>
          <w:color w:val="000000"/>
          <w:sz w:val="32"/>
          <w:szCs w:val="32"/>
          <w:lang w:val="en-US" w:eastAsia="zh-CN"/>
        </w:rPr>
        <w:t>。</w:t>
      </w:r>
      <w:r>
        <w:rPr>
          <w:rFonts w:hint="eastAsia" w:ascii="仿宋" w:hAnsi="仿宋" w:eastAsia="仿宋" w:cs="仿宋"/>
          <w:sz w:val="32"/>
          <w:szCs w:val="32"/>
          <w:lang w:val="en-US" w:eastAsia="zh-CN"/>
        </w:rPr>
        <w:t>区人民法院</w:t>
      </w:r>
      <w:r>
        <w:rPr>
          <w:rFonts w:hint="eastAsia" w:ascii="仿宋_GB2312" w:hAnsi="仿宋_GB2312" w:eastAsia="仿宋_GB2312" w:cs="仿宋_GB2312"/>
          <w:b w:val="0"/>
          <w:bCs/>
          <w:color w:val="000000"/>
          <w:sz w:val="32"/>
          <w:szCs w:val="32"/>
          <w:lang w:val="en-US" w:eastAsia="zh-CN"/>
        </w:rPr>
        <w:t>院今年来共受理执行案件227件，结案209件，结案率92.1%。申请执行标的金额2000余万元，执行到位800余万元，实际执行到位率38.9%。诉前调解成功案件236件，调解成功率92.19%，诉前调解平均办理时长7.2天，司法确认案件66件，其中乡镇6件，行业调解组织14件。</w:t>
      </w:r>
      <w:r>
        <w:rPr>
          <w:rFonts w:hint="eastAsia" w:ascii="Times New Roman" w:hAnsi="Times New Roman" w:eastAsia="仿宋_GB2312" w:cs="Times New Roman"/>
          <w:color w:val="auto"/>
          <w:sz w:val="32"/>
          <w:szCs w:val="32"/>
          <w:lang w:val="en-US" w:eastAsia="zh-CN"/>
        </w:rPr>
        <w:t>四是深入推进矛盾纠纷多元化解，着力乡村法治建设提振乡村振兴。</w:t>
      </w:r>
      <w:r>
        <w:rPr>
          <w:rFonts w:hint="eastAsia" w:ascii="Times New Roman" w:hAnsi="Times New Roman" w:eastAsia="仿宋_GB2312" w:cs="Times New Roman"/>
          <w:color w:val="000000"/>
          <w:sz w:val="32"/>
          <w:szCs w:val="32"/>
          <w:lang w:val="en-US" w:eastAsia="zh-CN"/>
        </w:rPr>
        <w:t>全区各级人民调解组织排查调处各类矛盾纠纷956起，调解成功930起，调解成功率97.3%，其中疑难复杂案件18起，基层排查调处各类纠纷563起，行业性专业性和其他调委会调解案件393起，涉案金额1717.7万元，涉及纠纷当事人1956人，村（社区）调委会调解案件占镇村两级调委会调解案件总数达96.8%。我区信访局接待群众来访1002批1477人次，其中群访24批246人次，接听市（区）长热线1807件次，受理网上投诉43件次、群众来信20件次。共召开7次区信访工作联席会议，调处、化解了78个信访问题。信访业务指标方面，我区信访部门和责任单位的及时受理率、群众满意率均达到了100%，按期答复率100%。</w:t>
      </w:r>
      <w:r>
        <w:rPr>
          <w:rFonts w:hint="eastAsia" w:ascii="仿宋" w:hAnsi="仿宋" w:eastAsia="仿宋" w:cs="仿宋"/>
          <w:sz w:val="32"/>
          <w:szCs w:val="32"/>
          <w:lang w:val="en-US" w:eastAsia="zh-CN"/>
        </w:rPr>
        <w:t>着力法治建设提振乡村振兴，</w:t>
      </w:r>
      <w:r>
        <w:rPr>
          <w:rFonts w:hint="eastAsia" w:ascii="仿宋" w:hAnsi="仿宋" w:eastAsia="仿宋" w:cs="仿宋"/>
          <w:sz w:val="32"/>
          <w:szCs w:val="32"/>
          <w:lang w:eastAsia="zh-CN"/>
        </w:rPr>
        <w:t>全面启动</w:t>
      </w:r>
      <w:r>
        <w:rPr>
          <w:rFonts w:hint="eastAsia" w:ascii="仿宋" w:hAnsi="仿宋" w:eastAsia="仿宋" w:cs="仿宋"/>
          <w:sz w:val="32"/>
          <w:szCs w:val="32"/>
        </w:rPr>
        <w:t>“八五”普法</w:t>
      </w:r>
      <w:r>
        <w:rPr>
          <w:rFonts w:hint="eastAsia" w:ascii="仿宋" w:hAnsi="仿宋" w:eastAsia="仿宋" w:cs="仿宋"/>
          <w:sz w:val="32"/>
          <w:szCs w:val="32"/>
          <w:lang w:eastAsia="zh-CN"/>
        </w:rPr>
        <w:t>工作，</w:t>
      </w:r>
      <w:r>
        <w:rPr>
          <w:rFonts w:hint="eastAsia" w:ascii="仿宋" w:hAnsi="仿宋" w:eastAsia="仿宋" w:cs="仿宋"/>
          <w:sz w:val="32"/>
          <w:szCs w:val="32"/>
          <w:lang w:val="en-US" w:eastAsia="zh-CN"/>
        </w:rPr>
        <w:t>共计发放资料1000余份，</w:t>
      </w:r>
      <w:r>
        <w:rPr>
          <w:rFonts w:hint="eastAsia" w:ascii="仿宋" w:hAnsi="仿宋" w:eastAsia="仿宋" w:cs="仿宋"/>
          <w:color w:val="auto"/>
          <w:sz w:val="32"/>
          <w:szCs w:val="32"/>
          <w:lang w:eastAsia="zh-CN"/>
        </w:rPr>
        <w:t>提供各类咨询服务百余次。</w:t>
      </w:r>
      <w:r>
        <w:rPr>
          <w:rFonts w:hint="eastAsia" w:ascii="仿宋" w:hAnsi="仿宋" w:eastAsia="仿宋" w:cs="仿宋"/>
          <w:sz w:val="32"/>
          <w:szCs w:val="32"/>
          <w:lang w:val="en-US" w:eastAsia="zh-CN"/>
        </w:rPr>
        <w:t>组织开展大学生寒暑假“送法下乡”活动；全方位开展公共法律服务，区公共法律服务中心共接待群众法律咨询476人次，办理法律帮助案件93件，完成法律援助案件42件；做好重大行政决策审查备案，现已完成区管委重大决策、合同审查23件，规范性文件审查12件，出具法制审查意见26条。着力刑法执行规范落实社区矫正，</w:t>
      </w:r>
      <w:r>
        <w:rPr>
          <w:rFonts w:hint="eastAsia" w:ascii="仿宋" w:hAnsi="仿宋" w:eastAsia="仿宋" w:cs="仿宋"/>
          <w:sz w:val="32"/>
          <w:szCs w:val="32"/>
        </w:rPr>
        <w:t>全区</w:t>
      </w:r>
      <w:r>
        <w:rPr>
          <w:rFonts w:hint="eastAsia" w:ascii="仿宋" w:hAnsi="仿宋" w:eastAsia="仿宋" w:cs="仿宋"/>
          <w:sz w:val="32"/>
          <w:szCs w:val="32"/>
          <w:lang w:eastAsia="zh-CN"/>
        </w:rPr>
        <w:t>共</w:t>
      </w:r>
      <w:r>
        <w:rPr>
          <w:rFonts w:hint="eastAsia" w:ascii="仿宋" w:hAnsi="仿宋" w:eastAsia="仿宋" w:cs="仿宋"/>
          <w:sz w:val="32"/>
          <w:szCs w:val="32"/>
        </w:rPr>
        <w:t>累计接收社区人员</w:t>
      </w:r>
      <w:r>
        <w:rPr>
          <w:rFonts w:hint="eastAsia" w:ascii="仿宋" w:hAnsi="仿宋" w:eastAsia="仿宋" w:cs="仿宋"/>
          <w:sz w:val="32"/>
          <w:szCs w:val="32"/>
          <w:lang w:val="en-US" w:eastAsia="zh-CN"/>
        </w:rPr>
        <w:t>484</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践行“我为群众办实事”</w:t>
      </w:r>
      <w:r>
        <w:rPr>
          <w:rFonts w:hint="eastAsia" w:ascii="仿宋" w:hAnsi="仿宋" w:eastAsia="仿宋" w:cs="仿宋"/>
          <w:b w:val="0"/>
          <w:i w:val="0"/>
          <w:caps w:val="0"/>
          <w:spacing w:val="0"/>
          <w:w w:val="100"/>
          <w:sz w:val="32"/>
          <w:szCs w:val="32"/>
          <w:lang w:eastAsia="zh-CN"/>
        </w:rPr>
        <w:t>办理法律帮助案件</w:t>
      </w:r>
      <w:r>
        <w:rPr>
          <w:rFonts w:hint="eastAsia" w:ascii="仿宋" w:hAnsi="仿宋" w:eastAsia="仿宋" w:cs="仿宋"/>
          <w:b w:val="0"/>
          <w:i w:val="0"/>
          <w:caps w:val="0"/>
          <w:spacing w:val="0"/>
          <w:w w:val="100"/>
          <w:sz w:val="32"/>
          <w:szCs w:val="32"/>
          <w:lang w:val="en-US" w:eastAsia="zh-CN"/>
        </w:rPr>
        <w:t>93</w:t>
      </w:r>
      <w:r>
        <w:rPr>
          <w:rFonts w:hint="eastAsia" w:ascii="仿宋" w:hAnsi="仿宋" w:eastAsia="仿宋" w:cs="仿宋"/>
          <w:b w:val="0"/>
          <w:i w:val="0"/>
          <w:caps w:val="0"/>
          <w:spacing w:val="0"/>
          <w:w w:val="100"/>
          <w:sz w:val="32"/>
          <w:szCs w:val="32"/>
          <w:lang w:eastAsia="zh-CN"/>
        </w:rPr>
        <w:t>件，完成法律援助案件</w:t>
      </w:r>
      <w:r>
        <w:rPr>
          <w:rFonts w:hint="eastAsia" w:ascii="仿宋" w:hAnsi="仿宋" w:eastAsia="仿宋" w:cs="仿宋"/>
          <w:b w:val="0"/>
          <w:i w:val="0"/>
          <w:caps w:val="0"/>
          <w:spacing w:val="0"/>
          <w:w w:val="100"/>
          <w:sz w:val="32"/>
          <w:szCs w:val="32"/>
          <w:lang w:val="en-US" w:eastAsia="zh-CN"/>
        </w:rPr>
        <w:t>41</w:t>
      </w:r>
      <w:r>
        <w:rPr>
          <w:rFonts w:hint="eastAsia" w:ascii="仿宋" w:hAnsi="仿宋" w:eastAsia="仿宋" w:cs="仿宋"/>
          <w:b w:val="0"/>
          <w:i w:val="0"/>
          <w:caps w:val="0"/>
          <w:spacing w:val="0"/>
          <w:w w:val="100"/>
          <w:sz w:val="32"/>
          <w:szCs w:val="32"/>
          <w:lang w:eastAsia="zh-CN"/>
        </w:rPr>
        <w:t>件。</w:t>
      </w:r>
      <w:r>
        <w:rPr>
          <w:rFonts w:hint="eastAsia" w:ascii="仿宋" w:hAnsi="仿宋" w:eastAsia="仿宋" w:cs="仿宋"/>
          <w:b w:val="0"/>
          <w:i w:val="0"/>
          <w:caps w:val="0"/>
          <w:spacing w:val="0"/>
          <w:w w:val="100"/>
          <w:sz w:val="32"/>
          <w:szCs w:val="32"/>
          <w:lang w:val="en-US" w:eastAsia="zh-CN"/>
        </w:rPr>
        <w:t>五是深化平安乡村创建，推进社会治安体系建设。</w:t>
      </w:r>
      <w:r>
        <w:rPr>
          <w:rFonts w:hint="eastAsia" w:ascii="仿宋" w:hAnsi="仿宋" w:eastAsia="仿宋" w:cs="仿宋"/>
          <w:color w:val="auto"/>
          <w:kern w:val="2"/>
          <w:sz w:val="32"/>
          <w:szCs w:val="32"/>
          <w:lang w:val="en-US" w:eastAsia="zh-CN" w:bidi="ar-SA"/>
        </w:rPr>
        <w:t>开展了平安村、社区和平安网格创建活动；区、镇、村三级开展了平安家庭评比；</w:t>
      </w:r>
      <w:r>
        <w:rPr>
          <w:rFonts w:hint="eastAsia" w:ascii="仿宋" w:hAnsi="仿宋" w:eastAsia="仿宋" w:cs="仿宋"/>
          <w:b w:val="0"/>
          <w:bCs w:val="0"/>
          <w:sz w:val="32"/>
          <w:szCs w:val="32"/>
          <w:lang w:val="en-US" w:eastAsia="zh-CN"/>
        </w:rPr>
        <w:t>开展行业平安创建。</w:t>
      </w:r>
      <w:r>
        <w:rPr>
          <w:rFonts w:hint="eastAsia" w:ascii="仿宋" w:hAnsi="仿宋" w:eastAsia="仿宋" w:cs="仿宋"/>
          <w:color w:val="auto"/>
          <w:kern w:val="2"/>
          <w:sz w:val="32"/>
          <w:szCs w:val="32"/>
          <w:lang w:val="en-US" w:eastAsia="zh-CN" w:bidi="ar-SA"/>
        </w:rPr>
        <w:t>区、镇综治中心，区镇村三级视频监控中心全覆盖，线上巡逻和义务巡逻相结合，治安状况持续向好，</w:t>
      </w:r>
      <w:r>
        <w:rPr>
          <w:rFonts w:hint="eastAsia" w:ascii="仿宋" w:hAnsi="仿宋" w:eastAsia="仿宋" w:cs="仿宋"/>
          <w:b w:val="0"/>
          <w:bCs w:val="0"/>
          <w:color w:val="000000"/>
          <w:sz w:val="32"/>
          <w:szCs w:val="32"/>
          <w:lang w:val="en-US" w:eastAsia="zh-CN"/>
        </w:rPr>
        <w:t>今</w:t>
      </w:r>
      <w:r>
        <w:rPr>
          <w:rFonts w:hint="eastAsia" w:ascii="仿宋" w:hAnsi="仿宋" w:eastAsia="仿宋" w:cs="仿宋"/>
          <w:color w:val="auto"/>
          <w:kern w:val="2"/>
          <w:sz w:val="32"/>
          <w:szCs w:val="32"/>
          <w:lang w:val="en-US" w:eastAsia="zh-CN" w:bidi="ar-SA"/>
        </w:rPr>
        <w:t>全区</w:t>
      </w:r>
      <w:r>
        <w:rPr>
          <w:rFonts w:hint="eastAsia" w:ascii="仿宋" w:hAnsi="仿宋" w:eastAsia="仿宋" w:cs="仿宋"/>
          <w:b w:val="0"/>
          <w:bCs w:val="0"/>
          <w:color w:val="000000"/>
          <w:sz w:val="32"/>
          <w:szCs w:val="32"/>
          <w:lang w:val="en-US" w:eastAsia="zh-CN"/>
        </w:rPr>
        <w:t>年行政案件341起，同比下降8.11%；刑案166起，同比下降37.36%。</w:t>
      </w:r>
    </w:p>
    <w:p>
      <w:pPr>
        <w:keepNext w:val="0"/>
        <w:keepLines w:val="0"/>
        <w:pageBreakBefore w:val="0"/>
        <w:kinsoku/>
        <w:wordWrap/>
        <w:overflowPunct/>
        <w:topLinePunct w:val="0"/>
        <w:autoSpaceDE w:val="0"/>
        <w:autoSpaceDN w:val="0"/>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、效益性分析</w:t>
      </w:r>
      <w:r>
        <w:rPr>
          <w:rFonts w:hint="eastAsia" w:ascii="仿宋" w:hAnsi="仿宋" w:eastAsia="仿宋" w:cs="仿宋"/>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0"/>
        <w:jc w:val="both"/>
        <w:textAlignment w:val="auto"/>
        <w:rPr>
          <w:rFonts w:hint="eastAsia" w:ascii="方正仿宋_GB2312" w:hAnsi="方正仿宋_GB2312" w:eastAsia="方正仿宋_GB2312" w:cs="方正仿宋_GB2312"/>
          <w:color w:val="auto"/>
          <w:kern w:val="0"/>
          <w:sz w:val="32"/>
          <w:szCs w:val="32"/>
          <w:lang w:val="en-US" w:eastAsia="zh-CN"/>
        </w:rPr>
      </w:pPr>
      <w:r>
        <w:rPr>
          <w:rFonts w:hint="eastAsia" w:ascii="方正仿宋_GB2312" w:hAnsi="方正仿宋_GB2312" w:eastAsia="方正仿宋_GB2312" w:cs="方正仿宋_GB2312"/>
          <w:color w:val="auto"/>
          <w:kern w:val="0"/>
          <w:sz w:val="32"/>
          <w:szCs w:val="32"/>
          <w:lang w:val="en-US" w:eastAsia="zh-CN"/>
        </w:rPr>
        <w:t xml:space="preserve"> 2022年，</w:t>
      </w:r>
      <w:r>
        <w:rPr>
          <w:rFonts w:hint="eastAsia" w:ascii="仿宋" w:hAnsi="仿宋" w:eastAsia="仿宋" w:cs="仿宋"/>
          <w:sz w:val="32"/>
          <w:szCs w:val="32"/>
          <w:lang w:val="en-US" w:eastAsia="zh-CN"/>
        </w:rPr>
        <w:t>大通湖区委政法委认真学习贯彻习近平新时代中国特色社会主义思想，全力落实中央、省、市、区各项工作部署，同全区人民一起，战疫情、抗旱情、保稳定、促发展，</w:t>
      </w:r>
      <w:r>
        <w:rPr>
          <w:rFonts w:hint="eastAsia" w:ascii="仿宋" w:hAnsi="仿宋" w:eastAsia="仿宋" w:cs="仿宋"/>
          <w:sz w:val="32"/>
          <w:szCs w:val="32"/>
          <w:lang w:eastAsia="zh-CN"/>
        </w:rPr>
        <w:t>严厉打击社会治安违法犯罪，多元化解社会矛盾，社会治安持续向好，</w:t>
      </w:r>
      <w:r>
        <w:rPr>
          <w:rFonts w:hint="eastAsia" w:ascii="仿宋" w:hAnsi="仿宋" w:eastAsia="仿宋" w:cs="仿宋"/>
          <w:sz w:val="32"/>
          <w:szCs w:val="32"/>
        </w:rPr>
        <w:t>社会大局</w:t>
      </w:r>
      <w:r>
        <w:rPr>
          <w:rFonts w:hint="eastAsia" w:ascii="仿宋" w:hAnsi="仿宋" w:eastAsia="仿宋" w:cs="仿宋"/>
          <w:sz w:val="32"/>
          <w:szCs w:val="32"/>
          <w:lang w:eastAsia="zh-CN"/>
        </w:rPr>
        <w:t>持续稳定。</w:t>
      </w:r>
      <w:r>
        <w:rPr>
          <w:rFonts w:hint="eastAsia" w:ascii="方正仿宋_GB2312" w:hAnsi="方正仿宋_GB2312" w:eastAsia="方正仿宋_GB2312" w:cs="方正仿宋_GB2312"/>
          <w:color w:val="auto"/>
          <w:kern w:val="0"/>
          <w:sz w:val="32"/>
          <w:szCs w:val="32"/>
          <w:lang w:val="en-US" w:eastAsia="zh-CN"/>
        </w:rPr>
        <w:t>2022年</w:t>
      </w:r>
      <w:r>
        <w:rPr>
          <w:rFonts w:hint="eastAsia" w:ascii="Times New Roman" w:hAnsi="Times New Roman" w:eastAsia="仿宋" w:cs="Times New Roman"/>
          <w:b w:val="0"/>
          <w:bCs w:val="0"/>
          <w:color w:val="auto"/>
          <w:sz w:val="32"/>
          <w:szCs w:val="32"/>
          <w:lang w:val="en-US" w:eastAsia="zh-CN"/>
        </w:rPr>
        <w:t>我区信访部门和责任单位的及时受理率、群众满意率均达到了100%，按期答复率100%，</w:t>
      </w:r>
      <w:r>
        <w:rPr>
          <w:rFonts w:hint="eastAsia" w:ascii="仿宋_GB2312" w:hAnsi="仿宋_GB2312" w:eastAsia="仿宋_GB2312" w:cs="仿宋_GB2312"/>
          <w:color w:val="auto"/>
          <w:sz w:val="32"/>
          <w:szCs w:val="32"/>
          <w:lang w:val="en-US" w:eastAsia="zh-CN"/>
        </w:rPr>
        <w:t>实现</w:t>
      </w:r>
      <w:r>
        <w:rPr>
          <w:rFonts w:hint="eastAsia" w:ascii="仿宋_GB2312" w:hAnsi="仿宋_GB2312" w:eastAsia="仿宋_GB2312" w:cs="仿宋_GB2312"/>
          <w:snapToGrid w:val="0"/>
          <w:color w:val="auto"/>
          <w:sz w:val="32"/>
          <w:szCs w:val="32"/>
        </w:rPr>
        <w:t>连续4年进京零非访，全区社会大局持续稳定</w:t>
      </w:r>
      <w:r>
        <w:rPr>
          <w:rFonts w:hint="eastAsia" w:ascii="仿宋_GB2312" w:hAnsi="仿宋_GB2312" w:eastAsia="仿宋_GB2312" w:cs="仿宋_GB2312"/>
          <w:snapToGrid w:val="0"/>
          <w:color w:val="auto"/>
          <w:sz w:val="32"/>
          <w:szCs w:val="32"/>
          <w:lang w:eastAsia="zh-CN"/>
        </w:rPr>
        <w:t>，</w:t>
      </w:r>
      <w:r>
        <w:rPr>
          <w:rFonts w:hint="eastAsia" w:ascii="方正仿宋_GB2312" w:hAnsi="方正仿宋_GB2312" w:eastAsia="方正仿宋_GB2312" w:cs="方正仿宋_GB2312"/>
          <w:color w:val="auto"/>
          <w:kern w:val="0"/>
          <w:sz w:val="32"/>
          <w:szCs w:val="32"/>
          <w:lang w:val="en-US" w:eastAsia="zh-CN"/>
        </w:rPr>
        <w:t>我区</w:t>
      </w:r>
      <w:r>
        <w:rPr>
          <w:rFonts w:hint="eastAsia" w:ascii="仿宋" w:hAnsi="仿宋" w:eastAsia="仿宋" w:cs="仿宋"/>
          <w:color w:val="auto"/>
          <w:sz w:val="32"/>
          <w:szCs w:val="32"/>
          <w:lang w:val="en-US" w:eastAsia="zh-CN"/>
        </w:rPr>
        <w:t>反诈APP注册率38.31%，排名全市第2</w:t>
      </w:r>
      <w:r>
        <w:rPr>
          <w:rFonts w:hint="eastAsia" w:ascii="方正仿宋_GB2312" w:hAnsi="方正仿宋_GB2312" w:eastAsia="方正仿宋_GB2312" w:cs="方正仿宋_GB2312"/>
          <w:color w:val="auto"/>
          <w:kern w:val="0"/>
          <w:sz w:val="32"/>
          <w:szCs w:val="32"/>
          <w:lang w:val="en-US" w:eastAsia="zh-CN"/>
        </w:rPr>
        <w:t>，</w:t>
      </w:r>
      <w:r>
        <w:rPr>
          <w:rFonts w:hint="eastAsia" w:ascii="仿宋_GB2312" w:hAnsi="仿宋_GB2312" w:eastAsia="仿宋_GB2312" w:cs="仿宋_GB2312"/>
          <w:b w:val="0"/>
          <w:bCs/>
          <w:color w:val="auto"/>
          <w:sz w:val="32"/>
          <w:szCs w:val="32"/>
          <w:lang w:val="en-US" w:eastAsia="zh-CN"/>
        </w:rPr>
        <w:t>区人民法院“一站式”诉讼服务体系考核一直排名全省第一，已连续三年排名全省第一。</w:t>
      </w:r>
      <w:r>
        <w:rPr>
          <w:rFonts w:hint="eastAsia" w:ascii="方正仿宋_GB2312" w:hAnsi="方正仿宋_GB2312" w:eastAsia="方正仿宋_GB2312" w:cs="方正仿宋_GB2312"/>
          <w:color w:val="auto"/>
          <w:kern w:val="0"/>
          <w:sz w:val="32"/>
          <w:szCs w:val="32"/>
          <w:lang w:val="en-US" w:eastAsia="zh-CN"/>
        </w:rPr>
        <w:t>区法院</w:t>
      </w:r>
      <w:r>
        <w:rPr>
          <w:rFonts w:hint="eastAsia" w:ascii="仿宋_GB2312" w:hAnsi="仿宋_GB2312" w:eastAsia="仿宋_GB2312" w:cs="仿宋_GB2312"/>
          <w:b w:val="0"/>
          <w:bCs/>
          <w:color w:val="auto"/>
          <w:sz w:val="32"/>
          <w:szCs w:val="32"/>
          <w:lang w:val="en-US" w:eastAsia="zh-CN"/>
        </w:rPr>
        <w:t>执行工作在全省第三类法院考核排名第一、全市第一。</w:t>
      </w:r>
      <w:r>
        <w:rPr>
          <w:rFonts w:hint="eastAsia" w:ascii="仿宋" w:hAnsi="仿宋" w:eastAsia="仿宋" w:cs="仿宋"/>
          <w:color w:val="auto"/>
          <w:kern w:val="2"/>
          <w:sz w:val="32"/>
          <w:szCs w:val="32"/>
          <w:lang w:val="en-US" w:eastAsia="zh-CN" w:bidi="ar-SA"/>
        </w:rPr>
        <w:t>乡村治安智能化建设不断提升，新建“雪亮工程”后续工程193个公共安全视频探头，全区共697个，上线率97.2%，全市第一；“六进六护”联通的摄像头1882个，接入率128%，全市第二。</w:t>
      </w:r>
    </w:p>
    <w:p>
      <w:pPr>
        <w:pStyle w:val="5"/>
        <w:spacing w:line="360" w:lineRule="auto"/>
        <w:ind w:firstLine="640" w:firstLineChars="200"/>
        <w:rPr>
          <w:rFonts w:hint="default" w:ascii="方正仿宋_GB2312" w:hAnsi="方正仿宋_GB2312" w:eastAsia="方正仿宋_GB2312" w:cs="方正仿宋_GB2312"/>
          <w:color w:val="auto"/>
          <w:kern w:val="0"/>
          <w:sz w:val="32"/>
          <w:szCs w:val="32"/>
          <w:lang w:val="en-US" w:eastAsia="zh-CN"/>
        </w:rPr>
      </w:pPr>
      <w:r>
        <w:rPr>
          <w:rFonts w:hint="eastAsia" w:ascii="方正仿宋_GB2312" w:hAnsi="方正仿宋_GB2312" w:eastAsia="方正仿宋_GB2312" w:cs="方正仿宋_GB2312"/>
          <w:color w:val="auto"/>
          <w:kern w:val="0"/>
          <w:sz w:val="32"/>
          <w:szCs w:val="32"/>
          <w:lang w:val="en-US" w:eastAsia="zh-CN"/>
        </w:rPr>
        <w:t>通过开展“两法衔接”、网格化执行、深化平安乡村创建等工作，我区人民的幸福感及安全感大大提升，营商环境不断增强，公众服务满意率与政府机构满意率均达到95%以上。</w:t>
      </w:r>
    </w:p>
    <w:p>
      <w:pPr>
        <w:pStyle w:val="21"/>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640" w:firstLineChars="200"/>
        <w:jc w:val="left"/>
        <w:textAlignment w:val="auto"/>
        <w:rPr>
          <w:rFonts w:hint="eastAsia" w:ascii="Times New Roman" w:hAnsi="Times New Roman" w:eastAsia="仿宋_GB2312" w:cs="Times New Roman"/>
          <w:color w:val="000000"/>
          <w:kern w:val="0"/>
          <w:sz w:val="32"/>
          <w:szCs w:val="32"/>
          <w:lang w:val="en-US" w:eastAsia="zh-CN" w:bidi="ar"/>
        </w:rPr>
      </w:pPr>
      <w:r>
        <w:rPr>
          <w:rFonts w:hint="eastAsia" w:ascii="黑体" w:hAnsi="黑体" w:eastAsia="黑体" w:cs="黑体"/>
          <w:b w:val="0"/>
          <w:bCs w:val="0"/>
          <w:snapToGrid w:val="0"/>
          <w:kern w:val="0"/>
          <w:sz w:val="32"/>
          <w:szCs w:val="32"/>
          <w:lang w:val="en-US" w:eastAsia="zh-CN" w:bidi="ar-SA"/>
        </w:rPr>
        <w:t>四、存在的问题及原因分析</w:t>
      </w:r>
      <w:r>
        <w:rPr>
          <w:rFonts w:hint="eastAsia" w:ascii="Times New Roman" w:hAnsi="Times New Roman" w:eastAsia="仿宋_GB2312" w:cs="Times New Roman"/>
          <w:color w:val="000000"/>
          <w:kern w:val="0"/>
          <w:sz w:val="32"/>
          <w:szCs w:val="32"/>
          <w:lang w:val="en-US" w:eastAsia="zh-CN" w:bidi="ar"/>
        </w:rPr>
        <w:t xml:space="preserve"> </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从我委整体支出绩效自评情况看，目前我委在预算执行及绩效自评工作等方面，依然存在一些问题和不足。</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1.绩效自评工作方面，对各项指标进行细化、量化等方面还需进一步加强，将绩效自评成果全面运用到预算支出管理工作实际中还不够深入。主要原因:我委各部门职责职能、具体工作内容较为宏观，对绩效管理相关政策、业务了解、掌握还不够，绩效自评工作水平还需进一步提高。</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2.财务工作方面，财务工作信息化程度有待进一步提高。主要原因:财务人员业务能力和水平还需进一步提高。行政事业单位会计基础工作薄弱，有待进一步规范、完善。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napToGrid w:val="0"/>
          <w:kern w:val="0"/>
          <w:sz w:val="32"/>
          <w:szCs w:val="32"/>
          <w:lang w:val="en-US" w:eastAsia="zh-CN" w:bidi="ar-SA"/>
        </w:rPr>
      </w:pPr>
      <w:r>
        <w:rPr>
          <w:rFonts w:hint="eastAsia" w:ascii="黑体" w:hAnsi="黑体" w:eastAsia="黑体" w:cs="黑体"/>
          <w:b w:val="0"/>
          <w:bCs w:val="0"/>
          <w:snapToGrid w:val="0"/>
          <w:kern w:val="0"/>
          <w:sz w:val="32"/>
          <w:szCs w:val="32"/>
          <w:lang w:val="en-US" w:eastAsia="zh-CN" w:bidi="ar-SA"/>
        </w:rPr>
        <w:t>五、下一步改进措施</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 w:eastAsia="zh-CN" w:bidi="ar"/>
        </w:rPr>
      </w:pPr>
      <w:r>
        <w:rPr>
          <w:rFonts w:hint="eastAsia" w:ascii="Times New Roman" w:hAnsi="Times New Roman" w:eastAsia="仿宋_GB2312" w:cs="Times New Roman"/>
          <w:color w:val="000000"/>
          <w:kern w:val="0"/>
          <w:sz w:val="32"/>
          <w:szCs w:val="32"/>
          <w:lang w:val="en-US" w:eastAsia="zh-CN" w:bidi="ar"/>
        </w:rPr>
        <w:t>1.</w:t>
      </w:r>
      <w:r>
        <w:rPr>
          <w:rFonts w:hint="eastAsia" w:ascii="Times New Roman" w:hAnsi="Times New Roman" w:eastAsia="仿宋_GB2312" w:cs="Times New Roman"/>
          <w:color w:val="000000"/>
          <w:kern w:val="0"/>
          <w:sz w:val="32"/>
          <w:szCs w:val="32"/>
          <w:lang w:val="en" w:eastAsia="zh-CN" w:bidi="ar"/>
        </w:rPr>
        <w:t>压实绩效自评工作责任，促进机关预算绩效管理工作水平不断提升。结合工作实际，认真研究制定绩效自评工作规程，不断提高机关预算绩效管理工作水平，做好业务工作和预算绩效管理工作的深度融合，不断深化绩效自评结果的应用，在提高资金使用效益的同时促进机关运行效率的提升。</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 w:eastAsia="zh-CN" w:bidi="ar"/>
        </w:rPr>
      </w:pPr>
      <w:r>
        <w:rPr>
          <w:rFonts w:hint="eastAsia" w:ascii="Times New Roman" w:hAnsi="Times New Roman" w:eastAsia="仿宋_GB2312" w:cs="Times New Roman"/>
          <w:color w:val="000000"/>
          <w:kern w:val="0"/>
          <w:sz w:val="32"/>
          <w:szCs w:val="32"/>
          <w:lang w:val="en-US" w:eastAsia="zh-CN" w:bidi="ar"/>
        </w:rPr>
        <w:t>2.</w:t>
      </w:r>
      <w:r>
        <w:rPr>
          <w:rFonts w:hint="eastAsia" w:ascii="Times New Roman" w:hAnsi="Times New Roman" w:eastAsia="仿宋_GB2312" w:cs="Times New Roman"/>
          <w:color w:val="000000"/>
          <w:kern w:val="0"/>
          <w:sz w:val="32"/>
          <w:szCs w:val="32"/>
          <w:lang w:val="en" w:eastAsia="zh-CN" w:bidi="ar"/>
        </w:rPr>
        <w:t>持续推进机关信息化建设工作。加强信息化工作力量的配备，做好与相关部门的沟通协调，创新工作方式方法，持续有力推进信息化建设工作。</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 w:eastAsia="zh-CN" w:bidi="ar"/>
        </w:rPr>
      </w:pPr>
      <w:r>
        <w:rPr>
          <w:rFonts w:hint="eastAsia" w:ascii="Times New Roman" w:hAnsi="Times New Roman" w:eastAsia="仿宋_GB2312" w:cs="Times New Roman"/>
          <w:color w:val="000000"/>
          <w:kern w:val="0"/>
          <w:sz w:val="32"/>
          <w:szCs w:val="32"/>
          <w:lang w:val="en-US" w:eastAsia="zh-CN" w:bidi="ar"/>
        </w:rPr>
        <w:t>3.</w:t>
      </w:r>
      <w:r>
        <w:rPr>
          <w:rFonts w:hint="eastAsia" w:ascii="Times New Roman" w:hAnsi="Times New Roman" w:eastAsia="仿宋_GB2312" w:cs="Times New Roman"/>
          <w:color w:val="000000"/>
          <w:kern w:val="0"/>
          <w:sz w:val="32"/>
          <w:szCs w:val="32"/>
          <w:lang w:val="en" w:eastAsia="zh-CN" w:bidi="ar"/>
        </w:rPr>
        <w:t>夯实机关财务工作基础。抓好财务人员的学习培训，进一步提高其业务能力和综合素养，实现财务工作的标准化、流程化，进一步提升工作效率和工作质量。</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textAlignment w:val="auto"/>
        <w:rPr>
          <w:rFonts w:hint="eastAsia" w:ascii="Times New Roman" w:hAnsi="Times New Roman" w:eastAsia="仿宋_GB2312" w:cs="Times New Roman"/>
          <w:color w:val="000000"/>
          <w:kern w:val="0"/>
          <w:sz w:val="32"/>
          <w:szCs w:val="32"/>
          <w:lang w:val="en"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 w:eastAsia="zh-CN" w:bidi="ar"/>
        </w:rPr>
      </w:pPr>
      <w:r>
        <w:rPr>
          <w:rFonts w:hint="eastAsia" w:ascii="Times New Roman" w:hAnsi="Times New Roman" w:eastAsia="仿宋_GB2312" w:cs="Times New Roman"/>
          <w:color w:val="000000"/>
          <w:kern w:val="0"/>
          <w:sz w:val="32"/>
          <w:szCs w:val="32"/>
          <w:lang w:val="en-US" w:eastAsia="zh-CN" w:bidi="ar"/>
        </w:rPr>
        <w:t xml:space="preserve">                           </w:t>
      </w:r>
      <w:r>
        <w:rPr>
          <w:rFonts w:hint="eastAsia" w:ascii="Times New Roman" w:hAnsi="Times New Roman" w:eastAsia="仿宋_GB2312" w:cs="Times New Roman"/>
          <w:color w:val="000000"/>
          <w:kern w:val="0"/>
          <w:sz w:val="32"/>
          <w:szCs w:val="32"/>
          <w:lang w:val="en" w:eastAsia="zh-CN" w:bidi="ar"/>
        </w:rPr>
        <w:t>大通湖区委政法委</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 xml:space="preserve">                            2023年4月28日</w:t>
      </w: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0"/>
        </w:numPr>
        <w:kinsoku/>
        <w:wordWrap/>
        <w:topLinePunct w:val="0"/>
        <w:bidi w:val="0"/>
        <w:adjustRightInd/>
        <w:snapToGrid/>
        <w:spacing w:line="360" w:lineRule="auto"/>
        <w:ind w:left="0" w:firstLine="640" w:firstLineChars="200"/>
        <w:jc w:val="center"/>
        <w:textAlignment w:val="auto"/>
        <w:rPr>
          <w:rFonts w:hint="eastAsia" w:ascii="Times New Roman" w:hAnsi="Times New Roman" w:eastAsia="仿宋_GB2312" w:cs="Times New Roman"/>
          <w:color w:val="000000"/>
          <w:kern w:val="0"/>
          <w:sz w:val="32"/>
          <w:szCs w:val="32"/>
          <w:lang w:val="en-US" w:eastAsia="zh-CN" w:bidi="ar"/>
        </w:rPr>
      </w:pPr>
    </w:p>
    <w:p>
      <w:pPr>
        <w:pStyle w:val="3"/>
        <w:keepNext w:val="0"/>
        <w:keepLines w:val="0"/>
        <w:pageBreakBefore w:val="0"/>
        <w:numPr>
          <w:ilvl w:val="0"/>
          <w:numId w:val="2"/>
        </w:numPr>
        <w:kinsoku/>
        <w:wordWrap/>
        <w:topLinePunct w:val="0"/>
        <w:bidi w:val="0"/>
        <w:adjustRightInd/>
        <w:snapToGrid/>
        <w:spacing w:line="360" w:lineRule="auto"/>
        <w:ind w:left="0" w:firstLine="720" w:firstLineChars="200"/>
        <w:jc w:val="center"/>
        <w:textAlignment w:val="auto"/>
        <w:rPr>
          <w:rFonts w:eastAsia="方正小标宋_GBK"/>
          <w:bCs/>
          <w:kern w:val="0"/>
          <w:sz w:val="36"/>
          <w:szCs w:val="36"/>
        </w:rPr>
      </w:pPr>
      <w:r>
        <w:rPr>
          <w:rFonts w:hint="eastAsia" w:eastAsia="方正小标宋_GBK"/>
          <w:bCs/>
          <w:kern w:val="0"/>
          <w:sz w:val="36"/>
          <w:szCs w:val="36"/>
        </w:rPr>
        <w:t>2022</w:t>
      </w:r>
      <w:r>
        <w:rPr>
          <w:rFonts w:eastAsia="方正小标宋_GBK"/>
          <w:bCs/>
          <w:kern w:val="0"/>
          <w:sz w:val="36"/>
          <w:szCs w:val="36"/>
        </w:rPr>
        <w:t>年部门预算表</w:t>
      </w:r>
    </w:p>
    <w:p>
      <w:pPr>
        <w:pStyle w:val="2"/>
        <w:bidi w:val="0"/>
        <w:rPr>
          <w:rFonts w:hint="eastAsia"/>
        </w:rPr>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pPr>
    </w:p>
    <w:tbl>
      <w:tblPr>
        <w:tblStyle w:val="11"/>
        <w:tblW w:w="1462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04"/>
        <w:gridCol w:w="912"/>
        <w:gridCol w:w="2508"/>
        <w:gridCol w:w="1032"/>
        <w:gridCol w:w="2412"/>
        <w:gridCol w:w="852"/>
        <w:gridCol w:w="2784"/>
        <w:gridCol w:w="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5" w:hRule="atLeast"/>
        </w:trPr>
        <w:tc>
          <w:tcPr>
            <w:tcW w:w="14628"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912"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508"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1032"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2412"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52"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784"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92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105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项目（部门经济分类）</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项目（政府经济分类）</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功能科目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一、公共财政预算拨款</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一、基本支出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3850902</w:t>
            </w: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一、机关工资福利支出</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二、纳入预算管理的非税收入拨款</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工资福利支出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二、机关商品和服务支出</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2168680</w:t>
            </w: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三、政府性基金拨款</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商品和服务支出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三、机关资本性支出（一）</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四、财政专户拨款</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对个人和家庭的补助</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四、对事业单位经常性补助</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五、未纳入财政专户管理的自有资金</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二、项目支出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1940560</w:t>
            </w: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五、对事业单位资本性补助</w:t>
            </w:r>
          </w:p>
        </w:tc>
        <w:tc>
          <w:tcPr>
            <w:tcW w:w="852"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项目工资福利支出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六、对企业补助</w:t>
            </w:r>
          </w:p>
        </w:tc>
        <w:tc>
          <w:tcPr>
            <w:tcW w:w="852"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项目商品和服务支出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1940560</w:t>
            </w:r>
          </w:p>
        </w:tc>
        <w:tc>
          <w:tcPr>
            <w:tcW w:w="24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七、对个人和家庭的补助</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项目对个人和家庭的补助</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八、债务利息及费用支出</w:t>
            </w:r>
          </w:p>
        </w:tc>
        <w:tc>
          <w:tcPr>
            <w:tcW w:w="85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资本性支出</w:t>
            </w:r>
          </w:p>
        </w:tc>
        <w:tc>
          <w:tcPr>
            <w:tcW w:w="1032"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九、其他支出</w:t>
            </w:r>
          </w:p>
        </w:tc>
        <w:tc>
          <w:tcPr>
            <w:tcW w:w="85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债务利息及费用支出</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[210]医疗健康支出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对企业补助</w:t>
            </w:r>
          </w:p>
        </w:tc>
        <w:tc>
          <w:tcPr>
            <w:tcW w:w="103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103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[220]自然资源海洋气象等支出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六、上级补助收入</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924" w:type="dxa"/>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八、上年结余（结转）</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92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其中：公共财政预算拨款结余（结转）</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财政专户结余（结转）</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924"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政府性基金结余（结转）</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924" w:type="dxa"/>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纳入预算管理的非税收入拨款结余（结转）</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78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9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收入总计 </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支出总计 </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92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r>
    </w:tbl>
    <w:p>
      <w:pPr>
        <w:rPr>
          <w:rFonts w:hint="eastAsia"/>
        </w:rPr>
      </w:pPr>
    </w:p>
    <w:tbl>
      <w:tblPr>
        <w:tblStyle w:val="11"/>
        <w:tblW w:w="1551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76"/>
        <w:gridCol w:w="2884"/>
        <w:gridCol w:w="1392"/>
        <w:gridCol w:w="1392"/>
        <w:gridCol w:w="1068"/>
        <w:gridCol w:w="1068"/>
        <w:gridCol w:w="1068"/>
        <w:gridCol w:w="1068"/>
        <w:gridCol w:w="1068"/>
        <w:gridCol w:w="1068"/>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5520"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80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1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2010308</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信访事务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党委办公厅（室）及相关机构事务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3899600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3899600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行政运行（党委办公厅（室）及相关机构事务）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2900600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2900600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2013102</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一般行政管理事务（党委办公厅（室）及相关机构事务）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2013105</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专项业务（党委办公厅（室）及相关机构事务）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司法</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2040602</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一般行政管理事务（司法）</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2040604</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基层司法业务</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2040605</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普法宣传</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2040606</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律师管理</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2040607</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公共法律援助</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2040610</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社区矫正</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4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39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9"/>
        <w:rPr>
          <w:rFonts w:hint="eastAsia"/>
        </w:rPr>
      </w:pPr>
    </w:p>
    <w:tbl>
      <w:tblPr>
        <w:tblStyle w:val="11"/>
        <w:tblW w:w="159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76"/>
        <w:gridCol w:w="3087"/>
        <w:gridCol w:w="1800"/>
        <w:gridCol w:w="1800"/>
        <w:gridCol w:w="1800"/>
        <w:gridCol w:w="1800"/>
        <w:gridCol w:w="1437"/>
        <w:gridCol w:w="1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9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7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8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3850902</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1940560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1430560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2010308</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信访事务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党委办公厅（室）及相关机构事务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3899600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1093560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行政运行（党委办公厅（室）及相关机构事务）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2900600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2013102</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一般行政管理事务（党委办公厅（室）及相关机构事务）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2013105</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专项业务（党委办公厅（室）及相关机构事务）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司法</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2040602</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一般行政管理事务（司法）</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2040604</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基层司法业务</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2040605</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普法宣传</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2040606</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律师管理</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2040607</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公共法律援助</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2040610</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社区矫正</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7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rPr>
          <w:rFonts w:hint="eastAsia"/>
        </w:rPr>
      </w:pPr>
    </w:p>
    <w:p>
      <w:pPr>
        <w:pStyle w:val="9"/>
        <w:rPr>
          <w:rFonts w:hint="eastAsia"/>
        </w:rPr>
      </w:pPr>
    </w:p>
    <w:p>
      <w:pPr>
        <w:rPr>
          <w:rFonts w:hint="eastAsia"/>
        </w:rPr>
      </w:pPr>
    </w:p>
    <w:tbl>
      <w:tblPr>
        <w:tblStyle w:val="11"/>
        <w:tblW w:w="1616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76"/>
        <w:gridCol w:w="2198"/>
        <w:gridCol w:w="1224"/>
        <w:gridCol w:w="1224"/>
        <w:gridCol w:w="1224"/>
        <w:gridCol w:w="1224"/>
        <w:gridCol w:w="1094"/>
        <w:gridCol w:w="1094"/>
        <w:gridCol w:w="1094"/>
        <w:gridCol w:w="1094"/>
        <w:gridCol w:w="1094"/>
        <w:gridCol w:w="1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16164"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2168680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1658680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2010308</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信访事务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党委办公厅（室）及相关机构事务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3899600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1321680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行政运行（党委办公厅（室）及相关机构事务）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2900600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322680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2013102</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一般行政管理事务（党委办公厅（室）及相关机构事务）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2013105</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专项业务（党委办公厅（室）及相关机构事务）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司法</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2040602</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一般行政管理事务（司法）</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2040604</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基层司法业务</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2040605</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普法宣传</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2040606</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律师管理</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2040607</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公共法律援助</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2040610</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社区矫正</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3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25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9"/>
        <w:rPr>
          <w:rFonts w:hint="eastAsia"/>
        </w:rPr>
      </w:pPr>
    </w:p>
    <w:p>
      <w:pPr>
        <w:rPr>
          <w:rFonts w:hint="eastAsia"/>
        </w:rPr>
      </w:pPr>
    </w:p>
    <w:p>
      <w:pPr>
        <w:pStyle w:val="9"/>
        <w:rPr>
          <w:rFonts w:hint="eastAsia"/>
        </w:rPr>
      </w:pPr>
    </w:p>
    <w:p>
      <w:pPr>
        <w:rPr>
          <w:rFonts w:hint="eastAsia"/>
        </w:rPr>
      </w:pPr>
    </w:p>
    <w:p>
      <w:pPr>
        <w:pStyle w:val="9"/>
        <w:rPr>
          <w:rFonts w:hint="eastAsia"/>
        </w:rPr>
      </w:pPr>
    </w:p>
    <w:p>
      <w:pPr>
        <w:rPr>
          <w:rFonts w:hint="eastAsia"/>
        </w:rPr>
      </w:pPr>
    </w:p>
    <w:tbl>
      <w:tblPr>
        <w:tblStyle w:val="11"/>
        <w:tblW w:w="1429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96"/>
        <w:gridCol w:w="1044"/>
        <w:gridCol w:w="2646"/>
        <w:gridCol w:w="1552"/>
        <w:gridCol w:w="1552"/>
        <w:gridCol w:w="1552"/>
        <w:gridCol w:w="1306"/>
        <w:gridCol w:w="1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trPr>
        <w:tc>
          <w:tcPr>
            <w:tcW w:w="143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102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6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一般公共预算拨款</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一、本年收入</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公共财政预算拨款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二、上年结转</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[210]卫生健康支出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[220]国土海洋气象等支出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1552"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55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结转下年</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收入总计</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9"/>
        <w:rPr>
          <w:rFonts w:hint="eastAsia"/>
        </w:rPr>
      </w:pPr>
    </w:p>
    <w:p>
      <w:pPr>
        <w:rPr>
          <w:rFonts w:hint="eastAsia"/>
        </w:rPr>
      </w:pPr>
    </w:p>
    <w:p>
      <w:pPr>
        <w:pStyle w:val="9"/>
        <w:rPr>
          <w:rFonts w:hint="eastAsia"/>
        </w:rPr>
      </w:pPr>
    </w:p>
    <w:p>
      <w:pPr>
        <w:rPr>
          <w:rFonts w:hint="eastAsia" w:eastAsia="宋体"/>
          <w:lang w:val="en-US" w:eastAsia="zh-CN"/>
        </w:rPr>
      </w:pPr>
    </w:p>
    <w:p>
      <w:pPr>
        <w:pStyle w:val="9"/>
        <w:rPr>
          <w:rFonts w:hint="eastAsia"/>
        </w:rPr>
      </w:pPr>
    </w:p>
    <w:tbl>
      <w:tblPr>
        <w:tblStyle w:val="11"/>
        <w:tblW w:w="1555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64"/>
        <w:gridCol w:w="4304"/>
        <w:gridCol w:w="2928"/>
        <w:gridCol w:w="2928"/>
        <w:gridCol w:w="29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15552"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2022年部门一般公共预算支出表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5791462</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3850902</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1940560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4236600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1430560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2010308</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信访事务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党委办公厅（室）及相关机构事务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3899600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1093560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行政运行（党委办公厅（室）及相关机构事务）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2900600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2013102</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一般行政管理事务（党委办公厅（室）及相关机构事务）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专项业务（党委办公厅（室）及相关机构事务）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司法</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2040602</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一般行政管理事务（司法）</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2040604</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基层司法业务</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普法宣传</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律师管理</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2040607</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公共法律援助</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2040610</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社区矫正</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rPr>
          <w:rFonts w:hint="eastAsia"/>
        </w:rPr>
      </w:pPr>
    </w:p>
    <w:p>
      <w:pPr>
        <w:pStyle w:val="9"/>
        <w:rPr>
          <w:rFonts w:hint="eastAsia"/>
        </w:rPr>
      </w:pPr>
    </w:p>
    <w:p>
      <w:pPr>
        <w:jc w:val="left"/>
        <w:rPr>
          <w:rFonts w:hint="eastAsia"/>
        </w:rPr>
      </w:pPr>
    </w:p>
    <w:tbl>
      <w:tblPr>
        <w:tblStyle w:val="11"/>
        <w:tblW w:w="1234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76"/>
        <w:gridCol w:w="3312"/>
        <w:gridCol w:w="2180"/>
        <w:gridCol w:w="2180"/>
        <w:gridCol w:w="2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2352"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2022年部门一般公共预算基本支出表（纵向）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3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3850902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劳物费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9"/>
        <w:rPr>
          <w:rFonts w:hint="eastAsia"/>
        </w:rPr>
        <w:sectPr>
          <w:pgSz w:w="16837" w:h="11905" w:orient="landscape"/>
          <w:pgMar w:top="873" w:right="567" w:bottom="873" w:left="567" w:header="720" w:footer="1701" w:gutter="0"/>
          <w:pgNumType w:fmt="numberInDash" w:start="1"/>
          <w:cols w:space="720" w:num="1"/>
          <w:titlePg/>
          <w:docGrid w:linePitch="636" w:charSpace="20838"/>
        </w:sectPr>
      </w:pPr>
    </w:p>
    <w:tbl>
      <w:tblPr>
        <w:tblStyle w:val="11"/>
        <w:tblW w:w="158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6"/>
        <w:gridCol w:w="1192"/>
        <w:gridCol w:w="846"/>
        <w:gridCol w:w="846"/>
        <w:gridCol w:w="846"/>
        <w:gridCol w:w="756"/>
        <w:gridCol w:w="756"/>
        <w:gridCol w:w="756"/>
        <w:gridCol w:w="756"/>
        <w:gridCol w:w="756"/>
        <w:gridCol w:w="756"/>
        <w:gridCol w:w="666"/>
        <w:gridCol w:w="666"/>
        <w:gridCol w:w="756"/>
        <w:gridCol w:w="614"/>
        <w:gridCol w:w="756"/>
        <w:gridCol w:w="666"/>
        <w:gridCol w:w="756"/>
        <w:gridCol w:w="609"/>
        <w:gridCol w:w="609"/>
        <w:gridCol w:w="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2" w:hRule="atLeast"/>
        </w:trPr>
        <w:tc>
          <w:tcPr>
            <w:tcW w:w="15820" w:type="dxa"/>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2022年部门一般公共预算基本支出表（横向）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gridSpan w:val="21"/>
            <w:tcBorders>
              <w:top w:val="nil"/>
              <w:left w:val="nil"/>
              <w:bottom w:val="nil"/>
              <w:right w:val="nil"/>
            </w:tcBorders>
            <w:shd w:val="clear" w:color="auto" w:fill="auto"/>
            <w:noWrap/>
            <w:vAlign w:val="bottom"/>
          </w:tcPr>
          <w:p>
            <w:pPr>
              <w:keepNext w:val="0"/>
              <w:keepLines w:val="0"/>
              <w:widowControl/>
              <w:suppressLineNumbers w:val="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单位名称：区委政法委员会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 xml:space="preserve">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 xml:space="preserve">       单位：元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8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8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84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8" w:type="dxa"/>
            <w:gridSpan w:val="1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15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834"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8" w:hRule="atLeast"/>
        </w:trPr>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83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基本工资</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津贴补贴</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奖金</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绩效工资</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职业年金缴费</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职工基本医疗保险缴费</w:t>
            </w:r>
          </w:p>
        </w:tc>
        <w:tc>
          <w:tcPr>
            <w:tcW w:w="65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公务员医疗补助缴费</w:t>
            </w:r>
          </w:p>
        </w:tc>
        <w:tc>
          <w:tcPr>
            <w:tcW w:w="65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其他社会保障缴费</w:t>
            </w:r>
          </w:p>
        </w:tc>
        <w:tc>
          <w:tcPr>
            <w:tcW w:w="7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6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其他工资福利支出</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其他交通费用（车改补助）</w:t>
            </w:r>
          </w:p>
        </w:tc>
        <w:tc>
          <w:tcPr>
            <w:tcW w:w="6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6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离休费</w:t>
            </w:r>
          </w:p>
        </w:tc>
        <w:tc>
          <w:tcPr>
            <w:tcW w:w="61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3850902</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3622782</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党委办公厅（室）及相关机构事务</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6"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2013101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行政运行（党委办公厅（室）及相关机构事务）</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2806040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2577920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1406832</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435528</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481400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254160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228120</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213120</w:t>
            </w: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523103</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502589</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3"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335059</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167530</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20514</w:t>
            </w: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270465</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204742</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65723</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8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251294</w:t>
            </w: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rPr>
          <w:rFonts w:hint="eastAsia"/>
          <w:lang w:val="en-US" w:eastAsia="zh-CN"/>
        </w:rPr>
      </w:pPr>
      <w:r>
        <w:rPr>
          <w:rFonts w:hint="eastAsia"/>
          <w:lang w:val="en-US" w:eastAsia="zh-CN"/>
        </w:rPr>
        <w:t xml:space="preserve">     </w:t>
      </w:r>
    </w:p>
    <w:p>
      <w:pPr>
        <w:pStyle w:val="9"/>
        <w:rPr>
          <w:rFonts w:hint="eastAsia"/>
          <w:lang w:val="en-US" w:eastAsia="zh-CN"/>
        </w:rPr>
      </w:pPr>
    </w:p>
    <w:p>
      <w:pPr>
        <w:rPr>
          <w:rFonts w:hint="eastAsia"/>
          <w:lang w:val="en-US" w:eastAsia="zh-CN"/>
        </w:rPr>
      </w:pPr>
    </w:p>
    <w:tbl>
      <w:tblPr>
        <w:tblStyle w:val="11"/>
        <w:tblW w:w="160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82"/>
        <w:gridCol w:w="1453"/>
        <w:gridCol w:w="1453"/>
        <w:gridCol w:w="1453"/>
        <w:gridCol w:w="1453"/>
        <w:gridCol w:w="1453"/>
        <w:gridCol w:w="1453"/>
        <w:gridCol w:w="1453"/>
        <w:gridCol w:w="1453"/>
        <w:gridCol w:w="1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9" w:hRule="atLeast"/>
        </w:trPr>
        <w:tc>
          <w:tcPr>
            <w:tcW w:w="1606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单位名称：区委政法委员会</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2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三公经费项目</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2021年预算完成数</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2022年预算数</w:t>
            </w:r>
          </w:p>
        </w:tc>
        <w:tc>
          <w:tcPr>
            <w:tcW w:w="1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“三公”经费增减变化情况说明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7" w:hRule="atLeast"/>
        </w:trPr>
        <w:tc>
          <w:tcPr>
            <w:tcW w:w="2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3" w:type="dxa"/>
            <w:tcBorders>
              <w:top w:val="nil"/>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453"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1453"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区政法委</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9"/>
        <w:rPr>
          <w:rFonts w:hint="default"/>
          <w:lang w:val="en-US" w:eastAsia="zh-CN"/>
        </w:rPr>
      </w:pPr>
    </w:p>
    <w:p>
      <w:pPr>
        <w:rPr>
          <w:rFonts w:hint="default"/>
          <w:lang w:val="en-US" w:eastAsia="zh-CN"/>
        </w:rPr>
      </w:pPr>
    </w:p>
    <w:p>
      <w:pPr>
        <w:pStyle w:val="9"/>
        <w:rPr>
          <w:rFonts w:hint="default"/>
          <w:lang w:val="en-US" w:eastAsia="zh-CN"/>
        </w:rPr>
      </w:pPr>
    </w:p>
    <w:sectPr>
      <w:pgSz w:w="16837" w:h="11905" w:orient="landscape"/>
      <w:pgMar w:top="873" w:right="567" w:bottom="873" w:left="567"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ED368"/>
    <w:multiLevelType w:val="singleLevel"/>
    <w:tmpl w:val="17EED368"/>
    <w:lvl w:ilvl="0" w:tentative="0">
      <w:start w:val="2"/>
      <w:numFmt w:val="chineseCounting"/>
      <w:suff w:val="nothing"/>
      <w:lvlText w:val="（%1）"/>
      <w:lvlJc w:val="left"/>
      <w:rPr>
        <w:rFonts w:hint="eastAsia"/>
      </w:rPr>
    </w:lvl>
  </w:abstractNum>
  <w:abstractNum w:abstractNumId="1">
    <w:nsid w:val="2AF36890"/>
    <w:multiLevelType w:val="singleLevel"/>
    <w:tmpl w:val="2AF3689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hYThlYTcxMTE0N2NiNGI1MmZhNjZiNTFkYzczYmE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874D5"/>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B6D7A"/>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1256A2"/>
    <w:rsid w:val="06530982"/>
    <w:rsid w:val="072145DC"/>
    <w:rsid w:val="0869448C"/>
    <w:rsid w:val="088F5575"/>
    <w:rsid w:val="08CA47FF"/>
    <w:rsid w:val="0A252635"/>
    <w:rsid w:val="0A3E54A5"/>
    <w:rsid w:val="0B980BE5"/>
    <w:rsid w:val="0E9913F7"/>
    <w:rsid w:val="0EF44384"/>
    <w:rsid w:val="0FAD62D5"/>
    <w:rsid w:val="103716AC"/>
    <w:rsid w:val="10F42D61"/>
    <w:rsid w:val="1173012A"/>
    <w:rsid w:val="122907E8"/>
    <w:rsid w:val="12DF5990"/>
    <w:rsid w:val="12FD414F"/>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6929AF"/>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7D063FC"/>
    <w:rsid w:val="28DC798B"/>
    <w:rsid w:val="2A3011A1"/>
    <w:rsid w:val="2A495A74"/>
    <w:rsid w:val="2A8803C7"/>
    <w:rsid w:val="2B667F60"/>
    <w:rsid w:val="2B8C6E9D"/>
    <w:rsid w:val="2D51332B"/>
    <w:rsid w:val="2DF33D2D"/>
    <w:rsid w:val="2EE93382"/>
    <w:rsid w:val="2EEE2746"/>
    <w:rsid w:val="2EFC1307"/>
    <w:rsid w:val="2F0B779C"/>
    <w:rsid w:val="2F527179"/>
    <w:rsid w:val="30313232"/>
    <w:rsid w:val="30416F37"/>
    <w:rsid w:val="311F308B"/>
    <w:rsid w:val="319121DA"/>
    <w:rsid w:val="32B75C71"/>
    <w:rsid w:val="33D26ADA"/>
    <w:rsid w:val="3422536C"/>
    <w:rsid w:val="349F69BC"/>
    <w:rsid w:val="353F4D58"/>
    <w:rsid w:val="35976CEB"/>
    <w:rsid w:val="36541A28"/>
    <w:rsid w:val="36625F86"/>
    <w:rsid w:val="37AC319E"/>
    <w:rsid w:val="37C8622A"/>
    <w:rsid w:val="384B0C09"/>
    <w:rsid w:val="38C52678"/>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5B1BC2"/>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4F98252E"/>
    <w:rsid w:val="506643DA"/>
    <w:rsid w:val="51B3364F"/>
    <w:rsid w:val="5228173E"/>
    <w:rsid w:val="5233653E"/>
    <w:rsid w:val="528C74F9"/>
    <w:rsid w:val="53B844C3"/>
    <w:rsid w:val="53CB2ED2"/>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1535B"/>
    <w:rsid w:val="638D1F52"/>
    <w:rsid w:val="63E43B3C"/>
    <w:rsid w:val="64D94D23"/>
    <w:rsid w:val="64F30349"/>
    <w:rsid w:val="651A0D5B"/>
    <w:rsid w:val="65410FF9"/>
    <w:rsid w:val="65763C78"/>
    <w:rsid w:val="657A4758"/>
    <w:rsid w:val="66AB0941"/>
    <w:rsid w:val="66F67E0E"/>
    <w:rsid w:val="67A70AB4"/>
    <w:rsid w:val="67F26C39"/>
    <w:rsid w:val="684D1CB0"/>
    <w:rsid w:val="68C61A62"/>
    <w:rsid w:val="699658D9"/>
    <w:rsid w:val="6A0A597F"/>
    <w:rsid w:val="6A4D2E13"/>
    <w:rsid w:val="6B1940CB"/>
    <w:rsid w:val="6B4A697B"/>
    <w:rsid w:val="6B684DDA"/>
    <w:rsid w:val="6B8B162C"/>
    <w:rsid w:val="6BB32772"/>
    <w:rsid w:val="6C1D762E"/>
    <w:rsid w:val="6C8B2DA7"/>
    <w:rsid w:val="6CE75F46"/>
    <w:rsid w:val="6E494CC8"/>
    <w:rsid w:val="6E5D69C5"/>
    <w:rsid w:val="6E645FA5"/>
    <w:rsid w:val="6EB75012"/>
    <w:rsid w:val="6EED7D49"/>
    <w:rsid w:val="6F5230CF"/>
    <w:rsid w:val="6FF05370"/>
    <w:rsid w:val="70333E81"/>
    <w:rsid w:val="70DD27F3"/>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63380E"/>
    <w:rsid w:val="7ACC115A"/>
    <w:rsid w:val="7ACC2F08"/>
    <w:rsid w:val="7B2745E3"/>
    <w:rsid w:val="7B4C4049"/>
    <w:rsid w:val="7BB73BB8"/>
    <w:rsid w:val="7C1D1542"/>
    <w:rsid w:val="7CBE2D25"/>
    <w:rsid w:val="7CDA02C7"/>
    <w:rsid w:val="7DCE343B"/>
    <w:rsid w:val="7DD32800"/>
    <w:rsid w:val="7E290672"/>
    <w:rsid w:val="7ECF6BAF"/>
    <w:rsid w:val="7F1A7FD6"/>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qFormat/>
    <w:uiPriority w:val="0"/>
    <w:pPr>
      <w:jc w:val="left"/>
    </w:pPr>
  </w:style>
  <w:style w:type="paragraph" w:styleId="5">
    <w:name w:val="Body Text"/>
    <w:basedOn w:val="1"/>
    <w:link w:val="16"/>
    <w:qFormat/>
    <w:uiPriority w:val="0"/>
    <w:pPr>
      <w:spacing w:after="120" w:afterLines="0"/>
    </w:pPr>
  </w:style>
  <w:style w:type="paragraph" w:styleId="6">
    <w:name w:val="Balloon Text"/>
    <w:basedOn w:val="1"/>
    <w:link w:val="17"/>
    <w:semiHidden/>
    <w:qFormat/>
    <w:uiPriority w:val="99"/>
    <w:rPr>
      <w:sz w:val="18"/>
      <w:szCs w:val="18"/>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style>
  <w:style w:type="character" w:customStyle="1" w:styleId="16">
    <w:name w:val="正文文本 Char"/>
    <w:link w:val="5"/>
    <w:qFormat/>
    <w:uiPriority w:val="0"/>
    <w:rPr>
      <w:kern w:val="2"/>
      <w:sz w:val="21"/>
      <w:szCs w:val="24"/>
    </w:rPr>
  </w:style>
  <w:style w:type="character" w:customStyle="1" w:styleId="17">
    <w:name w:val="批注框文本 Char"/>
    <w:link w:val="6"/>
    <w:semiHidden/>
    <w:qFormat/>
    <w:uiPriority w:val="99"/>
    <w:rPr>
      <w:kern w:val="2"/>
      <w:sz w:val="18"/>
      <w:szCs w:val="18"/>
    </w:rPr>
  </w:style>
  <w:style w:type="character" w:customStyle="1" w:styleId="18">
    <w:name w:val="页脚 Char"/>
    <w:link w:val="7"/>
    <w:qFormat/>
    <w:uiPriority w:val="99"/>
    <w:rPr>
      <w:kern w:val="2"/>
      <w:sz w:val="18"/>
      <w:szCs w:val="18"/>
    </w:rPr>
  </w:style>
  <w:style w:type="character" w:customStyle="1" w:styleId="19">
    <w:name w:val="页眉 Char"/>
    <w:link w:val="8"/>
    <w:qFormat/>
    <w:uiPriority w:val="99"/>
    <w:rPr>
      <w:kern w:val="2"/>
      <w:sz w:val="18"/>
      <w:szCs w:val="18"/>
    </w:rPr>
  </w:style>
  <w:style w:type="paragraph" w:customStyle="1" w:styleId="20">
    <w:name w:val="表格内容"/>
    <w:basedOn w:val="5"/>
    <w:qFormat/>
    <w:uiPriority w:val="0"/>
    <w:pPr>
      <w:suppressLineNumbers/>
      <w:suppressAutoHyphens/>
      <w:jc w:val="left"/>
    </w:pPr>
    <w:rPr>
      <w:rFonts w:cs="Tahoma"/>
      <w:kern w:val="0"/>
      <w:sz w:val="24"/>
    </w:rPr>
  </w:style>
  <w:style w:type="paragraph" w:styleId="21">
    <w:name w:val="List Paragraph"/>
    <w:basedOn w:val="1"/>
    <w:qFormat/>
    <w:uiPriority w:val="34"/>
    <w:pPr>
      <w:ind w:firstLine="420" w:firstLineChars="200"/>
    </w:pPr>
    <w:rPr>
      <w:rFonts w:ascii="Calibri" w:hAnsi="Calibri" w:eastAsia="宋体" w:cs="Times New Roman"/>
      <w:szCs w:val="22"/>
    </w:rPr>
  </w:style>
  <w:style w:type="paragraph" w:customStyle="1" w:styleId="2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3">
    <w:name w:val="custom_unionstyle"/>
    <w:basedOn w:val="1"/>
    <w:qFormat/>
    <w:uiPriority w:val="0"/>
    <w:pPr>
      <w:widowControl/>
      <w:spacing w:before="100" w:beforeAutospacing="1" w:after="100" w:afterAutospacing="1"/>
      <w:jc w:val="left"/>
    </w:pPr>
    <w:rPr>
      <w:rFonts w:asci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62</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Today</cp:lastModifiedBy>
  <cp:lastPrinted>2021-05-16T11:47:00Z</cp:lastPrinted>
  <dcterms:modified xsi:type="dcterms:W3CDTF">2023-10-05T10:30:23Z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5441AB4E01B54B289D45CAC9CE8EBFF1_13</vt:lpwstr>
  </property>
</Properties>
</file>