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益阳市大通湖区人大政协联工委</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val="0"/>
          <w:bCs/>
          <w:sz w:val="32"/>
          <w:szCs w:val="32"/>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rPr>
        <w:t>人大联络工作委员工作职责：</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1、负责对本区域内贯彻实施宪法、法律、法规情况和执行市人民代表大会及其常务委员会决议决定情况开展监督的具体工作，向市人大常委会提出报告。</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2、听取本区域内国民经济和社会发展计划、财政预决算编制情况并进行预审，向市人大财经委、常委会预算工委提出报告，并交区管理委员会研究处理。听取本区域内国民经济和社会发展计划、预算执行情况和财政性资金投资项目实施及资金使用情况的报告，提出建议和意见，交区管理委员会研究处理，向市人大常委会提出报告。</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3、听取区管理委员会、人民法院、人民检察院的专项工作报告，提出建议和意见，向市人大常委会提出报告。</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4、负责本区域内规范性文件备案审查的具体工作。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5、联系本区域内全国、省和市人大代表，组织或协助组织代表开展视察、调查研究等活动，组织代表进行业务培训，为代表依法行使职权做好服务工作。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6、办理和督促办理与本区域有关的各级人大代表提出的建议、批评和意见。</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7、指导本区域内乡镇人民代表大会及其主席团开展工作，组织和指导乡镇人民代表大会换届选举工作，依法做好本区域内推荐益阳市人民代表大会代表的工作。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8、接待和受理本区域内人大代表和人民群众来信来访，并督促有关机关依法办理。</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9、参加市人大常委会组织的有关会议和活动，协助市人大常委会办理与本区域内有关的人事任免工作，协助市人大各专门委员会和常委会办事机构、工作机构开展视察、调查研究、执法检查等工作。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10、办理市人大常委会和常委会主任会议交办的其他工作。</w:t>
      </w:r>
    </w:p>
    <w:p>
      <w:pPr>
        <w:widowControl/>
        <w:spacing w:line="600" w:lineRule="exact"/>
        <w:jc w:val="left"/>
        <w:rPr>
          <w:rFonts w:hint="eastAsia" w:eastAsia="楷体_GB2312"/>
          <w:b w:val="0"/>
          <w:bCs/>
          <w:sz w:val="32"/>
          <w:szCs w:val="32"/>
        </w:rPr>
      </w:pPr>
      <w:r>
        <w:rPr>
          <w:rFonts w:hint="eastAsia" w:eastAsia="楷体_GB2312"/>
          <w:b w:val="0"/>
          <w:bCs/>
          <w:sz w:val="32"/>
          <w:szCs w:val="32"/>
        </w:rPr>
        <w:t xml:space="preserve"> 政协联络工作委员会工作职责：</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1、负责与市政协的联络工作，承办市政协交办的工作任务；组织本行政区域内市政协委员的推荐工作；组织本行政区域内市政协委员及其他有关人员出席、列席市政协全会或其他有关会议。</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2、联系本行政区域内的全国政协委员、省政协委员、市政协委员，帮助委员和各界人士了解本行政区域的经济社会发展情况，组织或协助委员就本行政区域内经济社会发展中的重大问题和重要工作开展调查研究，对政府职能部门的工作进行视察和民主评议，向区委、区管委提出意见、建议。</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3、办理委员来信来访，负责委员提案、建议、意见的收集和督办工作，为委员履行职能提供服务。</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4、组织指导委员学习宣传党和国家的方针政策和法律法规，学习宣传政协章程和统战理论，学习宣传人民政协在构建社会主义和谐社会中的重要作用。</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5、关注民生，反映社情民意，组织或协助委员开展民情视察活动，参与和协调有关维护稳定的工作。承办区委交办的其他工作。</w:t>
      </w:r>
    </w:p>
    <w:p>
      <w:pPr>
        <w:widowControl/>
        <w:spacing w:line="600" w:lineRule="exact"/>
        <w:ind w:firstLine="630" w:firstLineChars="196"/>
        <w:jc w:val="left"/>
        <w:rPr>
          <w:rFonts w:eastAsia="楷体_GB2312"/>
          <w:b/>
          <w:sz w:val="32"/>
          <w:szCs w:val="32"/>
        </w:rPr>
      </w:pPr>
      <w:r>
        <w:rPr>
          <w:rFonts w:eastAsia="楷体_GB2312"/>
          <w:b/>
          <w:sz w:val="32"/>
          <w:szCs w:val="32"/>
        </w:rPr>
        <w:t>（二）机构设置</w:t>
      </w:r>
    </w:p>
    <w:p>
      <w:pPr>
        <w:widowControl/>
        <w:spacing w:line="600" w:lineRule="exact"/>
        <w:ind w:firstLine="627" w:firstLineChars="196"/>
        <w:jc w:val="left"/>
        <w:rPr>
          <w:rFonts w:hint="default" w:eastAsia="楷体_GB2312"/>
          <w:b w:val="0"/>
          <w:bCs/>
          <w:sz w:val="32"/>
          <w:szCs w:val="32"/>
          <w:lang w:val="en-US" w:eastAsia="zh-CN"/>
        </w:rPr>
      </w:pPr>
      <w:r>
        <w:rPr>
          <w:rFonts w:hint="eastAsia" w:eastAsia="楷体_GB2312"/>
          <w:b w:val="0"/>
          <w:bCs/>
          <w:sz w:val="32"/>
          <w:szCs w:val="32"/>
        </w:rPr>
        <w:t>根据以上职责，设三个内设机构（正科级）</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w:t>
      </w:r>
      <w:r>
        <w:rPr>
          <w:rFonts w:hint="eastAsia" w:eastAsia="楷体_GB2312"/>
          <w:b w:val="0"/>
          <w:bCs/>
          <w:sz w:val="32"/>
          <w:szCs w:val="32"/>
          <w:lang w:val="en-US" w:eastAsia="zh-CN"/>
        </w:rPr>
        <w:t>1</w:t>
      </w:r>
      <w:r>
        <w:rPr>
          <w:rFonts w:hint="eastAsia" w:eastAsia="楷体_GB2312"/>
          <w:b w:val="0"/>
          <w:bCs/>
          <w:sz w:val="32"/>
          <w:szCs w:val="32"/>
        </w:rPr>
        <w:t>）综合办公室</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1. 组织区人大政协联工委重要会议、领导讲话、工作报告等文稿和以联工委名义制发的文件的起草工作。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2. 负责区人大政协联工委值班、文秘、档案、保密、信息和机关人事、纪检、计生、党群、综治工作以及后勤保障工作。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3. 负责区人大政协联工委召开的各类会议，开展的各类调研、视察、评议活动的组织、服务工作。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4. 负责上级人大政协来区调研、视察、检查的接待服务工作。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5. 负责区管委、镇人大规范性文件备案审查的具体工作。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6. 办理联工委主任会议和联工委领导交办的其他工作。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w:t>
      </w:r>
      <w:r>
        <w:rPr>
          <w:rFonts w:hint="eastAsia" w:eastAsia="楷体_GB2312"/>
          <w:b w:val="0"/>
          <w:bCs/>
          <w:sz w:val="32"/>
          <w:szCs w:val="32"/>
          <w:lang w:val="en-US" w:eastAsia="zh-CN"/>
        </w:rPr>
        <w:t>2</w:t>
      </w:r>
      <w:r>
        <w:rPr>
          <w:rFonts w:hint="eastAsia" w:eastAsia="楷体_GB2312"/>
          <w:b w:val="0"/>
          <w:bCs/>
          <w:sz w:val="32"/>
          <w:szCs w:val="32"/>
        </w:rPr>
        <w:t>）人大联络工作办公室</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1. 联系区内各级人大代表，承担组织或协助组织代表开展视察、调研、评议等活动的有关具体工作。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2. 办理代表来信来访，办理和督促办理代表提出的涉及区内有关工作的议案、建议、批评和意见。</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3. 联系指导区内镇人大代表主席团开展工作，指导镇人民代表大会换届选举工作。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4. 承担了解“一府两院”工作情况，提出建议、意见的具体工作。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5. 协助办理涉及区内市人民代表大会换届选举的有关工作，协助办理区内有关的市人大常委会人事任免有关工作。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6. 协助市人大各专委、工作机构来区开展视察、调研、执法检查等工作。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7. 办理联工委主任会议和联工委领导交办的其他工作。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w:t>
      </w:r>
      <w:r>
        <w:rPr>
          <w:rFonts w:hint="eastAsia" w:eastAsia="楷体_GB2312"/>
          <w:b w:val="0"/>
          <w:bCs/>
          <w:sz w:val="32"/>
          <w:szCs w:val="32"/>
          <w:lang w:val="en-US" w:eastAsia="zh-CN"/>
        </w:rPr>
        <w:t>3</w:t>
      </w:r>
      <w:r>
        <w:rPr>
          <w:rFonts w:hint="eastAsia" w:eastAsia="楷体_GB2312"/>
          <w:b w:val="0"/>
          <w:bCs/>
          <w:sz w:val="32"/>
          <w:szCs w:val="32"/>
        </w:rPr>
        <w:t>）政协联络工作办公室</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1. 负责与市政协的联络工作，承办市政协交办的工作任务。</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2. 承担区内推荐政协委员的具体工作；组织区内市政协委员及有关人员参加市政协全会或其它有关会议。</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3. 联系区内各级政协委员，承担组织或协助组织委员开展视察、调研、评议等活动和反映社情民意的有关具体工作。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4. 联系指导镇场政协组织开展工作。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5. 办理委员来信来访，负责委员提案、建议、意见的收集和督办工作。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6. 办理联工委主任会议和联工委领导交办的其他工作。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三、人员编制和领导职数</w:t>
      </w:r>
    </w:p>
    <w:p>
      <w:pPr>
        <w:widowControl/>
        <w:spacing w:line="600" w:lineRule="exact"/>
        <w:ind w:firstLine="627" w:firstLineChars="196"/>
        <w:jc w:val="left"/>
        <w:rPr>
          <w:rFonts w:eastAsia="楷体_GB2312"/>
          <w:b/>
          <w:sz w:val="32"/>
          <w:szCs w:val="32"/>
        </w:rPr>
      </w:pPr>
      <w:r>
        <w:rPr>
          <w:rFonts w:hint="eastAsia" w:eastAsia="楷体_GB2312"/>
          <w:b w:val="0"/>
          <w:bCs/>
          <w:sz w:val="32"/>
          <w:szCs w:val="32"/>
        </w:rPr>
        <w:t>核定</w:t>
      </w:r>
      <w:r>
        <w:rPr>
          <w:rFonts w:hint="eastAsia" w:eastAsia="楷体_GB2312"/>
          <w:b w:val="0"/>
          <w:bCs/>
          <w:color w:val="auto"/>
          <w:sz w:val="32"/>
          <w:szCs w:val="32"/>
        </w:rPr>
        <w:t>行政编</w:t>
      </w:r>
      <w:r>
        <w:rPr>
          <w:rFonts w:hint="eastAsia" w:eastAsia="楷体_GB2312"/>
          <w:b w:val="0"/>
          <w:bCs/>
          <w:sz w:val="32"/>
          <w:szCs w:val="32"/>
        </w:rPr>
        <w:t>制11人，工勤编制2人。其中，主任1名、副主任2名，设三个内设机构（正科级）：综合办公室、人大联络工作办公室、政协联络工作办公室，配主任3名、副主任2名。</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eastAsia" w:eastAsia="仿宋_GB2312"/>
          <w:color w:val="auto"/>
          <w:sz w:val="32"/>
          <w:szCs w:val="32"/>
          <w:highlight w:val="none"/>
        </w:rPr>
      </w:pPr>
      <w:r>
        <w:rPr>
          <w:rFonts w:hint="eastAsia" w:eastAsia="仿宋_GB2312"/>
          <w:color w:val="auto"/>
          <w:sz w:val="32"/>
          <w:szCs w:val="32"/>
          <w:highlight w:val="none"/>
        </w:rPr>
        <w:t>益阳市大通湖区人大政协联工委</w:t>
      </w:r>
      <w:r>
        <w:rPr>
          <w:rFonts w:eastAsia="仿宋_GB2312"/>
          <w:color w:val="auto"/>
          <w:sz w:val="32"/>
          <w:szCs w:val="32"/>
          <w:highlight w:val="none"/>
        </w:rPr>
        <w:t>部门只有本级，没有其他预算单位，纳入编制范围的预算单位仅含</w:t>
      </w:r>
      <w:r>
        <w:rPr>
          <w:rFonts w:hint="eastAsia" w:eastAsia="仿宋_GB2312"/>
          <w:color w:val="auto"/>
          <w:sz w:val="32"/>
          <w:szCs w:val="32"/>
          <w:highlight w:val="none"/>
        </w:rPr>
        <w:t>益阳市大通湖区人大政协联工委部门本级</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rPr>
        <w:t>282.58</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rPr>
        <w:t>282.58</w:t>
      </w:r>
      <w:r>
        <w:rPr>
          <w:rFonts w:eastAsia="仿宋_GB2312"/>
          <w:sz w:val="32"/>
          <w:szCs w:val="32"/>
        </w:rPr>
        <w:t>万元。收入较去年增加</w:t>
      </w:r>
      <w:r>
        <w:rPr>
          <w:rFonts w:hint="eastAsia" w:eastAsia="仿宋_GB2312"/>
          <w:sz w:val="32"/>
          <w:szCs w:val="32"/>
          <w:lang w:val="en-US" w:eastAsia="zh-CN"/>
        </w:rPr>
        <w:t>7.45</w:t>
      </w:r>
      <w:r>
        <w:rPr>
          <w:rFonts w:eastAsia="仿宋_GB2312"/>
          <w:sz w:val="32"/>
          <w:szCs w:val="32"/>
        </w:rPr>
        <w:t>万元，主要是</w:t>
      </w:r>
      <w:r>
        <w:rPr>
          <w:rFonts w:hint="eastAsia" w:eastAsia="仿宋_GB2312"/>
          <w:sz w:val="32"/>
          <w:szCs w:val="32"/>
          <w:lang w:eastAsia="zh-CN"/>
        </w:rPr>
        <w:t>公共财政预算拨款</w:t>
      </w:r>
      <w:r>
        <w:rPr>
          <w:rFonts w:eastAsia="仿宋_GB2312"/>
          <w:sz w:val="32"/>
          <w:szCs w:val="32"/>
        </w:rPr>
        <w:t>。</w:t>
      </w:r>
    </w:p>
    <w:p>
      <w:pPr>
        <w:widowControl/>
        <w:spacing w:line="600" w:lineRule="exact"/>
        <w:ind w:firstLine="630" w:firstLineChars="196"/>
        <w:jc w:val="left"/>
        <w:rPr>
          <w:rFonts w:hint="eastAsia" w:eastAsia="仿宋_GB2312"/>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rPr>
        <w:t>282.58</w:t>
      </w:r>
      <w:r>
        <w:rPr>
          <w:rFonts w:eastAsia="仿宋_GB2312"/>
          <w:sz w:val="32"/>
          <w:szCs w:val="32"/>
        </w:rPr>
        <w:t>万元，其中，</w:t>
      </w:r>
      <w:r>
        <w:rPr>
          <w:rFonts w:hint="eastAsia" w:eastAsia="仿宋_GB2312"/>
          <w:sz w:val="32"/>
          <w:szCs w:val="32"/>
        </w:rPr>
        <w:t>一般公共服务支出231.94万元，社会保障和就业支出25.66万元，卫生健康支出12.59万元，住房保障支出12.39万元</w:t>
      </w:r>
      <w:r>
        <w:rPr>
          <w:rFonts w:eastAsia="仿宋_GB2312"/>
          <w:sz w:val="32"/>
          <w:szCs w:val="32"/>
        </w:rPr>
        <w:t>。</w:t>
      </w:r>
      <w:r>
        <w:rPr>
          <w:rFonts w:hint="eastAsia" w:eastAsia="仿宋_GB2312"/>
          <w:sz w:val="32"/>
          <w:szCs w:val="32"/>
        </w:rPr>
        <w:t>支出较去年增加</w:t>
      </w:r>
      <w:r>
        <w:rPr>
          <w:rFonts w:hint="eastAsia" w:eastAsia="仿宋_GB2312"/>
          <w:sz w:val="32"/>
          <w:szCs w:val="32"/>
          <w:lang w:val="en-US" w:eastAsia="zh-CN"/>
        </w:rPr>
        <w:t>7.45</w:t>
      </w:r>
      <w:r>
        <w:rPr>
          <w:rFonts w:hint="eastAsia" w:eastAsia="仿宋_GB2312"/>
          <w:sz w:val="32"/>
          <w:szCs w:val="32"/>
        </w:rPr>
        <w:t>万元，主要原因是</w:t>
      </w:r>
      <w:r>
        <w:rPr>
          <w:rFonts w:hint="eastAsia" w:eastAsia="仿宋_GB2312"/>
          <w:sz w:val="32"/>
          <w:szCs w:val="32"/>
          <w:lang w:val="en-US" w:eastAsia="zh-CN"/>
        </w:rPr>
        <w:t>一般公共服务支出增加</w:t>
      </w:r>
      <w:r>
        <w:rPr>
          <w:rFonts w:hint="eastAsia" w:eastAsia="仿宋_GB2312"/>
          <w:sz w:val="32"/>
          <w:szCs w:val="32"/>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rPr>
        <w:t>282.58</w:t>
      </w:r>
      <w:r>
        <w:rPr>
          <w:rFonts w:eastAsia="仿宋_GB2312"/>
          <w:sz w:val="32"/>
          <w:szCs w:val="32"/>
        </w:rPr>
        <w:t>万元，其中，</w:t>
      </w:r>
      <w:r>
        <w:rPr>
          <w:rFonts w:hint="eastAsia" w:eastAsia="仿宋_GB2312"/>
          <w:sz w:val="32"/>
          <w:szCs w:val="32"/>
        </w:rPr>
        <w:t>一般公共服务支出</w:t>
      </w:r>
      <w:r>
        <w:rPr>
          <w:rFonts w:hint="eastAsia" w:eastAsia="仿宋_GB2312"/>
          <w:sz w:val="32"/>
          <w:szCs w:val="32"/>
          <w:lang w:val="en-US" w:eastAsia="zh-CN"/>
        </w:rPr>
        <w:t>231.94</w:t>
      </w:r>
      <w:r>
        <w:rPr>
          <w:rFonts w:hint="eastAsia" w:eastAsia="仿宋_GB2312"/>
          <w:sz w:val="32"/>
          <w:szCs w:val="32"/>
        </w:rPr>
        <w:t>万元，占</w:t>
      </w:r>
      <w:r>
        <w:rPr>
          <w:rFonts w:hint="eastAsia" w:eastAsia="仿宋_GB2312"/>
          <w:sz w:val="32"/>
          <w:szCs w:val="32"/>
          <w:lang w:val="en-US" w:eastAsia="zh-CN"/>
        </w:rPr>
        <w:t>82.80</w:t>
      </w:r>
      <w:r>
        <w:rPr>
          <w:rFonts w:hint="eastAsia" w:eastAsia="仿宋_GB2312"/>
          <w:sz w:val="32"/>
          <w:szCs w:val="32"/>
        </w:rPr>
        <w:t>%；社会保障和就业支出25.66万元，</w:t>
      </w:r>
      <w:r>
        <w:rPr>
          <w:rFonts w:hint="eastAsia" w:eastAsia="仿宋_GB2312"/>
          <w:sz w:val="32"/>
          <w:szCs w:val="32"/>
          <w:lang w:eastAsia="zh-CN"/>
        </w:rPr>
        <w:t>占</w:t>
      </w:r>
      <w:r>
        <w:rPr>
          <w:rFonts w:hint="eastAsia" w:eastAsia="仿宋_GB2312"/>
          <w:sz w:val="32"/>
          <w:szCs w:val="32"/>
          <w:lang w:val="en-US" w:eastAsia="zh-CN"/>
        </w:rPr>
        <w:t>9.08%；</w:t>
      </w:r>
      <w:r>
        <w:rPr>
          <w:rFonts w:hint="eastAsia" w:eastAsia="仿宋_GB2312"/>
          <w:sz w:val="32"/>
          <w:szCs w:val="32"/>
        </w:rPr>
        <w:t>卫生健康支出12.59万元，</w:t>
      </w:r>
      <w:r>
        <w:rPr>
          <w:rFonts w:hint="eastAsia" w:eastAsia="仿宋_GB2312"/>
          <w:sz w:val="32"/>
          <w:szCs w:val="32"/>
          <w:lang w:eastAsia="zh-CN"/>
        </w:rPr>
        <w:t>占</w:t>
      </w:r>
      <w:r>
        <w:rPr>
          <w:rFonts w:hint="eastAsia" w:eastAsia="仿宋_GB2312"/>
          <w:sz w:val="32"/>
          <w:szCs w:val="32"/>
          <w:lang w:val="en-US" w:eastAsia="zh-CN"/>
        </w:rPr>
        <w:t>4.46%；</w:t>
      </w:r>
      <w:r>
        <w:rPr>
          <w:rFonts w:hint="eastAsia" w:eastAsia="仿宋_GB2312"/>
          <w:sz w:val="32"/>
          <w:szCs w:val="32"/>
        </w:rPr>
        <w:t>住房保障支出12.39万元</w:t>
      </w:r>
      <w:r>
        <w:rPr>
          <w:rFonts w:hint="eastAsia" w:eastAsia="仿宋_GB2312"/>
          <w:sz w:val="32"/>
          <w:szCs w:val="32"/>
          <w:lang w:eastAsia="zh-CN"/>
        </w:rPr>
        <w:t>，占</w:t>
      </w:r>
      <w:r>
        <w:rPr>
          <w:rFonts w:hint="eastAsia" w:eastAsia="仿宋_GB2312"/>
          <w:sz w:val="32"/>
          <w:szCs w:val="32"/>
          <w:lang w:val="en-US" w:eastAsia="zh-CN"/>
        </w:rPr>
        <w:t>4.38%</w:t>
      </w:r>
      <w:r>
        <w:rPr>
          <w:rFonts w:eastAsia="仿宋_GB2312"/>
          <w:sz w:val="32"/>
          <w:szCs w:val="32"/>
        </w:rPr>
        <w:t>。</w:t>
      </w:r>
      <w:r>
        <w:rPr>
          <w:rFonts w:hint="eastAsia" w:eastAsia="仿宋_GB2312"/>
          <w:sz w:val="32"/>
          <w:szCs w:val="32"/>
          <w:lang w:val="en-US" w:eastAsia="zh-CN"/>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rPr>
        <w:t>211.28</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red"/>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rPr>
        <w:t>71.3</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lang w:eastAsia="zh-CN"/>
        </w:rPr>
        <w:t>一般公共服务</w:t>
      </w:r>
      <w:r>
        <w:rPr>
          <w:rFonts w:eastAsia="仿宋_GB2312"/>
          <w:sz w:val="32"/>
          <w:szCs w:val="32"/>
        </w:rPr>
        <w:t>支出</w:t>
      </w:r>
      <w:r>
        <w:rPr>
          <w:rFonts w:hint="eastAsia" w:eastAsia="仿宋_GB2312"/>
          <w:sz w:val="32"/>
          <w:szCs w:val="32"/>
          <w:lang w:val="en-US" w:eastAsia="zh-CN"/>
        </w:rPr>
        <w:t>71.3</w:t>
      </w:r>
      <w:r>
        <w:rPr>
          <w:rFonts w:eastAsia="仿宋_GB2312"/>
          <w:sz w:val="32"/>
          <w:szCs w:val="32"/>
        </w:rPr>
        <w:t>万元，主要用于</w:t>
      </w:r>
      <w:r>
        <w:rPr>
          <w:rFonts w:hint="eastAsia" w:eastAsia="仿宋_GB2312"/>
          <w:sz w:val="32"/>
          <w:szCs w:val="32"/>
          <w:lang w:eastAsia="zh-CN"/>
        </w:rPr>
        <w:t>人大事务、政协事务</w:t>
      </w:r>
      <w:r>
        <w:rPr>
          <w:rFonts w:eastAsia="仿宋_GB2312"/>
          <w:sz w:val="32"/>
          <w:szCs w:val="32"/>
        </w:rPr>
        <w:t>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sz w:val="32"/>
          <w:szCs w:val="32"/>
        </w:rPr>
      </w:pPr>
      <w:r>
        <w:rPr>
          <w:rFonts w:eastAsia="仿宋_GB2312"/>
          <w:sz w:val="32"/>
          <w:szCs w:val="32"/>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hint="eastAsia" w:eastAsia="仿宋_GB2312"/>
          <w:sz w:val="32"/>
          <w:szCs w:val="32"/>
          <w:lang w:val="en-US" w:eastAsia="zh-CN"/>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20</w:t>
      </w:r>
      <w:r>
        <w:rPr>
          <w:rFonts w:eastAsia="仿宋_GB2312"/>
          <w:sz w:val="32"/>
          <w:szCs w:val="32"/>
        </w:rPr>
        <w:t>万元，</w:t>
      </w:r>
      <w:r>
        <w:rPr>
          <w:rFonts w:hint="eastAsia" w:eastAsia="仿宋_GB2312"/>
          <w:sz w:val="32"/>
          <w:szCs w:val="32"/>
          <w:lang w:val="en-US" w:eastAsia="zh-CN"/>
        </w:rPr>
        <w:t>比上年预算减少11.32万元，下降36.14%，主要是工会经费减少。</w:t>
      </w:r>
    </w:p>
    <w:p>
      <w:pPr>
        <w:widowControl/>
        <w:spacing w:line="600" w:lineRule="exact"/>
        <w:ind w:firstLine="660"/>
        <w:rPr>
          <w:rFonts w:eastAsia="仿宋_GB2312"/>
          <w:sz w:val="32"/>
          <w:szCs w:val="32"/>
          <w:highlight w:val="red"/>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45</w:t>
      </w:r>
      <w:r>
        <w:rPr>
          <w:rFonts w:eastAsia="仿宋_GB2312"/>
          <w:sz w:val="32"/>
          <w:szCs w:val="32"/>
        </w:rPr>
        <w:t>万元，其中，公务接待费</w:t>
      </w:r>
      <w:r>
        <w:rPr>
          <w:rFonts w:hint="eastAsia" w:eastAsia="仿宋_GB2312"/>
          <w:sz w:val="32"/>
          <w:szCs w:val="32"/>
          <w:lang w:val="en-US" w:eastAsia="zh-CN"/>
        </w:rPr>
        <w:t>27</w:t>
      </w:r>
      <w:r>
        <w:rPr>
          <w:rFonts w:eastAsia="仿宋_GB2312"/>
          <w:sz w:val="32"/>
          <w:szCs w:val="32"/>
        </w:rPr>
        <w:t>万元，公务用车购置及运行费</w:t>
      </w:r>
      <w:r>
        <w:rPr>
          <w:rFonts w:hint="eastAsia" w:eastAsia="仿宋_GB2312"/>
          <w:sz w:val="32"/>
          <w:szCs w:val="32"/>
          <w:u w:val="single"/>
          <w:lang w:val="en-US" w:eastAsia="zh-CN"/>
        </w:rPr>
        <w:t>18</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18</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年持平，主要是</w:t>
      </w:r>
      <w:r>
        <w:rPr>
          <w:rFonts w:hint="eastAsia" w:eastAsia="仿宋_GB2312"/>
          <w:sz w:val="32"/>
          <w:szCs w:val="32"/>
          <w:lang w:eastAsia="zh-CN"/>
        </w:rPr>
        <w:t>收支稳定</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（三）一般性支出情况：</w:t>
      </w:r>
      <w:r>
        <w:rPr>
          <w:rFonts w:hint="eastAsia" w:eastAsia="仿宋_GB2312"/>
          <w:sz w:val="32"/>
          <w:szCs w:val="32"/>
        </w:rPr>
        <w:t>2022</w:t>
      </w:r>
      <w:r>
        <w:rPr>
          <w:rFonts w:eastAsia="仿宋_GB2312"/>
          <w:sz w:val="32"/>
          <w:szCs w:val="32"/>
        </w:rPr>
        <w:t>年本部门会议费预算</w:t>
      </w:r>
      <w:r>
        <w:rPr>
          <w:rFonts w:hint="eastAsia" w:eastAsia="仿宋_GB2312"/>
          <w:sz w:val="32"/>
          <w:szCs w:val="32"/>
          <w:lang w:val="en-US" w:eastAsia="zh-CN"/>
        </w:rPr>
        <w:t>3</w:t>
      </w:r>
      <w:r>
        <w:rPr>
          <w:rFonts w:eastAsia="仿宋_GB2312"/>
          <w:sz w:val="32"/>
          <w:szCs w:val="32"/>
        </w:rPr>
        <w:t>万元，拟召开</w:t>
      </w:r>
      <w:r>
        <w:rPr>
          <w:rFonts w:hint="eastAsia" w:eastAsia="仿宋_GB2312"/>
          <w:sz w:val="32"/>
          <w:szCs w:val="32"/>
          <w:lang w:eastAsia="zh-CN"/>
        </w:rPr>
        <w:t>人大政协</w:t>
      </w:r>
      <w:r>
        <w:rPr>
          <w:rFonts w:eastAsia="仿宋_GB2312"/>
          <w:sz w:val="32"/>
          <w:szCs w:val="32"/>
        </w:rPr>
        <w:t>会议，人数</w:t>
      </w:r>
      <w:r>
        <w:rPr>
          <w:rFonts w:hint="eastAsia" w:eastAsia="仿宋_GB2312"/>
          <w:sz w:val="32"/>
          <w:szCs w:val="32"/>
          <w:lang w:val="en-US" w:eastAsia="zh-CN"/>
        </w:rPr>
        <w:t>215</w:t>
      </w:r>
      <w:r>
        <w:rPr>
          <w:rFonts w:eastAsia="仿宋_GB2312"/>
          <w:sz w:val="32"/>
          <w:szCs w:val="32"/>
        </w:rPr>
        <w:t>人，内容为</w:t>
      </w:r>
      <w:r>
        <w:rPr>
          <w:rFonts w:hint="eastAsia" w:eastAsia="仿宋_GB2312"/>
          <w:sz w:val="32"/>
          <w:szCs w:val="32"/>
          <w:lang w:eastAsia="zh-CN"/>
        </w:rPr>
        <w:t>政协全会、人大工委会</w:t>
      </w:r>
      <w:r>
        <w:rPr>
          <w:rFonts w:eastAsia="仿宋_GB2312"/>
          <w:sz w:val="32"/>
          <w:szCs w:val="32"/>
        </w:rPr>
        <w:t>；培训费预算</w:t>
      </w:r>
      <w:r>
        <w:rPr>
          <w:rFonts w:hint="eastAsia" w:eastAsia="仿宋_GB2312"/>
          <w:sz w:val="32"/>
          <w:szCs w:val="32"/>
          <w:lang w:val="en-US" w:eastAsia="zh-CN"/>
        </w:rPr>
        <w:t>1.5</w:t>
      </w:r>
      <w:r>
        <w:rPr>
          <w:rFonts w:eastAsia="仿宋_GB2312"/>
          <w:sz w:val="32"/>
          <w:szCs w:val="32"/>
        </w:rPr>
        <w:t>万元，拟开展</w:t>
      </w:r>
      <w:r>
        <w:rPr>
          <w:rFonts w:hint="eastAsia" w:eastAsia="仿宋_GB2312"/>
          <w:sz w:val="32"/>
          <w:szCs w:val="32"/>
          <w:lang w:eastAsia="zh-CN"/>
        </w:rPr>
        <w:t>人大代表、政协委员</w:t>
      </w:r>
      <w:r>
        <w:rPr>
          <w:rFonts w:eastAsia="仿宋_GB2312"/>
          <w:sz w:val="32"/>
          <w:szCs w:val="32"/>
        </w:rPr>
        <w:t>培训，人数</w:t>
      </w:r>
      <w:r>
        <w:rPr>
          <w:rFonts w:hint="eastAsia" w:eastAsia="仿宋_GB2312"/>
          <w:sz w:val="32"/>
          <w:szCs w:val="32"/>
          <w:lang w:val="en-US" w:eastAsia="zh-CN"/>
        </w:rPr>
        <w:t>32</w:t>
      </w:r>
      <w:r>
        <w:rPr>
          <w:rFonts w:eastAsia="仿宋_GB2312"/>
          <w:sz w:val="32"/>
          <w:szCs w:val="32"/>
        </w:rPr>
        <w:t>人，内容为</w:t>
      </w:r>
      <w:r>
        <w:rPr>
          <w:rFonts w:hint="eastAsia" w:eastAsia="仿宋_GB2312"/>
          <w:sz w:val="32"/>
          <w:szCs w:val="32"/>
          <w:lang w:eastAsia="zh-CN"/>
        </w:rPr>
        <w:t>履职培训；</w:t>
      </w:r>
      <w:r>
        <w:rPr>
          <w:rFonts w:hint="eastAsia" w:eastAsia="仿宋_GB2312"/>
          <w:sz w:val="32"/>
          <w:szCs w:val="32"/>
        </w:rPr>
        <w:t>未举办节庆、晚会、论坛、赛事活动</w:t>
      </w:r>
      <w:bookmarkStart w:id="0" w:name="_GoBack"/>
      <w:bookmarkEnd w:id="0"/>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其中，货物类采购预算0万元；工程类采购预算0万元；服务类采购预算0万元</w:t>
      </w:r>
      <w:r>
        <w:rPr>
          <w:rFonts w:eastAsia="仿宋_GB2312"/>
          <w:sz w:val="32"/>
          <w:szCs w:val="32"/>
        </w:rPr>
        <w:t>。</w:t>
      </w:r>
    </w:p>
    <w:p>
      <w:pPr>
        <w:widowControl/>
        <w:spacing w:line="600" w:lineRule="exact"/>
        <w:ind w:firstLine="660"/>
        <w:jc w:val="left"/>
        <w:rPr>
          <w:rFonts w:hint="eastAsia" w:eastAsia="仿宋_GB2312"/>
          <w:sz w:val="32"/>
          <w:szCs w:val="32"/>
        </w:rPr>
      </w:pPr>
      <w:r>
        <w:rPr>
          <w:rFonts w:eastAsia="楷体_GB2312"/>
          <w:b/>
          <w:sz w:val="32"/>
          <w:szCs w:val="32"/>
        </w:rPr>
        <w:t>（五）国有资产占用使用及新增资产配置情况：</w:t>
      </w:r>
      <w:r>
        <w:rPr>
          <w:rFonts w:hint="eastAsia" w:eastAsia="仿宋_GB2312"/>
          <w:sz w:val="32"/>
          <w:szCs w:val="32"/>
        </w:rPr>
        <w:t>国有资产占用使用及新增资产配置情况：截至2021年12月底，本部门共有公务用车0辆，其中，机要通信用车0辆，应急保障用车0辆，执法执勤用车0辆，特种专业技术用车0辆，其他按照规定配备的公务用车0辆；单位价值50万元以上通用设备</w:t>
      </w:r>
      <w:r>
        <w:rPr>
          <w:rFonts w:hint="eastAsia" w:eastAsia="仿宋_GB2312"/>
          <w:sz w:val="32"/>
          <w:szCs w:val="32"/>
          <w:lang w:val="en-US" w:eastAsia="zh-CN"/>
        </w:rPr>
        <w:t>0</w:t>
      </w:r>
      <w:r>
        <w:rPr>
          <w:rFonts w:hint="eastAsia" w:eastAsia="仿宋_GB2312"/>
          <w:sz w:val="32"/>
          <w:szCs w:val="32"/>
        </w:rPr>
        <w:t>台，单位价值100万元以上专用设备</w:t>
      </w:r>
      <w:r>
        <w:rPr>
          <w:rFonts w:hint="eastAsia" w:eastAsia="仿宋_GB2312"/>
          <w:sz w:val="32"/>
          <w:szCs w:val="32"/>
          <w:lang w:val="en-US" w:eastAsia="zh-CN"/>
        </w:rPr>
        <w:t>0</w:t>
      </w:r>
      <w:r>
        <w:rPr>
          <w:rFonts w:hint="eastAsia" w:eastAsia="仿宋_GB2312"/>
          <w:sz w:val="32"/>
          <w:szCs w:val="32"/>
        </w:rPr>
        <w:t>台。2022年拟新增配置公务用车0辆，其中，机要通信用车0辆，应急保障用车0辆，执法执勤用车0辆，特种专业技术用车0辆，其他按照规定配备的公务用车0辆；新增配备单位价值50万元以上通用设备</w:t>
      </w:r>
      <w:r>
        <w:rPr>
          <w:rFonts w:hint="eastAsia" w:eastAsia="仿宋_GB2312"/>
          <w:sz w:val="32"/>
          <w:szCs w:val="32"/>
          <w:lang w:val="en-US" w:eastAsia="zh-CN"/>
        </w:rPr>
        <w:t>0</w:t>
      </w:r>
      <w:r>
        <w:rPr>
          <w:rFonts w:hint="eastAsia" w:eastAsia="仿宋_GB2312"/>
          <w:sz w:val="32"/>
          <w:szCs w:val="32"/>
        </w:rPr>
        <w:t>台，单位价值100万元以上专用设备</w:t>
      </w:r>
      <w:r>
        <w:rPr>
          <w:rFonts w:hint="eastAsia" w:eastAsia="仿宋_GB2312"/>
          <w:sz w:val="32"/>
          <w:szCs w:val="32"/>
          <w:lang w:val="en-US" w:eastAsia="zh-CN"/>
        </w:rPr>
        <w:t>0</w:t>
      </w:r>
      <w:r>
        <w:rPr>
          <w:rFonts w:hint="eastAsia" w:eastAsia="仿宋_GB2312"/>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sz w:val="32"/>
          <w:szCs w:val="32"/>
        </w:rPr>
      </w:pPr>
      <w:r>
        <w:rPr>
          <w:rFonts w:hint="eastAsia" w:eastAsia="仿宋_GB2312"/>
          <w:sz w:val="32"/>
          <w:szCs w:val="32"/>
        </w:rPr>
        <w:t>本部门所有支出实行绩效目标管理，纳入2022年部门整体支出绩效目标的金额为</w:t>
      </w:r>
      <w:r>
        <w:rPr>
          <w:rFonts w:hint="eastAsia" w:eastAsia="仿宋_GB2312"/>
          <w:sz w:val="32"/>
          <w:szCs w:val="32"/>
          <w:lang w:val="en-US" w:eastAsia="zh-CN"/>
        </w:rPr>
        <w:t>282.58</w:t>
      </w:r>
      <w:r>
        <w:rPr>
          <w:rFonts w:hint="eastAsia" w:eastAsia="仿宋_GB2312"/>
          <w:sz w:val="32"/>
          <w:szCs w:val="32"/>
        </w:rPr>
        <w:t>万元，其中，基本支出</w:t>
      </w:r>
      <w:r>
        <w:rPr>
          <w:rFonts w:hint="eastAsia" w:eastAsia="仿宋_GB2312"/>
          <w:sz w:val="32"/>
          <w:szCs w:val="32"/>
          <w:lang w:val="en-US" w:eastAsia="zh-CN"/>
        </w:rPr>
        <w:t>211.58</w:t>
      </w:r>
      <w:r>
        <w:rPr>
          <w:rFonts w:hint="eastAsia" w:eastAsia="仿宋_GB2312"/>
          <w:sz w:val="32"/>
          <w:szCs w:val="32"/>
        </w:rPr>
        <w:t>万元，单位项目支出</w:t>
      </w:r>
      <w:r>
        <w:rPr>
          <w:rFonts w:hint="eastAsia" w:eastAsia="仿宋_GB2312"/>
          <w:sz w:val="32"/>
          <w:szCs w:val="32"/>
          <w:lang w:val="en-US" w:eastAsia="zh-CN"/>
        </w:rPr>
        <w:t>71.3</w:t>
      </w:r>
      <w:r>
        <w:rPr>
          <w:rFonts w:hint="eastAsia" w:eastAsia="仿宋_GB2312"/>
          <w:sz w:val="32"/>
          <w:szCs w:val="32"/>
        </w:rPr>
        <w:t>万元，重点项目（专项）支出</w:t>
      </w:r>
      <w:r>
        <w:rPr>
          <w:rFonts w:hint="eastAsia" w:eastAsia="仿宋_GB2312"/>
          <w:sz w:val="32"/>
          <w:szCs w:val="32"/>
          <w:lang w:val="en-US" w:eastAsia="zh-CN"/>
        </w:rPr>
        <w:t>0</w:t>
      </w:r>
      <w:r>
        <w:rPr>
          <w:rFonts w:hint="eastAsia" w:eastAsia="仿宋_GB2312"/>
          <w:sz w:val="32"/>
          <w:szCs w:val="32"/>
        </w:rPr>
        <w:t>万元，具体绩效目标见附表。</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D581C0F"/>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4E940829"/>
    <w:rsid w:val="506643DA"/>
    <w:rsid w:val="51B3364F"/>
    <w:rsid w:val="5233653E"/>
    <w:rsid w:val="528B637A"/>
    <w:rsid w:val="528C74F9"/>
    <w:rsid w:val="53FF492A"/>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C9109B"/>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862A04"/>
    <w:rsid w:val="7CBE2D25"/>
    <w:rsid w:val="7DCE343B"/>
    <w:rsid w:val="7DD32800"/>
    <w:rsid w:val="7E290672"/>
    <w:rsid w:val="7E935F65"/>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75</TotalTime>
  <ScaleCrop>false</ScaleCrop>
  <LinksUpToDate>false</LinksUpToDate>
  <CharactersWithSpaces>4480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sky丶歆</cp:lastModifiedBy>
  <cp:lastPrinted>2021-05-16T11:47:00Z</cp:lastPrinted>
  <dcterms:modified xsi:type="dcterms:W3CDTF">2023-10-03T08:55:27Z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4F20322D269643DAB0EE938A71709E3A_13</vt:lpwstr>
  </property>
</Properties>
</file>