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bookmarkStart w:id="0" w:name="_GoBack"/>
      <w:bookmarkEnd w:id="0"/>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ascii="楷体_GB2312" w:hAnsi="楷体_GB2312" w:eastAsia="楷体_GB2312" w:cs="楷体_GB2312"/>
          <w:b/>
          <w:bCs w:val="0"/>
          <w:sz w:val="44"/>
          <w:szCs w:val="44"/>
          <w:lang w:val="en-US" w:eastAsia="zh-CN"/>
        </w:rPr>
        <w:t>益阳市大通湖区民政和人力资源社会保障局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仿宋_GB2312"/>
          <w:sz w:val="32"/>
          <w:szCs w:val="32"/>
          <w:lang w:val="en-US" w:eastAsia="zh-CN"/>
        </w:rPr>
      </w:pPr>
      <w:r>
        <w:rPr>
          <w:rFonts w:eastAsia="楷体_GB2312"/>
          <w:b/>
          <w:sz w:val="32"/>
          <w:szCs w:val="32"/>
        </w:rPr>
        <w:t>（一）职能职责</w:t>
      </w:r>
      <w:r>
        <w:rPr>
          <w:rFonts w:hint="eastAsia" w:eastAsia="楷体_GB2312"/>
          <w:b/>
          <w:sz w:val="32"/>
          <w:szCs w:val="32"/>
          <w:lang w:val="en-US" w:eastAsia="zh-CN"/>
        </w:rPr>
        <w:t>：</w:t>
      </w:r>
      <w:r>
        <w:rPr>
          <w:rFonts w:hint="eastAsia" w:eastAsia="仿宋_GB2312"/>
          <w:sz w:val="32"/>
          <w:szCs w:val="32"/>
          <w:lang w:val="en-US" w:eastAsia="zh-CN"/>
        </w:rPr>
        <w:t>益阳市大通湖区民政和人力资源社会保障局是大通湖区管委会的工作部门，为正科级,加挂大通湖区医疗保障局、大通湖区退役军人事务局牌子。益阳市大通湖区民政和人力资源社会保障局贯彻落实党中央关于民政、退役军人事务、残疾人事业、人力资源和社会保障、医疗保障工作的方针政策以及省委、市委、区委的部署要求，在履行职责过程中坚持和加强党的集中统一领导。局机关内设办公室、规划财务与基金监督股、民政股、残联办、退役军人事务股、社会保险股、医疗保障股、事业单位人事管理股、法规与行政审批股、信访股10个职能股室；下设就业服务中心、社会保险服务中心、医疗事务保障中心、劳动监察大队、退役军人服务中心5个事业机构， 现有在编干部职工57人。主要职能有：</w:t>
      </w:r>
    </w:p>
    <w:p>
      <w:pPr>
        <w:widowControl/>
        <w:spacing w:line="600" w:lineRule="exact"/>
        <w:ind w:firstLine="627" w:firstLineChars="196"/>
        <w:jc w:val="left"/>
        <w:rPr>
          <w:rFonts w:hint="eastAsia" w:eastAsia="仿宋_GB2312"/>
          <w:sz w:val="32"/>
          <w:szCs w:val="32"/>
          <w:lang w:val="en-US" w:eastAsia="zh-CN"/>
        </w:rPr>
      </w:pPr>
      <w:r>
        <w:rPr>
          <w:rFonts w:hint="eastAsia" w:eastAsia="仿宋_GB2312"/>
          <w:sz w:val="32"/>
          <w:szCs w:val="32"/>
          <w:lang w:val="en-US" w:eastAsia="zh-CN"/>
        </w:rPr>
        <w:t>贯彻执行党和国家、省关于民政、退役军人事务、残疾人事业、人力资源和社会保障、医疗保障的方针政策和法律法规，拟定全区民政事业、退役军人事务、残疾人事业人力资源和社会保障事业、医疗保障事业的发展规划和年度工作计划并组织实施，对全区民政、退役军人事务、残疾人事业、人力资源和社会保障、医疗保障工作进行综合管理、监督指导和协调服务。</w:t>
      </w:r>
    </w:p>
    <w:p>
      <w:pPr>
        <w:widowControl/>
        <w:spacing w:line="600" w:lineRule="exact"/>
        <w:ind w:firstLine="627" w:firstLineChars="196"/>
        <w:jc w:val="left"/>
        <w:rPr>
          <w:rFonts w:hint="eastAsia" w:eastAsia="仿宋_GB2312"/>
          <w:sz w:val="32"/>
          <w:szCs w:val="32"/>
          <w:lang w:val="en-US" w:eastAsia="zh-CN"/>
        </w:rPr>
      </w:pPr>
      <w:r>
        <w:rPr>
          <w:rFonts w:hint="eastAsia" w:eastAsia="仿宋_GB2312"/>
          <w:sz w:val="32"/>
          <w:szCs w:val="32"/>
          <w:lang w:val="en-US" w:eastAsia="zh-CN"/>
        </w:rPr>
        <w:t>负责全区社团管理、社会救助、基层政权建设、行政区划总体规划、婚姻管理、殡葬管理、养老服务、儿童福利、残疾人权益保护、慈善事业等具体事务管理和服务工作。</w:t>
      </w:r>
    </w:p>
    <w:p>
      <w:pPr>
        <w:widowControl/>
        <w:spacing w:line="600" w:lineRule="exact"/>
        <w:ind w:firstLine="627" w:firstLineChars="196"/>
        <w:jc w:val="left"/>
        <w:rPr>
          <w:rFonts w:hint="eastAsia" w:eastAsia="仿宋_GB2312"/>
          <w:sz w:val="32"/>
          <w:szCs w:val="32"/>
          <w:lang w:val="en-US" w:eastAsia="zh-CN"/>
        </w:rPr>
      </w:pPr>
      <w:r>
        <w:rPr>
          <w:rFonts w:hint="eastAsia" w:eastAsia="仿宋_GB2312"/>
          <w:sz w:val="32"/>
          <w:szCs w:val="32"/>
          <w:lang w:val="en-US" w:eastAsia="zh-CN"/>
        </w:rPr>
        <w:t>负责全区军队转业干部、复员干部、离退休干部、退役士兵和无军籍退休退职职工的移交安置和自主择业就业退役军人服务管理工作；组织参加退役军人教育培训工作，协调扶持退役军人和随军随调家属就业创业工作；贯彻落实国家和省委、市委关于退役军人的特殊保障政策，并组织落实；贯彻落实退役军人医疗、社会保险等待遇保障工作；组织指导全区拥军优属工作；负责全区烈士及退役军人荣誉奖励、纪念活动等工作，依法承担英烈士保护相关工作；指导并监督检查全区关于退役军人相关法律法规和政策措施的落实；开展全区退役军人权益保护和有关人员的帮扶援助工作。</w:t>
      </w:r>
    </w:p>
    <w:p>
      <w:pPr>
        <w:widowControl/>
        <w:spacing w:line="600" w:lineRule="exact"/>
        <w:ind w:firstLine="627" w:firstLineChars="196"/>
        <w:jc w:val="left"/>
        <w:rPr>
          <w:rFonts w:hint="eastAsia" w:eastAsia="仿宋_GB2312"/>
          <w:sz w:val="32"/>
          <w:szCs w:val="32"/>
          <w:lang w:val="en-US" w:eastAsia="zh-CN"/>
        </w:rPr>
      </w:pPr>
      <w:r>
        <w:rPr>
          <w:rFonts w:hint="eastAsia" w:eastAsia="仿宋_GB2312"/>
          <w:sz w:val="32"/>
          <w:szCs w:val="32"/>
          <w:lang w:val="en-US" w:eastAsia="zh-CN"/>
        </w:rPr>
        <w:t>协助区管委制定残疾人事业发展纲要，促进残疾人康复、教育、劳动就业、扶贫、托养、维权、文化体育、社会保障等工作，改善残疾人参与社会生活的环境和条件；联系指导各类残疾人社会组织；指导和监督残疾人证核发工作；承担区管委残疾人工作委员会的日常工作。</w:t>
      </w:r>
    </w:p>
    <w:p>
      <w:pPr>
        <w:widowControl/>
        <w:spacing w:line="600" w:lineRule="exact"/>
        <w:ind w:firstLine="627" w:firstLineChars="196"/>
        <w:jc w:val="left"/>
        <w:rPr>
          <w:rFonts w:hint="eastAsia" w:eastAsia="仿宋_GB2312"/>
          <w:sz w:val="32"/>
          <w:szCs w:val="32"/>
          <w:lang w:val="en-US" w:eastAsia="zh-CN"/>
        </w:rPr>
      </w:pPr>
      <w:r>
        <w:rPr>
          <w:rFonts w:hint="eastAsia" w:eastAsia="仿宋_GB2312"/>
          <w:sz w:val="32"/>
          <w:szCs w:val="32"/>
          <w:lang w:val="en-US" w:eastAsia="zh-CN"/>
        </w:rPr>
        <w:t>拟定全区人力资源市场发展规划和人力资源流动政策；负责全区促进就业工作；统筹推进覆盖城乡多层次社会保障体系，完善组织养老、失业、工伤等社会保险及其补充保险政策和标准，统筹实施养老保险、失业保险、工伤保险政策；会同有关部门实施全员参保计划并建立统一的社会保险公共服务平台；负责全区就业、失业和相关社会保险基金预测预警和信息引导，拟定应对预案；组织实施劳动人事争议调解仲裁，执行劳动关系政策；牵头深化职称制度改革；按照管理权限负责规范事业单位岗位设置、公开招聘、聘用合同等人事综合管理工作，拟定并组织实施事业单位工作人员和机关工勤人员管理政策；贯彻执行有关事业单位和机关单位工勤人员收入分配政策；配合有关部门审核纳入区财政统发范的事业单位和机关工勤人员的工资、奖金、津补贴标准和离退休费；会同有关部门落实农民工工作的综合政策和规划，推动农民工相关政策的落实。</w:t>
      </w:r>
    </w:p>
    <w:p>
      <w:pPr>
        <w:widowControl/>
        <w:spacing w:line="600" w:lineRule="exact"/>
        <w:ind w:firstLine="627" w:firstLineChars="196"/>
        <w:jc w:val="left"/>
        <w:rPr>
          <w:rFonts w:hint="eastAsia" w:eastAsia="仿宋_GB2312"/>
          <w:sz w:val="32"/>
          <w:szCs w:val="32"/>
          <w:lang w:val="en-US" w:eastAsia="zh-CN"/>
        </w:rPr>
      </w:pPr>
      <w:r>
        <w:rPr>
          <w:rFonts w:hint="eastAsia" w:eastAsia="仿宋_GB2312"/>
          <w:sz w:val="32"/>
          <w:szCs w:val="32"/>
          <w:lang w:val="en-US" w:eastAsia="zh-CN"/>
        </w:rPr>
        <w:t xml:space="preserve">组织实施全省医疗保障基金监督管理办法，建立健全医疗保障基金安全防控措施；组织实施全区医疗保障筹资和待遇政策；组织实施全区省定城乡药品、医用耗材、医疗服务设施等价格管理；依法查处纳入医保范围医疗服务行为和费用的违法违规行为；负责全区医疗保险、生育保险、医疗救助等经办保障业务工作；组织制定和完善异地就医管理和费用结算办法，完善医疗保障关系转移接续制度；承办职工基本医疗保险、城乡居民医疗保险、公务员医疗补助、生育保险、大病医疗互助、医疗救助等参保登记和关系建立、中断、转移、接续、终止等经办事务；承办全区医疗保障基金（费）的管理、运营、结算等经办业务。          </w:t>
      </w:r>
    </w:p>
    <w:p>
      <w:pPr>
        <w:widowControl/>
        <w:spacing w:line="600" w:lineRule="exact"/>
        <w:ind w:firstLine="627" w:firstLineChars="196"/>
        <w:jc w:val="left"/>
        <w:rPr>
          <w:rFonts w:hint="eastAsia" w:eastAsia="仿宋_GB2312"/>
          <w:sz w:val="32"/>
          <w:szCs w:val="32"/>
          <w:lang w:val="en-US" w:eastAsia="zh-CN"/>
        </w:rPr>
      </w:pPr>
      <w:r>
        <w:rPr>
          <w:rFonts w:hint="eastAsia" w:eastAsia="仿宋_GB2312"/>
          <w:sz w:val="32"/>
          <w:szCs w:val="32"/>
          <w:lang w:val="en-US" w:eastAsia="zh-CN"/>
        </w:rPr>
        <w:t>完成区委、区管委交办的其他任务。</w:t>
      </w:r>
    </w:p>
    <w:p>
      <w:pPr>
        <w:widowControl/>
        <w:spacing w:line="600" w:lineRule="exact"/>
        <w:ind w:firstLine="630" w:firstLineChars="196"/>
        <w:jc w:val="left"/>
        <w:rPr>
          <w:rFonts w:hint="eastAsia" w:eastAsia="仿宋_GB2312"/>
          <w:sz w:val="32"/>
          <w:szCs w:val="32"/>
          <w:lang w:val="en-US" w:eastAsia="zh-CN"/>
        </w:rPr>
      </w:pPr>
      <w:r>
        <w:rPr>
          <w:rFonts w:eastAsia="楷体_GB2312"/>
          <w:b/>
          <w:sz w:val="32"/>
          <w:szCs w:val="32"/>
          <w:highlight w:val="none"/>
        </w:rPr>
        <w:t>（二）机构设置</w:t>
      </w:r>
      <w:r>
        <w:rPr>
          <w:rFonts w:hint="eastAsia" w:eastAsia="楷体_GB2312"/>
          <w:b/>
          <w:sz w:val="32"/>
          <w:szCs w:val="32"/>
          <w:highlight w:val="none"/>
          <w:lang w:eastAsia="zh-CN"/>
        </w:rPr>
        <w:t>：</w:t>
      </w:r>
      <w:r>
        <w:rPr>
          <w:rFonts w:hint="eastAsia" w:eastAsia="仿宋_GB2312"/>
          <w:sz w:val="32"/>
          <w:szCs w:val="32"/>
          <w:lang w:val="en-US" w:eastAsia="zh-CN"/>
        </w:rPr>
        <w:t>益阳市大通湖区民政和人力资源社会保障局是大通湖区管委会的工作部门，为正科级,加挂大通湖区医疗保障局、大通湖区退役军人事务局牌子。局机关内设办公室、规划财务与基金监督股、民政股、残联办、退役军人事务股、社会保险股、医疗保障股、事业单位人事管理股、法规与行政审批股、信访股10个职能股室；下设就业服务中心、社会保险服务中心、医疗事务保障中心、劳动监察大队、退役军人服务中心5个事业机构。</w:t>
      </w:r>
    </w:p>
    <w:p>
      <w:pPr>
        <w:widowControl/>
        <w:spacing w:line="600" w:lineRule="exact"/>
        <w:ind w:firstLine="627" w:firstLineChars="196"/>
        <w:jc w:val="left"/>
        <w:rPr>
          <w:rFonts w:hint="eastAsia" w:eastAsia="黑体"/>
          <w:bCs/>
          <w:kern w:val="0"/>
          <w:sz w:val="32"/>
          <w:szCs w:val="32"/>
        </w:rPr>
      </w:pPr>
      <w:r>
        <w:rPr>
          <w:rFonts w:hint="eastAsia" w:eastAsia="黑体"/>
          <w:bCs/>
          <w:kern w:val="0"/>
          <w:sz w:val="32"/>
          <w:szCs w:val="32"/>
          <w:lang w:val="en-US" w:eastAsia="zh-CN"/>
        </w:rPr>
        <w:t>二、</w:t>
      </w:r>
      <w:r>
        <w:rPr>
          <w:rFonts w:hint="eastAsia" w:eastAsia="黑体"/>
          <w:bCs/>
          <w:kern w:val="0"/>
          <w:sz w:val="32"/>
          <w:szCs w:val="32"/>
        </w:rPr>
        <w:t>部门预算单位构成</w:t>
      </w:r>
    </w:p>
    <w:p>
      <w:pPr>
        <w:widowControl/>
        <w:spacing w:line="600" w:lineRule="exact"/>
        <w:ind w:firstLine="627" w:firstLineChars="196"/>
        <w:rPr>
          <w:rFonts w:hint="eastAsia" w:eastAsia="仿宋_GB2312"/>
          <w:sz w:val="32"/>
          <w:szCs w:val="32"/>
          <w:lang w:val="en-US" w:eastAsia="zh-CN"/>
        </w:rPr>
      </w:pPr>
      <w:r>
        <w:rPr>
          <w:rFonts w:hint="eastAsia" w:eastAsia="仿宋_GB2312"/>
          <w:sz w:val="32"/>
          <w:szCs w:val="32"/>
          <w:lang w:eastAsia="zh-CN"/>
        </w:rPr>
        <w:t>2022年部门预算包括局机关预算和所属二级机构预算在内的汇总情况，包括：大通湖区民政和人力资源社会保障局、大通湖区社保保险服务中心、大通湖区医疗保障事务中心、大通湖区就业服务中心。</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rPr>
        <w:t>844.17</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lang w:val="en-US" w:eastAsia="zh-CN"/>
        </w:rPr>
        <w:t>835.91</w:t>
      </w:r>
      <w:r>
        <w:rPr>
          <w:rFonts w:eastAsia="仿宋_GB2312"/>
          <w:sz w:val="32"/>
          <w:szCs w:val="32"/>
        </w:rPr>
        <w:t>万元，</w:t>
      </w:r>
      <w:r>
        <w:rPr>
          <w:rFonts w:hint="eastAsia" w:eastAsia="仿宋_GB2312"/>
          <w:sz w:val="32"/>
          <w:szCs w:val="32"/>
          <w:lang w:val="en-US" w:eastAsia="zh-CN"/>
        </w:rPr>
        <w:t>上级补助收入8.26</w:t>
      </w:r>
      <w:r>
        <w:rPr>
          <w:rFonts w:eastAsia="仿宋_GB2312"/>
          <w:sz w:val="32"/>
          <w:szCs w:val="32"/>
        </w:rPr>
        <w:t>万元。收入较去年减少</w:t>
      </w:r>
      <w:r>
        <w:rPr>
          <w:rFonts w:hint="eastAsia" w:eastAsia="仿宋_GB2312"/>
          <w:sz w:val="32"/>
          <w:szCs w:val="32"/>
          <w:lang w:val="en-US" w:eastAsia="zh-CN"/>
        </w:rPr>
        <w:t>33.59</w:t>
      </w:r>
      <w:r>
        <w:rPr>
          <w:rFonts w:eastAsia="仿宋_GB2312"/>
          <w:sz w:val="32"/>
          <w:szCs w:val="32"/>
        </w:rPr>
        <w:t>万元，主要是</w:t>
      </w:r>
      <w:r>
        <w:rPr>
          <w:rFonts w:hint="eastAsia" w:eastAsia="仿宋_GB2312"/>
          <w:sz w:val="32"/>
          <w:szCs w:val="32"/>
        </w:rPr>
        <w:t>财政压减财政项目支出预算</w:t>
      </w:r>
      <w:r>
        <w:rPr>
          <w:rFonts w:eastAsia="仿宋_GB2312"/>
          <w:sz w:val="32"/>
          <w:szCs w:val="32"/>
        </w:rPr>
        <w:t>。</w:t>
      </w:r>
    </w:p>
    <w:p>
      <w:pPr>
        <w:widowControl/>
        <w:spacing w:line="600" w:lineRule="exact"/>
        <w:ind w:firstLine="627" w:firstLineChars="196"/>
        <w:rPr>
          <w:rFonts w:eastAsia="黑体"/>
          <w:b/>
          <w:bCs/>
          <w:color w:val="FF0000"/>
          <w:kern w:val="0"/>
          <w:sz w:val="32"/>
          <w:szCs w:val="32"/>
        </w:rPr>
      </w:pPr>
      <w:r>
        <w:rPr>
          <w:rFonts w:eastAsia="仿宋_GB2312"/>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rPr>
        <w:t>844.17</w:t>
      </w:r>
      <w:r>
        <w:rPr>
          <w:rFonts w:eastAsia="仿宋_GB2312"/>
          <w:sz w:val="32"/>
          <w:szCs w:val="32"/>
        </w:rPr>
        <w:t>万元，其中，一般公共服务</w:t>
      </w:r>
      <w:r>
        <w:rPr>
          <w:rFonts w:hint="eastAsia" w:eastAsia="仿宋_GB2312"/>
          <w:sz w:val="32"/>
          <w:szCs w:val="32"/>
        </w:rPr>
        <w:t>3</w:t>
      </w:r>
      <w:r>
        <w:rPr>
          <w:rFonts w:hint="eastAsia" w:eastAsia="仿宋_GB2312"/>
          <w:sz w:val="32"/>
          <w:szCs w:val="32"/>
          <w:lang w:val="en-US" w:eastAsia="zh-CN"/>
        </w:rPr>
        <w:t>.00</w:t>
      </w:r>
      <w:r>
        <w:rPr>
          <w:rFonts w:eastAsia="仿宋_GB2312"/>
          <w:sz w:val="32"/>
          <w:szCs w:val="32"/>
        </w:rPr>
        <w:t>万元，</w:t>
      </w:r>
      <w:r>
        <w:rPr>
          <w:rFonts w:hint="eastAsia" w:eastAsia="仿宋_GB2312"/>
          <w:sz w:val="32"/>
          <w:szCs w:val="32"/>
        </w:rPr>
        <w:t>社会保障和就业支出759.24万元，医疗健康支出 44.18万元，住房保障支出37.75万元。支出</w:t>
      </w:r>
      <w:r>
        <w:rPr>
          <w:rFonts w:eastAsia="仿宋_GB2312"/>
          <w:sz w:val="32"/>
          <w:szCs w:val="32"/>
        </w:rPr>
        <w:t>较去年减少</w:t>
      </w:r>
      <w:r>
        <w:rPr>
          <w:rFonts w:hint="eastAsia" w:eastAsia="仿宋_GB2312"/>
          <w:sz w:val="32"/>
          <w:szCs w:val="32"/>
          <w:lang w:val="en-US" w:eastAsia="zh-CN"/>
        </w:rPr>
        <w:t>33.59</w:t>
      </w:r>
      <w:r>
        <w:rPr>
          <w:rFonts w:eastAsia="仿宋_GB2312"/>
          <w:sz w:val="32"/>
          <w:szCs w:val="32"/>
        </w:rPr>
        <w:t>万元</w:t>
      </w:r>
      <w:r>
        <w:rPr>
          <w:rFonts w:hint="eastAsia" w:eastAsia="仿宋_GB2312"/>
          <w:sz w:val="32"/>
          <w:szCs w:val="32"/>
        </w:rPr>
        <w:t>，</w:t>
      </w:r>
      <w:r>
        <w:rPr>
          <w:rFonts w:hint="eastAsia" w:eastAsia="仿宋_GB2312"/>
          <w:sz w:val="32"/>
          <w:szCs w:val="32"/>
          <w:lang w:val="en-US" w:eastAsia="zh-CN"/>
        </w:rPr>
        <w:t>降幅</w:t>
      </w:r>
      <w:r>
        <w:rPr>
          <w:rFonts w:hint="eastAsia" w:eastAsia="仿宋_GB2312"/>
          <w:sz w:val="32"/>
          <w:szCs w:val="32"/>
        </w:rPr>
        <w:t>7.9%。主要原因财政压减财政项目支出预算，认真全面贯彻过“紧日子”相关政策要求，严格压减一般性支出。</w:t>
      </w:r>
    </w:p>
    <w:p>
      <w:pPr>
        <w:widowControl/>
        <w:spacing w:line="600" w:lineRule="exact"/>
        <w:ind w:firstLine="660"/>
        <w:jc w:val="left"/>
        <w:rPr>
          <w:rFonts w:eastAsia="黑体"/>
          <w:sz w:val="32"/>
          <w:szCs w:val="32"/>
          <w:u w:val="none"/>
        </w:rPr>
      </w:pPr>
      <w:r>
        <w:rPr>
          <w:rFonts w:eastAsia="黑体"/>
          <w:sz w:val="32"/>
          <w:szCs w:val="32"/>
          <w:u w:val="none"/>
        </w:rPr>
        <w:t>四、一般公共预算拨款支出</w:t>
      </w:r>
    </w:p>
    <w:p>
      <w:pPr>
        <w:widowControl/>
        <w:spacing w:line="600" w:lineRule="exact"/>
        <w:ind w:firstLine="660"/>
        <w:jc w:val="left"/>
        <w:rPr>
          <w:rFonts w:eastAsia="黑体"/>
          <w:color w:val="auto"/>
          <w:sz w:val="32"/>
          <w:szCs w:val="32"/>
          <w:highlight w:val="red"/>
          <w:u w:val="none"/>
        </w:rPr>
      </w:pPr>
      <w:r>
        <w:rPr>
          <w:rFonts w:hint="eastAsia" w:eastAsia="仿宋_GB2312"/>
          <w:sz w:val="32"/>
          <w:szCs w:val="32"/>
          <w:u w:val="none"/>
        </w:rPr>
        <w:t>2022</w:t>
      </w:r>
      <w:r>
        <w:rPr>
          <w:rFonts w:eastAsia="仿宋_GB2312"/>
          <w:sz w:val="32"/>
          <w:szCs w:val="32"/>
          <w:u w:val="none"/>
        </w:rPr>
        <w:t>年本部门一般公共预算拨款支出预算</w:t>
      </w:r>
      <w:r>
        <w:rPr>
          <w:rFonts w:hint="eastAsia" w:eastAsia="仿宋_GB2312"/>
          <w:sz w:val="32"/>
          <w:szCs w:val="32"/>
          <w:u w:val="none"/>
        </w:rPr>
        <w:t>835.91</w:t>
      </w:r>
      <w:r>
        <w:rPr>
          <w:rFonts w:eastAsia="仿宋_GB2312"/>
          <w:sz w:val="32"/>
          <w:szCs w:val="32"/>
          <w:u w:val="none"/>
        </w:rPr>
        <w:t>万元，其中，</w:t>
      </w:r>
      <w:r>
        <w:rPr>
          <w:rFonts w:eastAsia="仿宋_GB2312"/>
          <w:color w:val="auto"/>
          <w:sz w:val="32"/>
          <w:szCs w:val="32"/>
          <w:highlight w:val="none"/>
          <w:u w:val="none"/>
        </w:rPr>
        <w:t>一般公共服务支出</w:t>
      </w:r>
      <w:r>
        <w:rPr>
          <w:rFonts w:hint="eastAsia" w:eastAsia="仿宋_GB2312"/>
          <w:color w:val="auto"/>
          <w:sz w:val="32"/>
          <w:szCs w:val="32"/>
          <w:highlight w:val="none"/>
          <w:u w:val="none"/>
          <w:lang w:val="en-US" w:eastAsia="zh-CN"/>
        </w:rPr>
        <w:t>3</w:t>
      </w:r>
      <w:r>
        <w:rPr>
          <w:rFonts w:eastAsia="仿宋_GB2312"/>
          <w:color w:val="auto"/>
          <w:sz w:val="32"/>
          <w:szCs w:val="32"/>
          <w:highlight w:val="none"/>
          <w:u w:val="none"/>
        </w:rPr>
        <w:t>万元，占</w:t>
      </w:r>
      <w:r>
        <w:rPr>
          <w:rFonts w:hint="eastAsia" w:eastAsia="仿宋_GB2312"/>
          <w:color w:val="auto"/>
          <w:sz w:val="32"/>
          <w:szCs w:val="32"/>
          <w:highlight w:val="none"/>
          <w:u w:val="none"/>
          <w:lang w:val="en-US" w:eastAsia="zh-CN"/>
        </w:rPr>
        <w:t>0.36</w:t>
      </w:r>
      <w:r>
        <w:rPr>
          <w:rFonts w:eastAsia="仿宋_GB2312"/>
          <w:color w:val="auto"/>
          <w:sz w:val="32"/>
          <w:szCs w:val="32"/>
          <w:highlight w:val="none"/>
          <w:u w:val="none"/>
        </w:rPr>
        <w:t>%；</w:t>
      </w:r>
      <w:r>
        <w:rPr>
          <w:rFonts w:hint="eastAsia" w:eastAsia="仿宋_GB2312"/>
          <w:color w:val="auto"/>
          <w:sz w:val="32"/>
          <w:szCs w:val="32"/>
          <w:highlight w:val="none"/>
          <w:u w:val="none"/>
          <w:lang w:eastAsia="zh-CN"/>
        </w:rPr>
        <w:t>社会保障和就业</w:t>
      </w:r>
      <w:r>
        <w:rPr>
          <w:rFonts w:eastAsia="仿宋_GB2312"/>
          <w:color w:val="auto"/>
          <w:sz w:val="32"/>
          <w:szCs w:val="32"/>
          <w:highlight w:val="none"/>
          <w:u w:val="none"/>
        </w:rPr>
        <w:t>支出</w:t>
      </w:r>
      <w:r>
        <w:rPr>
          <w:rFonts w:hint="eastAsia" w:eastAsia="仿宋_GB2312"/>
          <w:color w:val="auto"/>
          <w:sz w:val="32"/>
          <w:szCs w:val="32"/>
          <w:highlight w:val="none"/>
          <w:u w:val="none"/>
          <w:lang w:val="en-US" w:eastAsia="zh-CN"/>
        </w:rPr>
        <w:t>750.98</w:t>
      </w:r>
      <w:r>
        <w:rPr>
          <w:rFonts w:eastAsia="仿宋_GB2312"/>
          <w:color w:val="auto"/>
          <w:sz w:val="32"/>
          <w:szCs w:val="32"/>
          <w:highlight w:val="none"/>
          <w:u w:val="none"/>
        </w:rPr>
        <w:t>万元，占</w:t>
      </w:r>
      <w:r>
        <w:rPr>
          <w:rFonts w:hint="eastAsia" w:eastAsia="仿宋_GB2312"/>
          <w:color w:val="auto"/>
          <w:sz w:val="32"/>
          <w:szCs w:val="32"/>
          <w:highlight w:val="none"/>
          <w:u w:val="none"/>
          <w:lang w:val="en-US" w:eastAsia="zh-CN"/>
        </w:rPr>
        <w:t>89.84</w:t>
      </w:r>
      <w:r>
        <w:rPr>
          <w:rFonts w:eastAsia="仿宋_GB2312"/>
          <w:color w:val="auto"/>
          <w:sz w:val="32"/>
          <w:szCs w:val="32"/>
          <w:highlight w:val="none"/>
          <w:u w:val="none"/>
        </w:rPr>
        <w:t>%；</w:t>
      </w:r>
      <w:r>
        <w:rPr>
          <w:rFonts w:hint="eastAsia" w:eastAsia="仿宋_GB2312"/>
          <w:color w:val="auto"/>
          <w:sz w:val="32"/>
          <w:szCs w:val="32"/>
          <w:highlight w:val="none"/>
          <w:u w:val="none"/>
          <w:lang w:eastAsia="zh-CN"/>
        </w:rPr>
        <w:t>医疗健康</w:t>
      </w:r>
      <w:r>
        <w:rPr>
          <w:rFonts w:eastAsia="仿宋_GB2312"/>
          <w:color w:val="auto"/>
          <w:sz w:val="32"/>
          <w:szCs w:val="32"/>
          <w:highlight w:val="none"/>
          <w:u w:val="none"/>
        </w:rPr>
        <w:t>支出</w:t>
      </w:r>
      <w:r>
        <w:rPr>
          <w:rFonts w:hint="eastAsia" w:eastAsia="仿宋_GB2312"/>
          <w:color w:val="auto"/>
          <w:sz w:val="32"/>
          <w:szCs w:val="32"/>
          <w:highlight w:val="none"/>
          <w:u w:val="none"/>
          <w:lang w:val="en-US" w:eastAsia="zh-CN"/>
        </w:rPr>
        <w:t>44.18</w:t>
      </w:r>
      <w:r>
        <w:rPr>
          <w:rFonts w:eastAsia="仿宋_GB2312"/>
          <w:color w:val="auto"/>
          <w:sz w:val="32"/>
          <w:szCs w:val="32"/>
          <w:highlight w:val="none"/>
          <w:u w:val="none"/>
        </w:rPr>
        <w:t>万元，占</w:t>
      </w:r>
      <w:r>
        <w:rPr>
          <w:rFonts w:hint="eastAsia" w:eastAsia="仿宋_GB2312"/>
          <w:color w:val="auto"/>
          <w:sz w:val="32"/>
          <w:szCs w:val="32"/>
          <w:highlight w:val="none"/>
          <w:u w:val="none"/>
          <w:lang w:val="en-US" w:eastAsia="zh-CN"/>
        </w:rPr>
        <w:t>5.29</w:t>
      </w:r>
      <w:r>
        <w:rPr>
          <w:rFonts w:eastAsia="仿宋_GB2312"/>
          <w:color w:val="auto"/>
          <w:sz w:val="32"/>
          <w:szCs w:val="32"/>
          <w:highlight w:val="none"/>
          <w:u w:val="none"/>
        </w:rPr>
        <w:t>%；</w:t>
      </w:r>
      <w:r>
        <w:rPr>
          <w:rFonts w:hint="eastAsia" w:eastAsia="仿宋_GB2312"/>
          <w:color w:val="auto"/>
          <w:sz w:val="32"/>
          <w:szCs w:val="32"/>
          <w:highlight w:val="none"/>
          <w:u w:val="none"/>
          <w:lang w:eastAsia="zh-CN"/>
        </w:rPr>
        <w:t>住房保障</w:t>
      </w:r>
      <w:r>
        <w:rPr>
          <w:rFonts w:eastAsia="仿宋_GB2312"/>
          <w:color w:val="auto"/>
          <w:sz w:val="32"/>
          <w:szCs w:val="32"/>
          <w:highlight w:val="none"/>
          <w:u w:val="none"/>
        </w:rPr>
        <w:t>支出</w:t>
      </w:r>
      <w:r>
        <w:rPr>
          <w:rFonts w:hint="eastAsia" w:eastAsia="仿宋_GB2312"/>
          <w:color w:val="auto"/>
          <w:sz w:val="32"/>
          <w:szCs w:val="32"/>
          <w:highlight w:val="none"/>
          <w:u w:val="none"/>
          <w:lang w:val="en-US" w:eastAsia="zh-CN"/>
        </w:rPr>
        <w:t>37.74</w:t>
      </w:r>
      <w:r>
        <w:rPr>
          <w:rFonts w:eastAsia="仿宋_GB2312"/>
          <w:color w:val="auto"/>
          <w:sz w:val="32"/>
          <w:szCs w:val="32"/>
          <w:highlight w:val="none"/>
          <w:u w:val="none"/>
        </w:rPr>
        <w:t>万元，占</w:t>
      </w:r>
      <w:r>
        <w:rPr>
          <w:rFonts w:hint="eastAsia" w:eastAsia="仿宋_GB2312"/>
          <w:color w:val="auto"/>
          <w:sz w:val="32"/>
          <w:szCs w:val="32"/>
          <w:highlight w:val="none"/>
          <w:u w:val="none"/>
          <w:lang w:val="en-US" w:eastAsia="zh-CN"/>
        </w:rPr>
        <w:t>4.51</w:t>
      </w:r>
      <w:r>
        <w:rPr>
          <w:rFonts w:eastAsia="仿宋_GB2312"/>
          <w:color w:val="auto"/>
          <w:sz w:val="32"/>
          <w:szCs w:val="32"/>
          <w:highlight w:val="none"/>
          <w:u w:val="none"/>
        </w:rPr>
        <w:t>%。具体安排情况如下：</w:t>
      </w:r>
    </w:p>
    <w:p>
      <w:pPr>
        <w:widowControl/>
        <w:spacing w:line="600" w:lineRule="exact"/>
        <w:ind w:firstLine="660"/>
        <w:jc w:val="left"/>
        <w:rPr>
          <w:rFonts w:eastAsia="黑体"/>
          <w:sz w:val="32"/>
          <w:szCs w:val="32"/>
          <w:u w:val="none"/>
        </w:rPr>
      </w:pPr>
      <w:r>
        <w:rPr>
          <w:rFonts w:eastAsia="楷体_GB2312"/>
          <w:b/>
          <w:sz w:val="32"/>
          <w:szCs w:val="32"/>
          <w:u w:val="none"/>
        </w:rPr>
        <w:t>（一）基本支出：</w:t>
      </w:r>
      <w:r>
        <w:rPr>
          <w:rFonts w:hint="eastAsia" w:eastAsia="仿宋_GB2312"/>
          <w:sz w:val="32"/>
          <w:szCs w:val="32"/>
          <w:u w:val="none"/>
        </w:rPr>
        <w:t>2022</w:t>
      </w:r>
      <w:r>
        <w:rPr>
          <w:rFonts w:eastAsia="仿宋_GB2312"/>
          <w:sz w:val="32"/>
          <w:szCs w:val="32"/>
          <w:u w:val="none"/>
        </w:rPr>
        <w:t>年本部门基本支出预算数</w:t>
      </w:r>
      <w:r>
        <w:rPr>
          <w:rFonts w:hint="eastAsia" w:eastAsia="仿宋_GB2312"/>
          <w:sz w:val="32"/>
          <w:szCs w:val="32"/>
          <w:u w:val="none"/>
        </w:rPr>
        <w:t>659.07</w:t>
      </w:r>
      <w:r>
        <w:rPr>
          <w:rFonts w:eastAsia="仿宋_GB2312"/>
          <w:sz w:val="32"/>
          <w:szCs w:val="32"/>
          <w:u w:val="none"/>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eastAsia" w:eastAsia="仿宋_GB2312"/>
          <w:sz w:val="32"/>
          <w:szCs w:val="32"/>
          <w:u w:val="none"/>
        </w:rPr>
      </w:pPr>
      <w:r>
        <w:rPr>
          <w:rFonts w:eastAsia="楷体_GB2312"/>
          <w:b/>
          <w:sz w:val="32"/>
          <w:szCs w:val="32"/>
          <w:u w:val="none"/>
        </w:rPr>
        <w:t>（二）项目支出：</w:t>
      </w:r>
      <w:r>
        <w:rPr>
          <w:rFonts w:hint="eastAsia" w:eastAsia="仿宋_GB2312"/>
          <w:sz w:val="32"/>
          <w:szCs w:val="32"/>
          <w:u w:val="none"/>
        </w:rPr>
        <w:t>2022</w:t>
      </w:r>
      <w:r>
        <w:rPr>
          <w:rFonts w:eastAsia="仿宋_GB2312"/>
          <w:sz w:val="32"/>
          <w:szCs w:val="32"/>
          <w:u w:val="none"/>
        </w:rPr>
        <w:t>年本部门项目支出预算</w:t>
      </w:r>
      <w:r>
        <w:rPr>
          <w:rFonts w:hint="eastAsia" w:eastAsia="仿宋_GB2312"/>
          <w:sz w:val="32"/>
          <w:szCs w:val="32"/>
          <w:u w:val="none"/>
        </w:rPr>
        <w:t xml:space="preserve"> 185.1 万元，是指单位为完成特定行政工作任务或事业发展目标而发生的支出，主要包括用于流动人员人事档案基本公共服务工作、就业管理、招商引资、仲裁工作、社保中心、医保中心、民政事务、退役军人事务、残联事务、一元民生保险等专项工作支出。</w:t>
      </w:r>
    </w:p>
    <w:p>
      <w:pPr>
        <w:widowControl/>
        <w:spacing w:line="600" w:lineRule="exact"/>
        <w:ind w:firstLine="660"/>
        <w:jc w:val="left"/>
        <w:rPr>
          <w:rFonts w:eastAsia="黑体"/>
          <w:sz w:val="32"/>
          <w:szCs w:val="32"/>
          <w:u w:val="none"/>
        </w:rPr>
      </w:pPr>
      <w:r>
        <w:rPr>
          <w:rFonts w:eastAsia="黑体"/>
          <w:sz w:val="32"/>
          <w:szCs w:val="32"/>
          <w:u w:val="none"/>
        </w:rPr>
        <w:t>五、政府性基金预算支出</w:t>
      </w:r>
    </w:p>
    <w:p>
      <w:pPr>
        <w:widowControl/>
        <w:spacing w:line="600" w:lineRule="exact"/>
        <w:ind w:firstLine="660"/>
        <w:jc w:val="left"/>
        <w:rPr>
          <w:rFonts w:hint="eastAsia" w:eastAsia="仿宋_GB2312"/>
          <w:b/>
          <w:color w:val="FF0000"/>
          <w:sz w:val="32"/>
          <w:szCs w:val="32"/>
          <w:highlight w:val="none"/>
          <w:u w:val="none"/>
          <w:lang w:val="en-US" w:eastAsia="zh-CN"/>
        </w:rPr>
      </w:pPr>
      <w:r>
        <w:rPr>
          <w:rFonts w:hint="eastAsia" w:eastAsia="仿宋_GB2312"/>
          <w:sz w:val="32"/>
          <w:szCs w:val="32"/>
          <w:highlight w:val="none"/>
          <w:u w:val="none"/>
        </w:rPr>
        <w:t>2022</w:t>
      </w:r>
      <w:r>
        <w:rPr>
          <w:rFonts w:eastAsia="仿宋_GB2312"/>
          <w:sz w:val="32"/>
          <w:szCs w:val="32"/>
          <w:highlight w:val="none"/>
          <w:u w:val="none"/>
        </w:rPr>
        <w:t>年本部门政府性基金支出预算</w:t>
      </w:r>
      <w:r>
        <w:rPr>
          <w:rFonts w:hint="eastAsia" w:eastAsia="仿宋_GB2312"/>
          <w:sz w:val="32"/>
          <w:szCs w:val="32"/>
          <w:highlight w:val="none"/>
          <w:u w:val="none"/>
          <w:lang w:val="en-US" w:eastAsia="zh-CN"/>
        </w:rPr>
        <w:t>0</w:t>
      </w:r>
      <w:r>
        <w:rPr>
          <w:rFonts w:eastAsia="仿宋_GB2312"/>
          <w:sz w:val="32"/>
          <w:szCs w:val="32"/>
          <w:highlight w:val="none"/>
          <w:u w:val="none"/>
        </w:rPr>
        <w:t>万元</w:t>
      </w:r>
      <w:r>
        <w:rPr>
          <w:rFonts w:hint="eastAsia" w:eastAsia="仿宋_GB2312"/>
          <w:sz w:val="32"/>
          <w:szCs w:val="32"/>
          <w:highlight w:val="none"/>
          <w:u w:val="none"/>
          <w:lang w:eastAsia="zh-CN"/>
        </w:rPr>
        <w:t>。</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年大通湖区民政和人力资源社会保障局、大通湖区社保保险服务中心、大通湖区医疗保障事务中心、大通湖区就业服务中心的机关运行经费当年一般公共预算拨款844.176万元，比2021年预算减少25.39万元。主要原因是财政压减财政项目支出预算。</w:t>
      </w:r>
    </w:p>
    <w:p>
      <w:pPr>
        <w:widowControl/>
        <w:spacing w:line="600" w:lineRule="exact"/>
        <w:ind w:firstLine="660"/>
        <w:rPr>
          <w:rFonts w:hint="default" w:eastAsia="仿宋_GB2312"/>
          <w:sz w:val="32"/>
          <w:szCs w:val="32"/>
          <w:u w:val="none"/>
          <w:lang w:val="en-US" w:eastAsia="zh-CN"/>
        </w:rPr>
      </w:pPr>
      <w:r>
        <w:rPr>
          <w:rFonts w:eastAsia="楷体_GB2312"/>
          <w:b/>
          <w:sz w:val="32"/>
          <w:szCs w:val="32"/>
        </w:rPr>
        <w:t>（二）“三公”经费预算：</w:t>
      </w:r>
      <w:r>
        <w:rPr>
          <w:rFonts w:hint="eastAsia" w:eastAsia="仿宋_GB2312"/>
          <w:sz w:val="32"/>
          <w:szCs w:val="32"/>
        </w:rPr>
        <w:t>2022年“三公”经费预算数为27万元，其中，公务接待费15万元，公务用车购置及运行费12万元（其中，公务用车购置费0万元，公务用车运行费12万元），因公出国（境）费0万元。2022年“三公”经费预算较202</w:t>
      </w:r>
      <w:r>
        <w:rPr>
          <w:rFonts w:hint="eastAsia" w:eastAsia="仿宋_GB2312"/>
          <w:sz w:val="32"/>
          <w:szCs w:val="32"/>
          <w:lang w:val="en-US" w:eastAsia="zh-CN"/>
        </w:rPr>
        <w:t>1</w:t>
      </w:r>
      <w:r>
        <w:rPr>
          <w:rFonts w:hint="eastAsia" w:eastAsia="仿宋_GB2312"/>
          <w:sz w:val="32"/>
          <w:szCs w:val="32"/>
        </w:rPr>
        <w:t>年保持不变</w:t>
      </w:r>
      <w:r>
        <w:rPr>
          <w:rFonts w:hint="eastAsia" w:eastAsia="仿宋_GB2312"/>
          <w:sz w:val="32"/>
          <w:szCs w:val="32"/>
          <w:lang w:eastAsia="zh-CN"/>
        </w:rPr>
        <w:t>，</w:t>
      </w:r>
      <w:r>
        <w:rPr>
          <w:rFonts w:hint="eastAsia" w:eastAsia="仿宋_GB2312"/>
          <w:sz w:val="32"/>
          <w:szCs w:val="32"/>
          <w:lang w:val="en-US" w:eastAsia="zh-CN"/>
        </w:rPr>
        <w:t>主要</w:t>
      </w:r>
      <w:r>
        <w:rPr>
          <w:rFonts w:hint="eastAsia" w:eastAsia="仿宋_GB2312"/>
          <w:sz w:val="32"/>
          <w:szCs w:val="32"/>
          <w:u w:val="none"/>
          <w:lang w:val="en-US" w:eastAsia="zh-CN"/>
        </w:rPr>
        <w:t>原因是去年和今年都严格按规定控制预算。</w:t>
      </w:r>
    </w:p>
    <w:p>
      <w:pPr>
        <w:widowControl/>
        <w:spacing w:line="600" w:lineRule="exact"/>
        <w:ind w:firstLine="660"/>
        <w:rPr>
          <w:rFonts w:eastAsia="仿宋_GB2312"/>
          <w:kern w:val="0"/>
          <w:sz w:val="32"/>
          <w:szCs w:val="32"/>
          <w:highlight w:val="red"/>
        </w:rPr>
      </w:pPr>
      <w:r>
        <w:rPr>
          <w:rFonts w:eastAsia="楷体_GB2312"/>
          <w:b/>
          <w:sz w:val="32"/>
          <w:szCs w:val="32"/>
          <w:u w:val="none"/>
        </w:rPr>
        <w:t>（三）</w:t>
      </w:r>
      <w:r>
        <w:rPr>
          <w:rFonts w:eastAsia="楷体_GB2312"/>
          <w:b/>
          <w:sz w:val="32"/>
          <w:szCs w:val="32"/>
          <w:highlight w:val="none"/>
          <w:u w:val="none"/>
        </w:rPr>
        <w:t>一般性支出情况：</w:t>
      </w:r>
      <w:r>
        <w:rPr>
          <w:rFonts w:hint="eastAsia" w:eastAsia="仿宋_GB2312"/>
          <w:kern w:val="0"/>
          <w:sz w:val="32"/>
          <w:szCs w:val="32"/>
          <w:highlight w:val="none"/>
          <w:u w:val="none"/>
        </w:rPr>
        <w:t>2022</w:t>
      </w:r>
      <w:r>
        <w:rPr>
          <w:rFonts w:eastAsia="仿宋_GB2312"/>
          <w:kern w:val="0"/>
          <w:sz w:val="32"/>
          <w:szCs w:val="32"/>
          <w:highlight w:val="none"/>
          <w:u w:val="none"/>
        </w:rPr>
        <w:t>年本部门会议费预算</w:t>
      </w:r>
      <w:r>
        <w:rPr>
          <w:rFonts w:hint="eastAsia" w:eastAsia="仿宋_GB2312"/>
          <w:sz w:val="32"/>
          <w:szCs w:val="32"/>
          <w:highlight w:val="none"/>
          <w:u w:val="none"/>
          <w:lang w:val="en-US" w:eastAsia="zh-CN"/>
        </w:rPr>
        <w:t>5</w:t>
      </w:r>
      <w:r>
        <w:rPr>
          <w:rFonts w:eastAsia="仿宋_GB2312"/>
          <w:kern w:val="0"/>
          <w:sz w:val="32"/>
          <w:szCs w:val="32"/>
          <w:highlight w:val="none"/>
          <w:u w:val="none"/>
        </w:rPr>
        <w:t>万元，拟召开</w:t>
      </w:r>
      <w:r>
        <w:rPr>
          <w:rFonts w:hint="eastAsia" w:eastAsia="仿宋_GB2312"/>
          <w:sz w:val="32"/>
          <w:szCs w:val="32"/>
          <w:highlight w:val="none"/>
          <w:u w:val="none"/>
          <w:lang w:eastAsia="zh-CN"/>
        </w:rPr>
        <w:t>社保、医保、就业、民政、退役、残联等业务政策推进</w:t>
      </w:r>
      <w:r>
        <w:rPr>
          <w:rFonts w:eastAsia="仿宋_GB2312"/>
          <w:kern w:val="0"/>
          <w:sz w:val="32"/>
          <w:szCs w:val="32"/>
          <w:highlight w:val="none"/>
          <w:u w:val="none"/>
        </w:rPr>
        <w:t>会议，人数</w:t>
      </w:r>
      <w:r>
        <w:rPr>
          <w:rFonts w:hint="eastAsia" w:eastAsia="仿宋_GB2312"/>
          <w:sz w:val="32"/>
          <w:szCs w:val="32"/>
          <w:highlight w:val="none"/>
          <w:u w:val="none"/>
          <w:lang w:val="en-US" w:eastAsia="zh-CN"/>
        </w:rPr>
        <w:t>500</w:t>
      </w:r>
      <w:r>
        <w:rPr>
          <w:rFonts w:eastAsia="仿宋_GB2312"/>
          <w:kern w:val="0"/>
          <w:sz w:val="32"/>
          <w:szCs w:val="32"/>
          <w:highlight w:val="none"/>
          <w:u w:val="none"/>
        </w:rPr>
        <w:t>人，内容为</w:t>
      </w:r>
      <w:r>
        <w:rPr>
          <w:rFonts w:hint="eastAsia" w:eastAsia="仿宋_GB2312"/>
          <w:sz w:val="32"/>
          <w:szCs w:val="32"/>
          <w:highlight w:val="none"/>
          <w:u w:val="none"/>
          <w:lang w:eastAsia="zh-CN"/>
        </w:rPr>
        <w:t>社保、医保、就业、民政、退役、残联等业务政策推进</w:t>
      </w:r>
      <w:r>
        <w:rPr>
          <w:rFonts w:eastAsia="仿宋_GB2312"/>
          <w:kern w:val="0"/>
          <w:sz w:val="32"/>
          <w:szCs w:val="32"/>
          <w:highlight w:val="none"/>
          <w:u w:val="none"/>
        </w:rPr>
        <w:t>；培训费预算</w:t>
      </w:r>
      <w:r>
        <w:rPr>
          <w:rFonts w:hint="eastAsia" w:eastAsia="仿宋_GB2312"/>
          <w:sz w:val="32"/>
          <w:szCs w:val="32"/>
          <w:highlight w:val="none"/>
          <w:u w:val="none"/>
          <w:lang w:val="en-US" w:eastAsia="zh-CN"/>
        </w:rPr>
        <w:t>0</w:t>
      </w:r>
      <w:r>
        <w:rPr>
          <w:rFonts w:eastAsia="仿宋_GB2312"/>
          <w:kern w:val="0"/>
          <w:sz w:val="32"/>
          <w:szCs w:val="32"/>
          <w:highlight w:val="none"/>
          <w:u w:val="none"/>
        </w:rPr>
        <w:t>万元；</w:t>
      </w:r>
      <w:r>
        <w:rPr>
          <w:rFonts w:hint="eastAsia" w:eastAsia="仿宋_GB2312"/>
          <w:kern w:val="0"/>
          <w:sz w:val="32"/>
          <w:szCs w:val="32"/>
          <w:highlight w:val="none"/>
          <w:u w:val="none"/>
          <w:lang w:val="en-US" w:eastAsia="zh-CN"/>
        </w:rPr>
        <w:t>未</w:t>
      </w:r>
      <w:r>
        <w:rPr>
          <w:rFonts w:eastAsia="仿宋_GB2312"/>
          <w:kern w:val="0"/>
          <w:sz w:val="32"/>
          <w:szCs w:val="32"/>
          <w:highlight w:val="none"/>
          <w:u w:val="none"/>
        </w:rPr>
        <w:t>举办节庆、晚会、论坛、赛事活动，经费预算</w:t>
      </w:r>
      <w:r>
        <w:rPr>
          <w:rFonts w:hint="eastAsia" w:eastAsia="仿宋_GB2312"/>
          <w:kern w:val="0"/>
          <w:sz w:val="32"/>
          <w:szCs w:val="32"/>
          <w:highlight w:val="none"/>
          <w:u w:val="none"/>
          <w:lang w:val="en-US" w:eastAsia="zh-CN"/>
        </w:rPr>
        <w:t>0</w:t>
      </w:r>
      <w:r>
        <w:rPr>
          <w:rFonts w:eastAsia="仿宋_GB2312"/>
          <w:kern w:val="0"/>
          <w:sz w:val="32"/>
          <w:szCs w:val="32"/>
          <w:highlight w:val="none"/>
          <w:u w:val="none"/>
        </w:rPr>
        <w:t>万元。</w:t>
      </w:r>
    </w:p>
    <w:p>
      <w:pPr>
        <w:widowControl/>
        <w:spacing w:line="600" w:lineRule="exact"/>
        <w:ind w:firstLine="660"/>
        <w:rPr>
          <w:rFonts w:eastAsia="仿宋_GB2312"/>
          <w:color w:val="FF0000"/>
          <w:sz w:val="32"/>
          <w:szCs w:val="32"/>
        </w:rPr>
      </w:pPr>
      <w:r>
        <w:rPr>
          <w:rFonts w:eastAsia="楷体_GB2312"/>
          <w:b/>
          <w:sz w:val="32"/>
          <w:szCs w:val="32"/>
        </w:rPr>
        <w:t>（四）政府采购情况：</w:t>
      </w:r>
      <w:r>
        <w:rPr>
          <w:rFonts w:hint="eastAsia" w:eastAsia="仿宋_GB2312"/>
          <w:sz w:val="32"/>
          <w:szCs w:val="32"/>
        </w:rPr>
        <w:t>2022年政府采购预算总额9.49万元，其中，政府采购货物预算9.49万元，工程类采购预算0万元；服务类采购预算0万元。</w:t>
      </w:r>
    </w:p>
    <w:p>
      <w:pPr>
        <w:widowControl/>
        <w:spacing w:line="600" w:lineRule="exact"/>
        <w:ind w:firstLine="660"/>
        <w:jc w:val="left"/>
        <w:rPr>
          <w:rFonts w:eastAsia="仿宋_GB2312"/>
          <w:bCs/>
          <w:kern w:val="0"/>
          <w:sz w:val="32"/>
          <w:szCs w:val="32"/>
          <w:u w:val="none"/>
        </w:rPr>
      </w:pPr>
      <w:r>
        <w:rPr>
          <w:rFonts w:eastAsia="楷体_GB2312"/>
          <w:b/>
          <w:sz w:val="32"/>
          <w:szCs w:val="32"/>
          <w:u w:val="none"/>
        </w:rPr>
        <w:t>（五）国有资产占用使用及新增资产配置情况：</w:t>
      </w:r>
      <w:r>
        <w:rPr>
          <w:rFonts w:eastAsia="仿宋_GB2312"/>
          <w:sz w:val="32"/>
          <w:szCs w:val="32"/>
          <w:u w:val="none"/>
        </w:rPr>
        <w:t>截至</w:t>
      </w:r>
      <w:r>
        <w:rPr>
          <w:rFonts w:hint="eastAsia" w:eastAsia="仿宋_GB2312"/>
          <w:sz w:val="32"/>
          <w:szCs w:val="32"/>
          <w:u w:val="none"/>
        </w:rPr>
        <w:t>2021</w:t>
      </w:r>
      <w:r>
        <w:rPr>
          <w:rFonts w:eastAsia="仿宋_GB2312"/>
          <w:sz w:val="32"/>
          <w:szCs w:val="32"/>
          <w:u w:val="none"/>
        </w:rPr>
        <w:t>年12月底，本部门</w:t>
      </w:r>
      <w:r>
        <w:rPr>
          <w:rFonts w:eastAsia="仿宋_GB2312"/>
          <w:bCs/>
          <w:kern w:val="0"/>
          <w:sz w:val="32"/>
          <w:szCs w:val="32"/>
          <w:u w:val="none"/>
        </w:rPr>
        <w:t>共有公务用车</w:t>
      </w:r>
      <w:r>
        <w:rPr>
          <w:rFonts w:hint="eastAsia" w:eastAsia="仿宋_GB2312"/>
          <w:bCs/>
          <w:kern w:val="0"/>
          <w:sz w:val="32"/>
          <w:szCs w:val="32"/>
          <w:u w:val="none"/>
          <w:lang w:eastAsia="zh-CN"/>
        </w:rPr>
        <w:t>0</w:t>
      </w:r>
      <w:r>
        <w:rPr>
          <w:rFonts w:eastAsia="仿宋_GB2312"/>
          <w:bCs/>
          <w:kern w:val="0"/>
          <w:sz w:val="32"/>
          <w:szCs w:val="32"/>
          <w:u w:val="none"/>
        </w:rPr>
        <w:t>辆，其中，机要通信用车</w:t>
      </w:r>
      <w:r>
        <w:rPr>
          <w:rFonts w:hint="eastAsia" w:eastAsia="仿宋_GB2312"/>
          <w:bCs/>
          <w:kern w:val="0"/>
          <w:sz w:val="32"/>
          <w:szCs w:val="32"/>
          <w:u w:val="none"/>
          <w:lang w:eastAsia="zh-CN"/>
        </w:rPr>
        <w:t>0</w:t>
      </w:r>
      <w:r>
        <w:rPr>
          <w:rFonts w:eastAsia="仿宋_GB2312"/>
          <w:bCs/>
          <w:kern w:val="0"/>
          <w:sz w:val="32"/>
          <w:szCs w:val="32"/>
          <w:u w:val="none"/>
        </w:rPr>
        <w:t>辆，应急保障用车</w:t>
      </w:r>
      <w:r>
        <w:rPr>
          <w:rFonts w:hint="eastAsia" w:eastAsia="仿宋_GB2312"/>
          <w:bCs/>
          <w:kern w:val="0"/>
          <w:sz w:val="32"/>
          <w:szCs w:val="32"/>
          <w:u w:val="none"/>
          <w:lang w:eastAsia="zh-CN"/>
        </w:rPr>
        <w:t>0</w:t>
      </w:r>
      <w:r>
        <w:rPr>
          <w:rFonts w:eastAsia="仿宋_GB2312"/>
          <w:bCs/>
          <w:kern w:val="0"/>
          <w:sz w:val="32"/>
          <w:szCs w:val="32"/>
          <w:u w:val="none"/>
        </w:rPr>
        <w:t>辆，执法执勤用车</w:t>
      </w:r>
      <w:r>
        <w:rPr>
          <w:rFonts w:hint="eastAsia" w:eastAsia="仿宋_GB2312"/>
          <w:bCs/>
          <w:kern w:val="0"/>
          <w:sz w:val="32"/>
          <w:szCs w:val="32"/>
          <w:u w:val="none"/>
          <w:lang w:eastAsia="zh-CN"/>
        </w:rPr>
        <w:t>0</w:t>
      </w:r>
      <w:r>
        <w:rPr>
          <w:rFonts w:eastAsia="仿宋_GB2312"/>
          <w:bCs/>
          <w:kern w:val="0"/>
          <w:sz w:val="32"/>
          <w:szCs w:val="32"/>
          <w:u w:val="none"/>
        </w:rPr>
        <w:t>辆，特种专业技术用车</w:t>
      </w:r>
      <w:r>
        <w:rPr>
          <w:rFonts w:hint="eastAsia" w:eastAsia="仿宋_GB2312"/>
          <w:bCs/>
          <w:kern w:val="0"/>
          <w:sz w:val="32"/>
          <w:szCs w:val="32"/>
          <w:u w:val="none"/>
          <w:lang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eastAsia="zh-CN"/>
        </w:rPr>
        <w:t>0</w:t>
      </w:r>
      <w:r>
        <w:rPr>
          <w:rFonts w:eastAsia="仿宋_GB2312"/>
          <w:bCs/>
          <w:kern w:val="0"/>
          <w:sz w:val="32"/>
          <w:szCs w:val="32"/>
          <w:u w:val="none"/>
        </w:rPr>
        <w:t>辆；单位价值50万元以上通用设备</w:t>
      </w:r>
      <w:r>
        <w:rPr>
          <w:rFonts w:hint="eastAsia" w:eastAsia="仿宋_GB2312"/>
          <w:bCs/>
          <w:kern w:val="0"/>
          <w:sz w:val="32"/>
          <w:szCs w:val="32"/>
          <w:u w:val="none"/>
          <w:lang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eastAsia="zh-CN"/>
        </w:rPr>
        <w:t>0</w:t>
      </w:r>
      <w:r>
        <w:rPr>
          <w:rFonts w:eastAsia="仿宋_GB2312"/>
          <w:bCs/>
          <w:kern w:val="0"/>
          <w:sz w:val="32"/>
          <w:szCs w:val="32"/>
          <w:u w:val="none"/>
        </w:rPr>
        <w:t>台。</w:t>
      </w:r>
      <w:r>
        <w:rPr>
          <w:rFonts w:hint="eastAsia" w:eastAsia="仿宋_GB2312"/>
          <w:bCs/>
          <w:kern w:val="0"/>
          <w:sz w:val="32"/>
          <w:szCs w:val="32"/>
          <w:u w:val="none"/>
        </w:rPr>
        <w:t>2022</w:t>
      </w:r>
      <w:r>
        <w:rPr>
          <w:rFonts w:eastAsia="仿宋_GB2312"/>
          <w:bCs/>
          <w:kern w:val="0"/>
          <w:sz w:val="32"/>
          <w:szCs w:val="32"/>
          <w:u w:val="none"/>
        </w:rPr>
        <w:t>年拟新增配置公务用车</w:t>
      </w:r>
      <w:r>
        <w:rPr>
          <w:rFonts w:hint="eastAsia" w:eastAsia="仿宋_GB2312"/>
          <w:bCs/>
          <w:kern w:val="0"/>
          <w:sz w:val="32"/>
          <w:szCs w:val="32"/>
          <w:u w:val="none"/>
          <w:lang w:eastAsia="zh-CN"/>
        </w:rPr>
        <w:t>0</w:t>
      </w:r>
      <w:r>
        <w:rPr>
          <w:rFonts w:eastAsia="仿宋_GB2312"/>
          <w:bCs/>
          <w:kern w:val="0"/>
          <w:sz w:val="32"/>
          <w:szCs w:val="32"/>
          <w:u w:val="none"/>
        </w:rPr>
        <w:t>辆，其中，机要通信用车</w:t>
      </w:r>
      <w:r>
        <w:rPr>
          <w:rFonts w:hint="eastAsia" w:eastAsia="仿宋_GB2312"/>
          <w:bCs/>
          <w:kern w:val="0"/>
          <w:sz w:val="32"/>
          <w:szCs w:val="32"/>
          <w:u w:val="none"/>
          <w:lang w:eastAsia="zh-CN"/>
        </w:rPr>
        <w:t>0</w:t>
      </w:r>
      <w:r>
        <w:rPr>
          <w:rFonts w:eastAsia="仿宋_GB2312"/>
          <w:bCs/>
          <w:kern w:val="0"/>
          <w:sz w:val="32"/>
          <w:szCs w:val="32"/>
          <w:u w:val="none"/>
        </w:rPr>
        <w:t>辆，应急保障用车</w:t>
      </w:r>
      <w:r>
        <w:rPr>
          <w:rFonts w:hint="eastAsia" w:eastAsia="仿宋_GB2312"/>
          <w:bCs/>
          <w:kern w:val="0"/>
          <w:sz w:val="32"/>
          <w:szCs w:val="32"/>
          <w:u w:val="none"/>
          <w:lang w:eastAsia="zh-CN"/>
        </w:rPr>
        <w:t>0</w:t>
      </w:r>
      <w:r>
        <w:rPr>
          <w:rFonts w:eastAsia="仿宋_GB2312"/>
          <w:bCs/>
          <w:kern w:val="0"/>
          <w:sz w:val="32"/>
          <w:szCs w:val="32"/>
          <w:u w:val="none"/>
        </w:rPr>
        <w:t>辆，执法执勤用车</w:t>
      </w:r>
      <w:r>
        <w:rPr>
          <w:rFonts w:hint="eastAsia" w:eastAsia="仿宋_GB2312"/>
          <w:bCs/>
          <w:kern w:val="0"/>
          <w:sz w:val="32"/>
          <w:szCs w:val="32"/>
          <w:u w:val="none"/>
          <w:lang w:eastAsia="zh-CN"/>
        </w:rPr>
        <w:t>0</w:t>
      </w:r>
      <w:r>
        <w:rPr>
          <w:rFonts w:eastAsia="仿宋_GB2312"/>
          <w:bCs/>
          <w:kern w:val="0"/>
          <w:sz w:val="32"/>
          <w:szCs w:val="32"/>
          <w:u w:val="none"/>
        </w:rPr>
        <w:t>辆，特种专业技术用车</w:t>
      </w:r>
      <w:r>
        <w:rPr>
          <w:rFonts w:hint="eastAsia" w:eastAsia="仿宋_GB2312"/>
          <w:bCs/>
          <w:kern w:val="0"/>
          <w:sz w:val="32"/>
          <w:szCs w:val="32"/>
          <w:u w:val="none"/>
          <w:lang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eastAsia="zh-CN"/>
        </w:rPr>
        <w:t>0</w:t>
      </w:r>
      <w:r>
        <w:rPr>
          <w:rFonts w:eastAsia="仿宋_GB2312"/>
          <w:bCs/>
          <w:kern w:val="0"/>
          <w:sz w:val="32"/>
          <w:szCs w:val="32"/>
          <w:u w:val="none"/>
        </w:rPr>
        <w:t>辆；新增配备单位价值50万元以上通用设备</w:t>
      </w:r>
      <w:r>
        <w:rPr>
          <w:rFonts w:hint="eastAsia" w:eastAsia="仿宋_GB2312"/>
          <w:bCs/>
          <w:kern w:val="0"/>
          <w:sz w:val="32"/>
          <w:szCs w:val="32"/>
          <w:u w:val="none"/>
          <w:lang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eastAsia="zh-CN"/>
        </w:rPr>
        <w:t>0</w:t>
      </w:r>
      <w:r>
        <w:rPr>
          <w:rFonts w:eastAsia="仿宋_GB2312"/>
          <w:bCs/>
          <w:kern w:val="0"/>
          <w:sz w:val="32"/>
          <w:szCs w:val="32"/>
          <w:u w:val="none"/>
        </w:rPr>
        <w:t>台。</w:t>
      </w:r>
    </w:p>
    <w:p>
      <w:pPr>
        <w:widowControl/>
        <w:spacing w:line="600" w:lineRule="exact"/>
        <w:ind w:firstLine="660"/>
        <w:jc w:val="left"/>
        <w:rPr>
          <w:rFonts w:hint="eastAsia" w:eastAsia="楷体_GB2312"/>
          <w:b/>
          <w:bCs/>
          <w:kern w:val="0"/>
          <w:sz w:val="32"/>
          <w:szCs w:val="32"/>
          <w:u w:val="none"/>
        </w:rPr>
      </w:pPr>
      <w:r>
        <w:rPr>
          <w:rFonts w:eastAsia="楷体_GB2312"/>
          <w:b/>
          <w:bCs/>
          <w:kern w:val="0"/>
          <w:sz w:val="32"/>
          <w:szCs w:val="32"/>
          <w:u w:val="none"/>
        </w:rPr>
        <w:t>（六）</w:t>
      </w:r>
      <w:r>
        <w:rPr>
          <w:rFonts w:hint="eastAsia" w:eastAsia="楷体_GB2312"/>
          <w:b/>
          <w:bCs/>
          <w:kern w:val="0"/>
          <w:sz w:val="32"/>
          <w:szCs w:val="32"/>
          <w:u w:val="none"/>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u w:val="none"/>
        </w:rPr>
      </w:pPr>
      <w:r>
        <w:rPr>
          <w:rFonts w:hint="eastAsia" w:eastAsia="仿宋_GB2312"/>
          <w:bCs/>
          <w:kern w:val="0"/>
          <w:sz w:val="32"/>
          <w:szCs w:val="32"/>
          <w:highlight w:val="none"/>
          <w:u w:val="none"/>
        </w:rPr>
        <w:t>本部门所有支出实行绩效目标管理，纳入2022年部门整体支出绩效目标的金额为</w:t>
      </w:r>
      <w:r>
        <w:rPr>
          <w:rFonts w:hint="eastAsia" w:eastAsia="仿宋_GB2312"/>
          <w:bCs/>
          <w:kern w:val="0"/>
          <w:sz w:val="32"/>
          <w:szCs w:val="32"/>
          <w:highlight w:val="none"/>
          <w:u w:val="none"/>
          <w:lang w:val="en-US" w:eastAsia="zh-CN"/>
        </w:rPr>
        <w:t>844.17</w:t>
      </w:r>
      <w:r>
        <w:rPr>
          <w:rFonts w:hint="eastAsia" w:eastAsia="仿宋_GB2312"/>
          <w:bCs/>
          <w:kern w:val="0"/>
          <w:sz w:val="32"/>
          <w:szCs w:val="32"/>
          <w:highlight w:val="none"/>
          <w:u w:val="none"/>
        </w:rPr>
        <w:t>万元，其中，基本支出</w:t>
      </w:r>
      <w:r>
        <w:rPr>
          <w:rFonts w:hint="eastAsia" w:eastAsia="仿宋_GB2312"/>
          <w:bCs/>
          <w:kern w:val="0"/>
          <w:sz w:val="32"/>
          <w:szCs w:val="32"/>
          <w:highlight w:val="none"/>
          <w:u w:val="none"/>
          <w:lang w:val="en-US" w:eastAsia="zh-CN"/>
        </w:rPr>
        <w:t>659.07</w:t>
      </w:r>
      <w:r>
        <w:rPr>
          <w:rFonts w:hint="eastAsia" w:eastAsia="仿宋_GB2312"/>
          <w:bCs/>
          <w:kern w:val="0"/>
          <w:sz w:val="32"/>
          <w:szCs w:val="32"/>
          <w:highlight w:val="none"/>
          <w:u w:val="none"/>
        </w:rPr>
        <w:t>万元，单位项目支出</w:t>
      </w:r>
      <w:r>
        <w:rPr>
          <w:rFonts w:hint="eastAsia" w:eastAsia="仿宋_GB2312"/>
          <w:bCs/>
          <w:kern w:val="0"/>
          <w:sz w:val="32"/>
          <w:szCs w:val="32"/>
          <w:highlight w:val="none"/>
          <w:u w:val="none"/>
          <w:lang w:val="en-US" w:eastAsia="zh-CN"/>
        </w:rPr>
        <w:t>185.1</w:t>
      </w:r>
      <w:r>
        <w:rPr>
          <w:rFonts w:hint="eastAsia" w:eastAsia="仿宋_GB2312"/>
          <w:bCs/>
          <w:kern w:val="0"/>
          <w:sz w:val="32"/>
          <w:szCs w:val="32"/>
          <w:highlight w:val="none"/>
          <w:u w:val="none"/>
        </w:rPr>
        <w:t>万元，重点项目（专项）支出</w:t>
      </w:r>
      <w:r>
        <w:rPr>
          <w:rFonts w:hint="eastAsia" w:eastAsia="仿宋_GB2312"/>
          <w:bCs/>
          <w:kern w:val="0"/>
          <w:sz w:val="32"/>
          <w:szCs w:val="32"/>
          <w:highlight w:val="none"/>
          <w:u w:val="none"/>
          <w:lang w:val="en-US" w:eastAsia="zh-CN"/>
        </w:rPr>
        <w:t>128.9</w:t>
      </w:r>
      <w:r>
        <w:rPr>
          <w:rFonts w:hint="eastAsia" w:eastAsia="仿宋_GB2312"/>
          <w:bCs/>
          <w:kern w:val="0"/>
          <w:sz w:val="32"/>
          <w:szCs w:val="32"/>
          <w:highlight w:val="none"/>
          <w:u w:val="none"/>
        </w:rPr>
        <w:t>万元，具体绩效目标见附表</w:t>
      </w:r>
      <w:r>
        <w:rPr>
          <w:rFonts w:eastAsia="仿宋_GB2312"/>
          <w:bCs/>
          <w:kern w:val="0"/>
          <w:sz w:val="32"/>
          <w:szCs w:val="32"/>
          <w:highlight w:val="none"/>
          <w:u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keepNext w:val="0"/>
        <w:keepLines w:val="0"/>
        <w:pageBreakBefore w:val="0"/>
        <w:widowControl/>
        <w:kinsoku/>
        <w:wordWrap/>
        <w:overflowPunct/>
        <w:topLinePunct w:val="0"/>
        <w:autoSpaceDE/>
        <w:autoSpaceDN/>
        <w:bidi w:val="0"/>
        <w:adjustRightInd/>
        <w:snapToGrid/>
        <w:spacing w:line="600" w:lineRule="exact"/>
        <w:jc w:val="both"/>
        <w:textAlignment w:val="auto"/>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pPr>
    </w:p>
    <w:p>
      <w:pPr>
        <w:widowControl/>
        <w:numPr>
          <w:ilvl w:val="0"/>
          <w:numId w:val="2"/>
        </w:numPr>
        <w:spacing w:line="600" w:lineRule="exact"/>
        <w:jc w:val="center"/>
        <w:rPr>
          <w:rFonts w:eastAsia="方正小标宋_GBK"/>
          <w:bCs/>
          <w:kern w:val="0"/>
          <w:sz w:val="36"/>
          <w:szCs w:val="36"/>
        </w:rPr>
      </w:pPr>
      <w:r>
        <w:rPr>
          <w:rFonts w:hint="eastAsia" w:eastAsia="方正小标宋_GBK"/>
          <w:bCs/>
          <w:kern w:val="0"/>
          <w:sz w:val="36"/>
          <w:szCs w:val="36"/>
        </w:rPr>
        <w:t>2022</w:t>
      </w:r>
      <w:r>
        <w:rPr>
          <w:rFonts w:eastAsia="方正小标宋_GBK"/>
          <w:bCs/>
          <w:kern w:val="0"/>
          <w:sz w:val="36"/>
          <w:szCs w:val="36"/>
        </w:rPr>
        <w:t>年部门预算表</w:t>
      </w:r>
    </w:p>
    <w:p>
      <w:pPr>
        <w:widowControl/>
        <w:spacing w:line="240" w:lineRule="auto"/>
        <w:rPr>
          <w:rFonts w:hint="eastAsia" w:eastAsia="仿宋_GB2312"/>
          <w:color w:val="FF0000"/>
          <w:sz w:val="32"/>
          <w:szCs w:val="32"/>
          <w:lang w:eastAsia="zh-CN"/>
        </w:rPr>
      </w:pPr>
      <w:r>
        <w:rPr>
          <w:rFonts w:hint="eastAsia" w:eastAsia="仿宋_GB2312"/>
          <w:color w:val="FF0000"/>
          <w:sz w:val="32"/>
          <w:szCs w:val="32"/>
          <w:lang w:eastAsia="zh-CN"/>
        </w:rPr>
        <w:drawing>
          <wp:inline distT="0" distB="0" distL="114300" distR="114300">
            <wp:extent cx="8877300" cy="3291205"/>
            <wp:effectExtent l="0" t="0" r="0" b="4445"/>
            <wp:docPr id="2" name="图片 2" descr="199cc082f69c78bb4db9b28a1b71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99cc082f69c78bb4db9b28a1b71337"/>
                    <pic:cNvPicPr>
                      <a:picLocks noChangeAspect="1"/>
                    </pic:cNvPicPr>
                  </pic:nvPicPr>
                  <pic:blipFill>
                    <a:blip r:embed="rId6"/>
                    <a:stretch>
                      <a:fillRect/>
                    </a:stretch>
                  </pic:blipFill>
                  <pic:spPr>
                    <a:xfrm>
                      <a:off x="0" y="0"/>
                      <a:ext cx="8877300" cy="3291205"/>
                    </a:xfrm>
                    <a:prstGeom prst="rect">
                      <a:avLst/>
                    </a:prstGeom>
                  </pic:spPr>
                </pic:pic>
              </a:graphicData>
            </a:graphic>
          </wp:inline>
        </w:drawing>
      </w:r>
    </w:p>
    <w:p>
      <w:pPr>
        <w:widowControl/>
        <w:spacing w:line="240" w:lineRule="auto"/>
        <w:rPr>
          <w:rFonts w:hint="eastAsia" w:eastAsia="仿宋_GB2312"/>
          <w:color w:val="FF0000"/>
          <w:sz w:val="32"/>
          <w:szCs w:val="32"/>
          <w:lang w:eastAsia="zh-CN"/>
        </w:rPr>
      </w:pPr>
    </w:p>
    <w:p>
      <w:pPr>
        <w:widowControl/>
        <w:spacing w:line="240" w:lineRule="auto"/>
        <w:rPr>
          <w:rFonts w:hint="eastAsia" w:eastAsia="仿宋_GB2312"/>
          <w:color w:val="FF0000"/>
          <w:sz w:val="32"/>
          <w:szCs w:val="32"/>
          <w:lang w:eastAsia="zh-CN"/>
        </w:rPr>
      </w:pPr>
    </w:p>
    <w:p>
      <w:pPr>
        <w:widowControl/>
        <w:spacing w:line="240" w:lineRule="auto"/>
        <w:rPr>
          <w:rFonts w:hint="eastAsia" w:eastAsia="仿宋_GB2312"/>
          <w:color w:val="FF0000"/>
          <w:sz w:val="32"/>
          <w:szCs w:val="32"/>
          <w:lang w:eastAsia="zh-CN"/>
        </w:rPr>
      </w:pPr>
    </w:p>
    <w:p>
      <w:pPr>
        <w:widowControl/>
        <w:spacing w:line="240" w:lineRule="auto"/>
        <w:rPr>
          <w:rFonts w:hint="eastAsia" w:eastAsia="仿宋_GB2312"/>
          <w:color w:val="FF0000"/>
          <w:sz w:val="32"/>
          <w:szCs w:val="32"/>
          <w:lang w:eastAsia="zh-CN"/>
        </w:rPr>
      </w:pPr>
    </w:p>
    <w:p>
      <w:pPr>
        <w:widowControl/>
        <w:spacing w:line="240" w:lineRule="auto"/>
        <w:rPr>
          <w:rFonts w:hint="eastAsia" w:eastAsia="仿宋_GB2312"/>
          <w:color w:val="FF0000"/>
          <w:sz w:val="32"/>
          <w:szCs w:val="32"/>
          <w:lang w:eastAsia="zh-CN"/>
        </w:rPr>
      </w:pPr>
    </w:p>
    <w:p>
      <w:pPr>
        <w:widowControl/>
        <w:spacing w:line="240" w:lineRule="auto"/>
        <w:rPr>
          <w:rFonts w:hint="eastAsia" w:eastAsia="仿宋_GB2312"/>
          <w:color w:val="FF0000"/>
          <w:sz w:val="32"/>
          <w:szCs w:val="32"/>
          <w:lang w:eastAsia="zh-CN"/>
        </w:rPr>
      </w:pPr>
    </w:p>
    <w:p>
      <w:pPr>
        <w:widowControl/>
        <w:spacing w:line="240" w:lineRule="auto"/>
        <w:rPr>
          <w:rFonts w:hint="eastAsia" w:eastAsia="仿宋_GB2312"/>
          <w:color w:val="FF0000"/>
          <w:sz w:val="32"/>
          <w:szCs w:val="32"/>
          <w:lang w:eastAsia="zh-CN"/>
        </w:rPr>
      </w:pPr>
    </w:p>
    <w:p>
      <w:pPr>
        <w:widowControl/>
        <w:spacing w:line="240" w:lineRule="auto"/>
        <w:rPr>
          <w:rFonts w:hint="eastAsia" w:eastAsia="仿宋_GB2312"/>
          <w:color w:val="FF0000"/>
          <w:sz w:val="32"/>
          <w:szCs w:val="32"/>
          <w:lang w:eastAsia="zh-CN"/>
        </w:rPr>
      </w:pPr>
      <w:r>
        <w:rPr>
          <w:rFonts w:hint="eastAsia" w:eastAsia="仿宋_GB2312"/>
          <w:color w:val="FF0000"/>
          <w:sz w:val="32"/>
          <w:szCs w:val="32"/>
          <w:lang w:eastAsia="zh-CN"/>
        </w:rPr>
        <w:drawing>
          <wp:inline distT="0" distB="0" distL="114300" distR="114300">
            <wp:extent cx="8879840" cy="6191250"/>
            <wp:effectExtent l="0" t="0" r="16510" b="0"/>
            <wp:docPr id="3" name="图片 3" descr="1696489065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96489065052"/>
                    <pic:cNvPicPr>
                      <a:picLocks noChangeAspect="1"/>
                    </pic:cNvPicPr>
                  </pic:nvPicPr>
                  <pic:blipFill>
                    <a:blip r:embed="rId7"/>
                    <a:stretch>
                      <a:fillRect/>
                    </a:stretch>
                  </pic:blipFill>
                  <pic:spPr>
                    <a:xfrm>
                      <a:off x="0" y="0"/>
                      <a:ext cx="8879840" cy="6191250"/>
                    </a:xfrm>
                    <a:prstGeom prst="rect">
                      <a:avLst/>
                    </a:prstGeom>
                  </pic:spPr>
                </pic:pic>
              </a:graphicData>
            </a:graphic>
          </wp:inline>
        </w:drawing>
      </w:r>
    </w:p>
    <w:sectPr>
      <w:pgSz w:w="16837" w:h="11905" w:orient="landscape"/>
      <w:pgMar w:top="1588" w:right="1418" w:bottom="1588" w:left="141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0F0D55"/>
    <w:multiLevelType w:val="singleLevel"/>
    <w:tmpl w:val="F60F0D55"/>
    <w:lvl w:ilvl="0" w:tentative="0">
      <w:start w:val="2"/>
      <w:numFmt w:val="chineseCounting"/>
      <w:suff w:val="space"/>
      <w:lvlText w:val="第%1部分"/>
      <w:lvlJc w:val="left"/>
      <w:rPr>
        <w:rFonts w:hint="eastAsia"/>
      </w:rPr>
    </w:lvl>
  </w:abstractNum>
  <w:abstractNum w:abstractNumId="1">
    <w:nsid w:val="706EE0CC"/>
    <w:multiLevelType w:val="singleLevel"/>
    <w:tmpl w:val="706EE0CC"/>
    <w:lvl w:ilvl="0" w:tentative="0">
      <w:start w:val="8"/>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wMzhkMjk5MzU5ODg2MTNkYWY1MThiZTNmNGI4MDY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9C757E"/>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3A5809"/>
    <w:rsid w:val="27710810"/>
    <w:rsid w:val="27A961FC"/>
    <w:rsid w:val="27D019DA"/>
    <w:rsid w:val="2A495A74"/>
    <w:rsid w:val="2A8803C7"/>
    <w:rsid w:val="2B667F60"/>
    <w:rsid w:val="2B8C6E9D"/>
    <w:rsid w:val="2CB911EA"/>
    <w:rsid w:val="2D51332B"/>
    <w:rsid w:val="2EE93382"/>
    <w:rsid w:val="2EEE2746"/>
    <w:rsid w:val="2EFC1307"/>
    <w:rsid w:val="2F0B779C"/>
    <w:rsid w:val="2F527179"/>
    <w:rsid w:val="30313232"/>
    <w:rsid w:val="30416F37"/>
    <w:rsid w:val="311F308B"/>
    <w:rsid w:val="32B75C71"/>
    <w:rsid w:val="332813A0"/>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535BA3"/>
    <w:rsid w:val="51B3364F"/>
    <w:rsid w:val="5233653E"/>
    <w:rsid w:val="528C74F9"/>
    <w:rsid w:val="53FF6904"/>
    <w:rsid w:val="545C1D7C"/>
    <w:rsid w:val="55675FB5"/>
    <w:rsid w:val="55825812"/>
    <w:rsid w:val="56F00063"/>
    <w:rsid w:val="575907F5"/>
    <w:rsid w:val="57D165DD"/>
    <w:rsid w:val="594A4899"/>
    <w:rsid w:val="5954396A"/>
    <w:rsid w:val="59B8668A"/>
    <w:rsid w:val="5AE26D53"/>
    <w:rsid w:val="5AF34ABD"/>
    <w:rsid w:val="5B490B80"/>
    <w:rsid w:val="5B6A2FD1"/>
    <w:rsid w:val="5BFB631F"/>
    <w:rsid w:val="5C4557EC"/>
    <w:rsid w:val="5CE172C2"/>
    <w:rsid w:val="5CE223C5"/>
    <w:rsid w:val="5D5E0FF9"/>
    <w:rsid w:val="5D7B2181"/>
    <w:rsid w:val="5DA622BA"/>
    <w:rsid w:val="5EAE58C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3F466A"/>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60E24"/>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12"/>
    <w:qFormat/>
    <w:uiPriority w:val="0"/>
    <w:pPr>
      <w:spacing w:after="120" w:afterLines="0"/>
    </w:pPr>
  </w:style>
  <w:style w:type="paragraph" w:styleId="4">
    <w:name w:val="Balloon Text"/>
    <w:basedOn w:val="1"/>
    <w:link w:val="13"/>
    <w:semiHidden/>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page number"/>
    <w:basedOn w:val="9"/>
    <w:qFormat/>
    <w:uiPriority w:val="0"/>
  </w:style>
  <w:style w:type="character" w:customStyle="1" w:styleId="12">
    <w:name w:val="正文文本 Char"/>
    <w:link w:val="3"/>
    <w:qFormat/>
    <w:uiPriority w:val="0"/>
    <w:rPr>
      <w:kern w:val="2"/>
      <w:sz w:val="21"/>
      <w:szCs w:val="24"/>
    </w:rPr>
  </w:style>
  <w:style w:type="character" w:customStyle="1" w:styleId="13">
    <w:name w:val="批注框文本 Char"/>
    <w:link w:val="4"/>
    <w:semiHidden/>
    <w:qFormat/>
    <w:uiPriority w:val="99"/>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99"/>
    <w:rPr>
      <w:kern w:val="2"/>
      <w:sz w:val="18"/>
      <w:szCs w:val="18"/>
    </w:rPr>
  </w:style>
  <w:style w:type="paragraph" w:customStyle="1" w:styleId="16">
    <w:name w:val="表格内容"/>
    <w:basedOn w:val="3"/>
    <w:qFormat/>
    <w:uiPriority w:val="0"/>
    <w:pPr>
      <w:suppressLineNumbers/>
      <w:suppressAutoHyphens/>
      <w:jc w:val="left"/>
    </w:pPr>
    <w:rPr>
      <w:rFonts w:cs="Tahoma"/>
      <w:kern w:val="0"/>
      <w:sz w:val="24"/>
    </w:rPr>
  </w:style>
  <w:style w:type="paragraph" w:styleId="17">
    <w:name w:val="List Paragraph"/>
    <w:basedOn w:val="1"/>
    <w:qFormat/>
    <w:uiPriority w:val="34"/>
    <w:pPr>
      <w:ind w:firstLine="420" w:firstLineChars="200"/>
    </w:pPr>
    <w:rPr>
      <w:rFonts w:ascii="Calibri" w:hAnsi="Calibri" w:eastAsia="宋体" w:cs="Times New Roman"/>
      <w:szCs w:val="22"/>
    </w:rPr>
  </w:style>
  <w:style w:type="paragraph" w:customStyle="1" w:styleId="18">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13</Pages>
  <Words>4674</Words>
  <Characters>4918</Characters>
  <Lines>34</Lines>
  <Paragraphs>9</Paragraphs>
  <TotalTime>40</TotalTime>
  <ScaleCrop>false</ScaleCrop>
  <LinksUpToDate>false</LinksUpToDate>
  <CharactersWithSpaces>4967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缱绻·絲</cp:lastModifiedBy>
  <cp:lastPrinted>2021-05-16T11:47:00Z</cp:lastPrinted>
  <dcterms:modified xsi:type="dcterms:W3CDTF">2023-10-05T10:40:51Z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4DDEFFD1485A4EA38C3A1D57E08096E7_13</vt:lpwstr>
  </property>
</Properties>
</file>