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益阳市大通湖区市场监督管理局</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val="0"/>
          <w:bCs/>
          <w:sz w:val="32"/>
          <w:szCs w:val="32"/>
          <w:lang w:eastAsia="zh-CN"/>
        </w:rPr>
      </w:pPr>
      <w:r>
        <w:rPr>
          <w:rFonts w:eastAsia="楷体_GB2312"/>
          <w:b/>
          <w:sz w:val="32"/>
          <w:szCs w:val="32"/>
        </w:rPr>
        <w:t>（一）职能职责</w:t>
      </w:r>
      <w:r>
        <w:rPr>
          <w:rFonts w:hint="eastAsia" w:eastAsia="楷体_GB2312"/>
          <w:b/>
          <w:sz w:val="32"/>
          <w:szCs w:val="32"/>
          <w:lang w:eastAsia="zh-CN"/>
        </w:rPr>
        <w:t>：</w:t>
      </w:r>
      <w:r>
        <w:rPr>
          <w:rFonts w:hint="eastAsia" w:eastAsia="楷体_GB2312"/>
          <w:b w:val="0"/>
          <w:bCs/>
          <w:sz w:val="32"/>
          <w:szCs w:val="32"/>
          <w:lang w:val="en-US" w:eastAsia="zh-CN"/>
        </w:rPr>
        <w:t>1.</w:t>
      </w:r>
      <w:r>
        <w:rPr>
          <w:rFonts w:hint="eastAsia" w:eastAsia="楷体_GB2312"/>
          <w:b w:val="0"/>
          <w:bCs/>
          <w:sz w:val="32"/>
          <w:szCs w:val="32"/>
          <w:lang w:eastAsia="zh-CN"/>
        </w:rPr>
        <w:t>负责市场综合监督管理。组织实施质量强区战略、食品安全战略、标准化战略和知识产权战略，拟订并组织实施有关规划。</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2.</w:t>
      </w:r>
      <w:r>
        <w:rPr>
          <w:rFonts w:hint="eastAsia" w:eastAsia="楷体_GB2312"/>
          <w:b w:val="0"/>
          <w:bCs/>
          <w:sz w:val="32"/>
          <w:szCs w:val="32"/>
          <w:lang w:eastAsia="zh-CN"/>
        </w:rPr>
        <w:t>负责市场主体统一登记注册。指导各类企业、农民专业合作社和从事经营活动的单位、个体以及外国(地区)企业常驻代表机构等市场主体的登记注册工作。加强信用监管，推动市场主体信用体系建设。</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3.</w:t>
      </w:r>
      <w:r>
        <w:rPr>
          <w:rFonts w:hint="eastAsia" w:eastAsia="楷体_GB2312"/>
          <w:b w:val="0"/>
          <w:bCs/>
          <w:sz w:val="32"/>
          <w:szCs w:val="32"/>
          <w:lang w:eastAsia="zh-CN"/>
        </w:rPr>
        <w:t>负责市场监督综合执法工作。建设全区市场监管综合执法队伍，推动实行统一的市场监管。组织查处辖区内违法案件和上级部门交办案件。</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4.</w:t>
      </w:r>
      <w:r>
        <w:rPr>
          <w:rFonts w:hint="eastAsia" w:eastAsia="楷体_GB2312"/>
          <w:b w:val="0"/>
          <w:bCs/>
          <w:sz w:val="32"/>
          <w:szCs w:val="32"/>
          <w:lang w:eastAsia="zh-CN"/>
        </w:rPr>
        <w:t>负责权限内反垄断统一执法。统筹推进竞争政策实施，组织实施公平竞争审查制度。依法对经营者行为进行反垄断审查，根据授权负责垄断协议、限制竞争等反垄断执法工作。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5.</w:t>
      </w:r>
      <w:r>
        <w:rPr>
          <w:rFonts w:hint="eastAsia" w:eastAsia="楷体_GB2312"/>
          <w:b w:val="0"/>
          <w:bCs/>
          <w:sz w:val="32"/>
          <w:szCs w:val="32"/>
          <w:lang w:eastAsia="zh-CN"/>
        </w:rPr>
        <w:t>负责监管市场秩序。依法监管市场交易、网络商品交易及有关服务的行为。组织查处价格收费违法违规、不正当竞争、违法直销、传销、无证无照、虚假广告、侵犯商标专利知识产权和制售假冒伪劣行为。</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6.</w:t>
      </w:r>
      <w:r>
        <w:rPr>
          <w:rFonts w:hint="eastAsia" w:eastAsia="楷体_GB2312"/>
          <w:b w:val="0"/>
          <w:bCs/>
          <w:sz w:val="32"/>
          <w:szCs w:val="32"/>
          <w:lang w:eastAsia="zh-CN"/>
        </w:rPr>
        <w:t>负责产品质量安全监督管理</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7.</w:t>
      </w:r>
      <w:r>
        <w:rPr>
          <w:rFonts w:hint="eastAsia" w:eastAsia="楷体_GB2312"/>
          <w:b w:val="0"/>
          <w:bCs/>
          <w:sz w:val="32"/>
          <w:szCs w:val="32"/>
          <w:lang w:eastAsia="zh-CN"/>
        </w:rPr>
        <w:t>负责特种设备安全监督管理。综合管理特种设备安全监察工作。监督检查高耗能特种设备节能标准和锅炉环境保护标准的执行情况。</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8.</w:t>
      </w:r>
      <w:r>
        <w:rPr>
          <w:rFonts w:hint="eastAsia" w:eastAsia="楷体_GB2312"/>
          <w:b w:val="0"/>
          <w:bCs/>
          <w:sz w:val="32"/>
          <w:szCs w:val="32"/>
          <w:lang w:eastAsia="zh-CN"/>
        </w:rPr>
        <w:t>负责食品安全监督管理综合协调。建立食品生产、流通、消费的监督检查制度和隐患排查治理机制并实施，防范食品安全风险。推动建立食品生产经营主体落实主体责任机制，健全食品安全追溯体系。组织开展食品安全监督抽检、风险监测、核查处置和风险预警、风险交流工作。组织特殊食品的监管。拟订食品安全有关政策并实施。负责食品安全应急体系建设，组织重大食品安全事件应急处置和调查处理工作。建立健全食品安全重要信息直报制度。承担区食品安全委员会日常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9.</w:t>
      </w:r>
      <w:r>
        <w:rPr>
          <w:rFonts w:hint="eastAsia" w:eastAsia="楷体_GB2312"/>
          <w:b w:val="0"/>
          <w:bCs/>
          <w:sz w:val="32"/>
          <w:szCs w:val="32"/>
          <w:lang w:eastAsia="zh-CN"/>
        </w:rPr>
        <w:t>负责盐业管理。负责食盐专营管理和质量安全监管。</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10.</w:t>
      </w:r>
      <w:r>
        <w:rPr>
          <w:rFonts w:hint="eastAsia" w:eastAsia="楷体_GB2312"/>
          <w:b w:val="0"/>
          <w:bCs/>
          <w:sz w:val="32"/>
          <w:szCs w:val="32"/>
          <w:lang w:eastAsia="zh-CN"/>
        </w:rPr>
        <w:t>负责统一管理计量工作。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11.</w:t>
      </w:r>
      <w:r>
        <w:rPr>
          <w:rFonts w:hint="eastAsia" w:eastAsia="楷体_GB2312"/>
          <w:b w:val="0"/>
          <w:bCs/>
          <w:sz w:val="32"/>
          <w:szCs w:val="32"/>
          <w:lang w:eastAsia="zh-CN"/>
        </w:rPr>
        <w:t>负责统一管理标准化工作。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12.</w:t>
      </w:r>
      <w:r>
        <w:rPr>
          <w:rFonts w:hint="eastAsia" w:eastAsia="楷体_GB2312"/>
          <w:b w:val="0"/>
          <w:bCs/>
          <w:sz w:val="32"/>
          <w:szCs w:val="32"/>
          <w:lang w:eastAsia="zh-CN"/>
        </w:rPr>
        <w:t>负责保护知识产权。落实保护商标、专利、原产地地理标志等相关工作，负责知识产权保护体系建设，指导商标、专利、原产地地理标志专用权保护执法工作。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13.</w:t>
      </w:r>
      <w:r>
        <w:rPr>
          <w:rFonts w:hint="eastAsia" w:eastAsia="楷体_GB2312"/>
          <w:b w:val="0"/>
          <w:bCs/>
          <w:sz w:val="32"/>
          <w:szCs w:val="32"/>
          <w:lang w:eastAsia="zh-CN"/>
        </w:rPr>
        <w:t>负责权限内药品、医疗器械、化妆品质量管理,组织开展药品不良反应、医疗器械不良事件和化妆品不良反应监测工作。依法承担药品、医疗器械、化妆品安全应急管理工作。</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14.</w:t>
      </w:r>
      <w:r>
        <w:rPr>
          <w:rFonts w:hint="eastAsia" w:eastAsia="楷体_GB2312"/>
          <w:b w:val="0"/>
          <w:bCs/>
          <w:sz w:val="32"/>
          <w:szCs w:val="32"/>
          <w:lang w:eastAsia="zh-CN"/>
        </w:rPr>
        <w:t>承担价格监督检查与反垄断执法职责。</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15.</w:t>
      </w:r>
      <w:r>
        <w:rPr>
          <w:rFonts w:hint="eastAsia" w:eastAsia="楷体_GB2312"/>
          <w:b w:val="0"/>
          <w:bCs/>
          <w:sz w:val="32"/>
          <w:szCs w:val="32"/>
          <w:lang w:eastAsia="zh-CN"/>
        </w:rPr>
        <w:t>承担知识产权管理职责。</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16.</w:t>
      </w:r>
      <w:r>
        <w:rPr>
          <w:rFonts w:hint="eastAsia" w:eastAsia="楷体_GB2312"/>
          <w:b w:val="0"/>
          <w:bCs/>
          <w:sz w:val="32"/>
          <w:szCs w:val="32"/>
          <w:lang w:eastAsia="zh-CN"/>
        </w:rPr>
        <w:t>按规定要求，承担对口事业服务机构业务工作的指导、协调和监督职责。</w:t>
      </w:r>
    </w:p>
    <w:p>
      <w:pPr>
        <w:widowControl/>
        <w:spacing w:line="600" w:lineRule="exact"/>
        <w:ind w:firstLine="627" w:firstLineChars="196"/>
        <w:jc w:val="left"/>
        <w:rPr>
          <w:rFonts w:hint="eastAsia" w:eastAsia="楷体_GB2312"/>
          <w:b w:val="0"/>
          <w:bCs/>
          <w:sz w:val="32"/>
          <w:szCs w:val="32"/>
          <w:lang w:eastAsia="zh-CN"/>
        </w:rPr>
      </w:pPr>
      <w:r>
        <w:rPr>
          <w:rFonts w:hint="eastAsia" w:eastAsia="楷体_GB2312"/>
          <w:b w:val="0"/>
          <w:bCs/>
          <w:sz w:val="32"/>
          <w:szCs w:val="32"/>
          <w:lang w:val="en-US" w:eastAsia="zh-CN"/>
        </w:rPr>
        <w:t>17.</w:t>
      </w:r>
      <w:r>
        <w:rPr>
          <w:rFonts w:hint="eastAsia" w:eastAsia="楷体_GB2312"/>
          <w:b w:val="0"/>
          <w:bCs/>
          <w:sz w:val="32"/>
          <w:szCs w:val="32"/>
          <w:lang w:eastAsia="zh-CN"/>
        </w:rPr>
        <w:t>完成区委、区管委会交办的其他任务。</w:t>
      </w:r>
    </w:p>
    <w:p>
      <w:pPr>
        <w:widowControl/>
        <w:spacing w:line="600" w:lineRule="exact"/>
        <w:ind w:firstLine="627" w:firstLineChars="196"/>
        <w:jc w:val="left"/>
        <w:rPr>
          <w:rFonts w:hint="eastAsia" w:eastAsia="楷体_GB2312"/>
          <w:b/>
          <w:sz w:val="32"/>
          <w:szCs w:val="32"/>
          <w:lang w:eastAsia="zh-CN"/>
        </w:rPr>
      </w:pPr>
      <w:r>
        <w:rPr>
          <w:rFonts w:hint="eastAsia" w:eastAsia="楷体_GB2312"/>
          <w:b w:val="0"/>
          <w:bCs/>
          <w:sz w:val="32"/>
          <w:szCs w:val="32"/>
          <w:lang w:val="en-US" w:eastAsia="zh-CN"/>
        </w:rPr>
        <w:t>18.</w:t>
      </w:r>
      <w:r>
        <w:rPr>
          <w:rFonts w:hint="eastAsia" w:eastAsia="楷体_GB2312"/>
          <w:b w:val="0"/>
          <w:bCs/>
          <w:sz w:val="32"/>
          <w:szCs w:val="32"/>
          <w:lang w:eastAsia="zh-CN"/>
        </w:rPr>
        <w:t>有关职责分工。</w:t>
      </w:r>
      <w:r>
        <w:rPr>
          <w:rFonts w:hint="eastAsia" w:eastAsia="楷体_GB2312"/>
          <w:b/>
          <w:sz w:val="32"/>
          <w:szCs w:val="32"/>
          <w:lang w:eastAsia="zh-CN"/>
        </w:rPr>
        <w:t xml:space="preserve"> </w:t>
      </w:r>
    </w:p>
    <w:p>
      <w:pPr>
        <w:widowControl/>
        <w:spacing w:line="600" w:lineRule="exact"/>
        <w:ind w:firstLine="630" w:firstLineChars="196"/>
        <w:jc w:val="left"/>
        <w:rPr>
          <w:rFonts w:hint="eastAsia" w:eastAsia="楷体_GB2312"/>
          <w:b/>
          <w:sz w:val="32"/>
          <w:szCs w:val="32"/>
          <w:highlight w:val="none"/>
          <w:lang w:eastAsia="zh-CN"/>
        </w:rPr>
      </w:pPr>
      <w:r>
        <w:rPr>
          <w:rFonts w:eastAsia="楷体_GB2312"/>
          <w:b/>
          <w:sz w:val="32"/>
          <w:szCs w:val="32"/>
          <w:highlight w:val="none"/>
        </w:rPr>
        <w:t>（二）机构设置</w:t>
      </w:r>
      <w:r>
        <w:rPr>
          <w:rFonts w:hint="eastAsia" w:eastAsia="楷体_GB2312"/>
          <w:b/>
          <w:sz w:val="32"/>
          <w:szCs w:val="32"/>
          <w:highlight w:val="none"/>
          <w:lang w:eastAsia="zh-CN"/>
        </w:rPr>
        <w:t>：</w:t>
      </w:r>
    </w:p>
    <w:p>
      <w:pPr>
        <w:widowControl/>
        <w:spacing w:line="600" w:lineRule="exact"/>
        <w:ind w:firstLine="627" w:firstLineChars="196"/>
        <w:jc w:val="left"/>
        <w:rPr>
          <w:rFonts w:hint="eastAsia" w:eastAsia="楷体_GB2312"/>
          <w:b/>
          <w:sz w:val="32"/>
          <w:szCs w:val="32"/>
          <w:highlight w:val="red"/>
          <w:lang w:eastAsia="zh-CN"/>
        </w:rPr>
      </w:pPr>
      <w:r>
        <w:rPr>
          <w:rFonts w:hint="eastAsia" w:ascii="Times New Roman" w:hAnsi="Times New Roman" w:eastAsia="楷体_GB2312" w:cs="Times New Roman"/>
          <w:b w:val="0"/>
          <w:bCs/>
          <w:sz w:val="32"/>
          <w:szCs w:val="32"/>
          <w:lang w:eastAsia="zh-CN"/>
        </w:rPr>
        <w:t>益阳市大通湖区市场和质量监督管理局内设机构包括：</w:t>
      </w:r>
      <w:r>
        <w:rPr>
          <w:rFonts w:hint="eastAsia" w:ascii="Times New Roman" w:hAnsi="Times New Roman" w:eastAsia="楷体_GB2312" w:cs="Times New Roman"/>
          <w:b w:val="0"/>
          <w:bCs/>
          <w:sz w:val="32"/>
          <w:szCs w:val="32"/>
          <w:lang w:val="en-US" w:eastAsia="zh-CN"/>
        </w:rPr>
        <w:t>办公室、政策法规信息股、行政审批股、知识产权股、消费者权益保护股、食品药品监管股、质量监管股及综合执法大队，下设河坝所、千山红所、金盆所、北洲子所，派驻永兴村扶贫工作队（临时机构）</w:t>
      </w:r>
      <w:r>
        <w:rPr>
          <w:rFonts w:hint="eastAsia" w:ascii="Times New Roman" w:hAnsi="Times New Roman" w:eastAsia="楷体_GB2312" w:cs="Times New Roman"/>
          <w:b w:val="0"/>
          <w:bCs/>
          <w:sz w:val="32"/>
          <w:szCs w:val="32"/>
          <w:lang w:eastAsia="zh-CN"/>
        </w:rPr>
        <w:t>，核定全额事业编制</w:t>
      </w:r>
      <w:r>
        <w:rPr>
          <w:rFonts w:hint="eastAsia" w:ascii="Times New Roman" w:hAnsi="Times New Roman" w:eastAsia="楷体_GB2312" w:cs="Times New Roman"/>
          <w:b w:val="0"/>
          <w:bCs/>
          <w:sz w:val="32"/>
          <w:szCs w:val="32"/>
          <w:lang w:val="en-US" w:eastAsia="zh-CN"/>
        </w:rPr>
        <w:t>37</w:t>
      </w:r>
      <w:r>
        <w:rPr>
          <w:rFonts w:hint="eastAsia" w:ascii="Times New Roman" w:hAnsi="Times New Roman" w:eastAsia="楷体_GB2312" w:cs="Times New Roman"/>
          <w:b w:val="0"/>
          <w:bCs/>
          <w:sz w:val="32"/>
          <w:szCs w:val="32"/>
          <w:lang w:eastAsia="zh-CN"/>
        </w:rPr>
        <w:t>名，设主任1名。</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hint="eastAsia" w:eastAsia="仿宋_GB2312"/>
          <w:sz w:val="32"/>
          <w:szCs w:val="32"/>
        </w:rPr>
      </w:pPr>
      <w:r>
        <w:rPr>
          <w:rFonts w:hint="eastAsia" w:eastAsia="仿宋_GB2312"/>
          <w:sz w:val="32"/>
          <w:szCs w:val="32"/>
        </w:rPr>
        <w:t>2022年部门预算包括本级预算和所属单位预算在内的汇总情况，包括：益阳市财政局本级、益阳市国库集中支付核算中心、益阳市财政事务中心。</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highlight w:val="none"/>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561.71</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536.71</w:t>
      </w:r>
      <w:r>
        <w:rPr>
          <w:rFonts w:eastAsia="仿宋_GB2312"/>
          <w:sz w:val="32"/>
          <w:szCs w:val="32"/>
        </w:rPr>
        <w:t>万元，</w:t>
      </w:r>
      <w:r>
        <w:rPr>
          <w:rFonts w:hint="eastAsia" w:eastAsia="仿宋_GB2312"/>
          <w:sz w:val="32"/>
          <w:szCs w:val="32"/>
        </w:rPr>
        <w:t>纳入预算管理的非税收入拨款</w:t>
      </w:r>
      <w:r>
        <w:rPr>
          <w:rFonts w:hint="eastAsia" w:eastAsia="仿宋_GB2312"/>
          <w:sz w:val="32"/>
          <w:szCs w:val="32"/>
          <w:u w:val="single"/>
          <w:lang w:val="en-US" w:eastAsia="zh-CN"/>
        </w:rPr>
        <w:t>25</w:t>
      </w:r>
      <w:r>
        <w:rPr>
          <w:rFonts w:eastAsia="仿宋_GB2312"/>
          <w:sz w:val="32"/>
          <w:szCs w:val="32"/>
        </w:rPr>
        <w:t>万元</w:t>
      </w:r>
      <w:r>
        <w:rPr>
          <w:rFonts w:eastAsia="仿宋_GB2312"/>
          <w:sz w:val="32"/>
          <w:szCs w:val="32"/>
          <w:highlight w:val="none"/>
        </w:rPr>
        <w:t>。</w:t>
      </w:r>
      <w:r>
        <w:rPr>
          <w:rFonts w:eastAsia="仿宋_GB2312"/>
          <w:b/>
          <w:sz w:val="32"/>
          <w:szCs w:val="32"/>
          <w:highlight w:val="none"/>
        </w:rPr>
        <w:t>收入较去年减少</w:t>
      </w:r>
      <w:r>
        <w:rPr>
          <w:rFonts w:eastAsia="仿宋_GB2312"/>
          <w:b/>
          <w:sz w:val="32"/>
          <w:szCs w:val="32"/>
          <w:highlight w:val="none"/>
          <w:u w:val="single"/>
        </w:rPr>
        <w:t xml:space="preserve"> </w:t>
      </w:r>
      <w:r>
        <w:rPr>
          <w:rFonts w:hint="eastAsia" w:eastAsia="仿宋_GB2312"/>
          <w:b/>
          <w:sz w:val="32"/>
          <w:szCs w:val="32"/>
          <w:highlight w:val="none"/>
          <w:u w:val="single"/>
          <w:lang w:val="en-US" w:eastAsia="zh-CN"/>
        </w:rPr>
        <w:t>153.23</w:t>
      </w:r>
      <w:r>
        <w:rPr>
          <w:rFonts w:eastAsia="仿宋_GB2312"/>
          <w:b/>
          <w:sz w:val="32"/>
          <w:szCs w:val="32"/>
          <w:highlight w:val="none"/>
          <w:u w:val="single"/>
        </w:rPr>
        <w:t xml:space="preserve"> </w:t>
      </w:r>
      <w:r>
        <w:rPr>
          <w:rFonts w:eastAsia="仿宋_GB2312"/>
          <w:b/>
          <w:sz w:val="32"/>
          <w:szCs w:val="32"/>
          <w:highlight w:val="none"/>
        </w:rPr>
        <w:t>万元，主要是</w:t>
      </w:r>
      <w:r>
        <w:rPr>
          <w:rFonts w:hint="eastAsia" w:ascii="Times New Roman" w:hAnsi="Times New Roman" w:eastAsia="仿宋_GB2312" w:cs="Times New Roman"/>
          <w:b/>
          <w:sz w:val="32"/>
          <w:szCs w:val="32"/>
          <w:highlight w:val="none"/>
        </w:rPr>
        <w:t>因为</w:t>
      </w:r>
      <w:r>
        <w:rPr>
          <w:rFonts w:hint="eastAsia" w:ascii="Times New Roman" w:hAnsi="Times New Roman" w:eastAsia="仿宋_GB2312" w:cs="Times New Roman"/>
          <w:b/>
          <w:sz w:val="32"/>
          <w:szCs w:val="32"/>
          <w:highlight w:val="none"/>
          <w:lang w:val="en-US" w:eastAsia="zh-CN"/>
        </w:rPr>
        <w:t>厉行节约</w:t>
      </w:r>
      <w:r>
        <w:rPr>
          <w:rFonts w:eastAsia="仿宋_GB2312"/>
          <w:b/>
          <w:sz w:val="32"/>
          <w:szCs w:val="32"/>
          <w:highlight w:val="none"/>
        </w:rPr>
        <w:t>。</w:t>
      </w:r>
    </w:p>
    <w:p>
      <w:pPr>
        <w:widowControl/>
        <w:spacing w:line="600" w:lineRule="exact"/>
        <w:ind w:firstLine="630" w:firstLineChars="196"/>
        <w:jc w:val="left"/>
        <w:rPr>
          <w:rFonts w:eastAsia="仿宋_GB2312"/>
          <w:b/>
          <w:sz w:val="32"/>
          <w:szCs w:val="32"/>
          <w:highlight w:val="none"/>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561.71</w:t>
      </w:r>
      <w:r>
        <w:rPr>
          <w:rFonts w:eastAsia="仿宋_GB2312"/>
          <w:sz w:val="32"/>
          <w:szCs w:val="32"/>
        </w:rPr>
        <w:t>万元，其中，一般公共服务</w:t>
      </w:r>
      <w:r>
        <w:rPr>
          <w:rFonts w:hint="eastAsia" w:eastAsia="仿宋_GB2312"/>
          <w:sz w:val="32"/>
          <w:szCs w:val="32"/>
          <w:u w:val="single"/>
          <w:lang w:val="en-US" w:eastAsia="zh-CN"/>
        </w:rPr>
        <w:t>455.41</w:t>
      </w:r>
      <w:r>
        <w:rPr>
          <w:rFonts w:eastAsia="仿宋_GB2312"/>
          <w:sz w:val="32"/>
          <w:szCs w:val="32"/>
        </w:rPr>
        <w:t>万元，</w:t>
      </w:r>
      <w:r>
        <w:rPr>
          <w:rFonts w:hint="eastAsia" w:eastAsia="仿宋_GB2312"/>
          <w:sz w:val="32"/>
          <w:szCs w:val="32"/>
          <w:lang w:val="en-US" w:eastAsia="zh-CN"/>
        </w:rPr>
        <w:t>科学技术</w:t>
      </w:r>
      <w:r>
        <w:rPr>
          <w:rFonts w:hint="eastAsia" w:eastAsia="仿宋_GB2312"/>
          <w:sz w:val="32"/>
          <w:szCs w:val="32"/>
          <w:u w:val="single"/>
          <w:lang w:val="en-US" w:eastAsia="zh-CN"/>
        </w:rPr>
        <w:t>4.000</w:t>
      </w:r>
      <w:r>
        <w:rPr>
          <w:rFonts w:eastAsia="仿宋_GB2312"/>
          <w:sz w:val="32"/>
          <w:szCs w:val="32"/>
        </w:rPr>
        <w:t>万元，</w:t>
      </w:r>
      <w:r>
        <w:rPr>
          <w:rFonts w:hint="eastAsia" w:eastAsia="仿宋_GB2312"/>
          <w:sz w:val="32"/>
          <w:szCs w:val="32"/>
          <w:lang w:val="en-US" w:eastAsia="zh-CN"/>
        </w:rPr>
        <w:t>社会保障和就业</w:t>
      </w:r>
      <w:r>
        <w:rPr>
          <w:rFonts w:hint="eastAsia" w:eastAsia="仿宋_GB2312"/>
          <w:sz w:val="32"/>
          <w:szCs w:val="32"/>
          <w:u w:val="single"/>
          <w:lang w:val="en-US" w:eastAsia="zh-CN"/>
        </w:rPr>
        <w:t>52.04</w:t>
      </w:r>
      <w:r>
        <w:rPr>
          <w:rFonts w:eastAsia="仿宋_GB2312"/>
          <w:sz w:val="32"/>
          <w:szCs w:val="32"/>
        </w:rPr>
        <w:t>万</w:t>
      </w:r>
      <w:r>
        <w:rPr>
          <w:rFonts w:eastAsia="仿宋_GB2312"/>
          <w:sz w:val="32"/>
          <w:szCs w:val="32"/>
          <w:highlight w:val="none"/>
        </w:rPr>
        <w:t>元，</w:t>
      </w:r>
      <w:r>
        <w:rPr>
          <w:rFonts w:hint="eastAsia" w:eastAsia="仿宋_GB2312"/>
          <w:sz w:val="32"/>
          <w:szCs w:val="32"/>
          <w:highlight w:val="none"/>
          <w:lang w:val="en-US" w:eastAsia="zh-CN"/>
        </w:rPr>
        <w:t>医疗健康</w:t>
      </w:r>
      <w:r>
        <w:rPr>
          <w:rFonts w:hint="eastAsia" w:eastAsia="仿宋_GB2312"/>
          <w:sz w:val="32"/>
          <w:szCs w:val="32"/>
          <w:highlight w:val="none"/>
          <w:u w:val="single"/>
          <w:lang w:val="en-US" w:eastAsia="zh-CN"/>
        </w:rPr>
        <w:t>25.53</w:t>
      </w:r>
      <w:r>
        <w:rPr>
          <w:rFonts w:eastAsia="仿宋_GB2312"/>
          <w:sz w:val="32"/>
          <w:szCs w:val="32"/>
          <w:highlight w:val="none"/>
        </w:rPr>
        <w:t>万元。</w:t>
      </w:r>
      <w:r>
        <w:rPr>
          <w:rFonts w:eastAsia="仿宋_GB2312"/>
          <w:b/>
          <w:sz w:val="32"/>
          <w:szCs w:val="32"/>
          <w:highlight w:val="none"/>
        </w:rPr>
        <w:t>支出较去年增减少</w:t>
      </w:r>
      <w:r>
        <w:rPr>
          <w:rFonts w:hint="eastAsia" w:eastAsia="仿宋_GB2312"/>
          <w:b/>
          <w:sz w:val="32"/>
          <w:szCs w:val="32"/>
          <w:highlight w:val="none"/>
          <w:lang w:val="en-US" w:eastAsia="zh-CN"/>
        </w:rPr>
        <w:t xml:space="preserve"> </w:t>
      </w:r>
      <w:r>
        <w:rPr>
          <w:rFonts w:hint="eastAsia" w:eastAsia="仿宋_GB2312"/>
          <w:b/>
          <w:sz w:val="32"/>
          <w:szCs w:val="32"/>
          <w:highlight w:val="none"/>
          <w:u w:val="single"/>
          <w:lang w:val="en-US" w:eastAsia="zh-CN"/>
        </w:rPr>
        <w:t>153.23</w:t>
      </w:r>
      <w:r>
        <w:rPr>
          <w:rFonts w:eastAsia="仿宋_GB2312"/>
          <w:b/>
          <w:sz w:val="32"/>
          <w:szCs w:val="32"/>
          <w:highlight w:val="none"/>
          <w:u w:val="single"/>
        </w:rPr>
        <w:t xml:space="preserve">  </w:t>
      </w:r>
      <w:r>
        <w:rPr>
          <w:rFonts w:eastAsia="仿宋_GB2312"/>
          <w:b/>
          <w:sz w:val="32"/>
          <w:szCs w:val="32"/>
          <w:highlight w:val="none"/>
        </w:rPr>
        <w:t>万元，主要</w:t>
      </w:r>
      <w:r>
        <w:rPr>
          <w:rFonts w:hint="eastAsia" w:eastAsia="仿宋_GB2312"/>
          <w:b/>
          <w:sz w:val="32"/>
          <w:szCs w:val="32"/>
          <w:highlight w:val="none"/>
        </w:rPr>
        <w:t>原因</w:t>
      </w:r>
      <w:r>
        <w:rPr>
          <w:rFonts w:eastAsia="仿宋_GB2312"/>
          <w:b/>
          <w:sz w:val="32"/>
          <w:szCs w:val="32"/>
          <w:highlight w:val="none"/>
        </w:rPr>
        <w:t>是</w:t>
      </w:r>
      <w:r>
        <w:rPr>
          <w:rFonts w:hint="eastAsia" w:ascii="Times New Roman" w:hAnsi="Times New Roman" w:eastAsia="仿宋_GB2312" w:cs="Times New Roman"/>
          <w:b/>
          <w:sz w:val="32"/>
          <w:szCs w:val="32"/>
          <w:highlight w:val="none"/>
        </w:rPr>
        <w:t>因为</w:t>
      </w:r>
      <w:r>
        <w:rPr>
          <w:rFonts w:hint="eastAsia" w:ascii="Times New Roman" w:hAnsi="Times New Roman" w:eastAsia="仿宋_GB2312" w:cs="Times New Roman"/>
          <w:b/>
          <w:sz w:val="32"/>
          <w:szCs w:val="32"/>
          <w:highlight w:val="none"/>
          <w:lang w:val="en-US" w:eastAsia="zh-CN"/>
        </w:rPr>
        <w:t>厉行节约</w:t>
      </w:r>
      <w:r>
        <w:rPr>
          <w:rFonts w:eastAsia="仿宋_GB2312"/>
          <w:b/>
          <w:sz w:val="32"/>
          <w:szCs w:val="32"/>
          <w:highlight w:val="none"/>
        </w:rPr>
        <w:t>。</w:t>
      </w:r>
    </w:p>
    <w:p>
      <w:pPr>
        <w:widowControl/>
        <w:spacing w:line="600" w:lineRule="exact"/>
        <w:ind w:firstLine="630" w:firstLineChars="196"/>
        <w:rPr>
          <w:rFonts w:eastAsia="黑体"/>
          <w:b/>
          <w:bCs/>
          <w:color w:val="FF0000"/>
          <w:kern w:val="0"/>
          <w:sz w:val="32"/>
          <w:szCs w:val="32"/>
          <w:highlight w:val="none"/>
        </w:rPr>
      </w:pP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color w:val="auto"/>
          <w:sz w:val="32"/>
          <w:szCs w:val="32"/>
          <w:highlight w:val="none"/>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rPr>
        <w:t>561.71</w:t>
      </w:r>
      <w:r>
        <w:rPr>
          <w:rFonts w:eastAsia="仿宋_GB2312"/>
          <w:color w:val="auto"/>
          <w:sz w:val="32"/>
          <w:szCs w:val="32"/>
          <w:highlight w:val="none"/>
        </w:rPr>
        <w:t>万元，其中，一般公共服务支出</w:t>
      </w:r>
      <w:r>
        <w:rPr>
          <w:rFonts w:eastAsia="仿宋_GB2312"/>
          <w:color w:val="auto"/>
          <w:sz w:val="32"/>
          <w:szCs w:val="32"/>
          <w:highlight w:val="none"/>
          <w:u w:val="single"/>
        </w:rPr>
        <w:t xml:space="preserve"> </w:t>
      </w:r>
      <w:r>
        <w:rPr>
          <w:rFonts w:hint="eastAsia" w:eastAsia="仿宋_GB2312"/>
          <w:color w:val="auto"/>
          <w:sz w:val="32"/>
          <w:szCs w:val="32"/>
          <w:highlight w:val="none"/>
          <w:u w:val="single"/>
          <w:lang w:val="en-US" w:eastAsia="zh-CN"/>
        </w:rPr>
        <w:t>455.41</w:t>
      </w:r>
      <w:r>
        <w:rPr>
          <w:rFonts w:eastAsia="仿宋_GB2312"/>
          <w:color w:val="auto"/>
          <w:sz w:val="32"/>
          <w:szCs w:val="32"/>
          <w:highlight w:val="none"/>
          <w:u w:val="single"/>
        </w:rPr>
        <w:t xml:space="preserve"> </w:t>
      </w:r>
      <w:r>
        <w:rPr>
          <w:rFonts w:eastAsia="仿宋_GB2312"/>
          <w:color w:val="auto"/>
          <w:sz w:val="32"/>
          <w:szCs w:val="32"/>
          <w:highlight w:val="none"/>
        </w:rPr>
        <w:t>万元，占</w:t>
      </w:r>
      <w:r>
        <w:rPr>
          <w:rFonts w:eastAsia="仿宋_GB2312"/>
          <w:color w:val="auto"/>
          <w:sz w:val="32"/>
          <w:szCs w:val="32"/>
          <w:highlight w:val="none"/>
          <w:u w:val="single"/>
        </w:rPr>
        <w:t xml:space="preserve"> </w:t>
      </w:r>
      <w:r>
        <w:rPr>
          <w:rFonts w:hint="eastAsia" w:eastAsia="仿宋_GB2312"/>
          <w:color w:val="auto"/>
          <w:sz w:val="32"/>
          <w:szCs w:val="32"/>
          <w:highlight w:val="none"/>
          <w:u w:val="single"/>
          <w:lang w:val="en-US" w:eastAsia="zh-CN"/>
        </w:rPr>
        <w:t>81.08</w:t>
      </w:r>
      <w:r>
        <w:rPr>
          <w:rFonts w:eastAsia="仿宋_GB2312"/>
          <w:color w:val="auto"/>
          <w:sz w:val="32"/>
          <w:szCs w:val="32"/>
          <w:highlight w:val="none"/>
          <w:u w:val="single"/>
        </w:rPr>
        <w:t xml:space="preserve"> </w:t>
      </w:r>
      <w:r>
        <w:rPr>
          <w:rFonts w:eastAsia="仿宋_GB2312"/>
          <w:color w:val="auto"/>
          <w:sz w:val="32"/>
          <w:szCs w:val="32"/>
          <w:highlight w:val="none"/>
        </w:rPr>
        <w:t xml:space="preserve"> %；</w:t>
      </w:r>
      <w:r>
        <w:rPr>
          <w:rFonts w:hint="eastAsia" w:eastAsia="仿宋_GB2312"/>
          <w:color w:val="auto"/>
          <w:sz w:val="32"/>
          <w:szCs w:val="32"/>
          <w:highlight w:val="none"/>
        </w:rPr>
        <w:t>科学技术支出</w:t>
      </w:r>
      <w:r>
        <w:rPr>
          <w:rFonts w:hint="eastAsia" w:eastAsia="仿宋_GB2312"/>
          <w:color w:val="auto"/>
          <w:sz w:val="32"/>
          <w:szCs w:val="32"/>
          <w:highlight w:val="none"/>
          <w:u w:val="single"/>
          <w:lang w:val="en-US" w:eastAsia="zh-CN"/>
        </w:rPr>
        <w:t xml:space="preserve"> 4</w:t>
      </w:r>
      <w:r>
        <w:rPr>
          <w:rFonts w:hint="eastAsia" w:ascii="Times New Roman" w:hAnsi="Times New Roman" w:eastAsia="仿宋_GB2312" w:cs="Times New Roman"/>
          <w:color w:val="auto"/>
          <w:sz w:val="32"/>
          <w:szCs w:val="32"/>
          <w:highlight w:val="none"/>
          <w:u w:val="single"/>
          <w:lang w:val="en-US" w:eastAsia="zh-CN"/>
        </w:rPr>
        <w:t>.000</w:t>
      </w:r>
      <w:r>
        <w:rPr>
          <w:rFonts w:ascii="Times New Roman" w:hAnsi="Times New Roman" w:eastAsia="仿宋_GB2312" w:cs="Times New Roman"/>
          <w:color w:val="auto"/>
          <w:sz w:val="32"/>
          <w:szCs w:val="32"/>
          <w:highlight w:val="none"/>
          <w:u w:val="single"/>
        </w:rPr>
        <w:t xml:space="preserve"> </w:t>
      </w:r>
      <w:r>
        <w:rPr>
          <w:rFonts w:eastAsia="仿宋_GB2312"/>
          <w:color w:val="auto"/>
          <w:sz w:val="32"/>
          <w:szCs w:val="32"/>
          <w:highlight w:val="none"/>
        </w:rPr>
        <w:t>万元，占</w:t>
      </w:r>
      <w:r>
        <w:rPr>
          <w:rFonts w:eastAsia="仿宋_GB2312"/>
          <w:color w:val="auto"/>
          <w:sz w:val="32"/>
          <w:szCs w:val="32"/>
          <w:highlight w:val="none"/>
          <w:u w:val="single"/>
        </w:rPr>
        <w:t xml:space="preserve"> </w:t>
      </w:r>
      <w:r>
        <w:rPr>
          <w:rFonts w:hint="eastAsia" w:eastAsia="仿宋_GB2312"/>
          <w:color w:val="auto"/>
          <w:sz w:val="32"/>
          <w:szCs w:val="32"/>
          <w:highlight w:val="none"/>
          <w:u w:val="single"/>
          <w:lang w:val="en-US" w:eastAsia="zh-CN"/>
        </w:rPr>
        <w:t>0.71</w:t>
      </w:r>
      <w:r>
        <w:rPr>
          <w:rFonts w:eastAsia="仿宋_GB2312"/>
          <w:color w:val="auto"/>
          <w:sz w:val="32"/>
          <w:szCs w:val="32"/>
          <w:highlight w:val="none"/>
          <w:u w:val="single"/>
        </w:rPr>
        <w:t xml:space="preserve"> </w:t>
      </w:r>
      <w:r>
        <w:rPr>
          <w:rFonts w:eastAsia="仿宋_GB2312"/>
          <w:color w:val="auto"/>
          <w:sz w:val="32"/>
          <w:szCs w:val="32"/>
          <w:highlight w:val="none"/>
        </w:rPr>
        <w:t xml:space="preserve"> %；</w:t>
      </w:r>
      <w:r>
        <w:rPr>
          <w:rFonts w:hint="eastAsia" w:eastAsia="仿宋_GB2312"/>
          <w:color w:val="auto"/>
          <w:sz w:val="32"/>
          <w:szCs w:val="32"/>
          <w:highlight w:val="none"/>
        </w:rPr>
        <w:t>社会保障和就业支出</w:t>
      </w:r>
      <w:r>
        <w:rPr>
          <w:rFonts w:hint="eastAsia" w:eastAsia="仿宋_GB2312"/>
          <w:color w:val="auto"/>
          <w:sz w:val="32"/>
          <w:szCs w:val="32"/>
          <w:highlight w:val="none"/>
          <w:u w:val="single"/>
          <w:lang w:val="en-US" w:eastAsia="zh-CN"/>
        </w:rPr>
        <w:t xml:space="preserve"> 52.04 </w:t>
      </w:r>
      <w:r>
        <w:rPr>
          <w:rFonts w:hint="eastAsia" w:eastAsia="仿宋_GB2312"/>
          <w:color w:val="auto"/>
          <w:sz w:val="32"/>
          <w:szCs w:val="32"/>
          <w:highlight w:val="none"/>
          <w:u w:val="none"/>
          <w:lang w:val="en-US" w:eastAsia="zh-CN"/>
        </w:rPr>
        <w:t>万元，占</w:t>
      </w:r>
      <w:r>
        <w:rPr>
          <w:rFonts w:hint="eastAsia" w:eastAsia="仿宋_GB2312"/>
          <w:color w:val="auto"/>
          <w:sz w:val="32"/>
          <w:szCs w:val="32"/>
          <w:highlight w:val="none"/>
          <w:u w:val="single"/>
          <w:lang w:val="en-US" w:eastAsia="zh-CN"/>
        </w:rPr>
        <w:t xml:space="preserve"> 9.26 </w:t>
      </w:r>
      <w:r>
        <w:rPr>
          <w:rFonts w:hint="eastAsia" w:eastAsia="仿宋_GB2312"/>
          <w:color w:val="auto"/>
          <w:sz w:val="32"/>
          <w:szCs w:val="32"/>
          <w:highlight w:val="none"/>
          <w:u w:val="none"/>
          <w:lang w:val="en-US" w:eastAsia="zh-CN"/>
        </w:rPr>
        <w:t>%</w:t>
      </w:r>
      <w:r>
        <w:rPr>
          <w:rFonts w:hint="eastAsia" w:eastAsia="仿宋_GB2312"/>
          <w:color w:val="auto"/>
          <w:sz w:val="32"/>
          <w:szCs w:val="32"/>
          <w:highlight w:val="none"/>
        </w:rPr>
        <w:t>卫生健康支出</w:t>
      </w:r>
      <w:r>
        <w:rPr>
          <w:rFonts w:hint="eastAsia" w:eastAsia="仿宋_GB2312"/>
          <w:color w:val="auto"/>
          <w:sz w:val="32"/>
          <w:szCs w:val="32"/>
          <w:highlight w:val="none"/>
          <w:u w:val="single"/>
          <w:lang w:val="en-US" w:eastAsia="zh-CN"/>
        </w:rPr>
        <w:t xml:space="preserve"> 25.53 </w:t>
      </w:r>
      <w:r>
        <w:rPr>
          <w:rFonts w:hint="eastAsia" w:eastAsia="仿宋_GB2312"/>
          <w:color w:val="auto"/>
          <w:sz w:val="32"/>
          <w:szCs w:val="32"/>
          <w:highlight w:val="none"/>
          <w:u w:val="none"/>
          <w:lang w:val="en-US" w:eastAsia="zh-CN"/>
        </w:rPr>
        <w:t>万元，占</w:t>
      </w:r>
      <w:r>
        <w:rPr>
          <w:rFonts w:hint="eastAsia" w:eastAsia="仿宋_GB2312"/>
          <w:color w:val="auto"/>
          <w:sz w:val="32"/>
          <w:szCs w:val="32"/>
          <w:highlight w:val="none"/>
          <w:u w:val="single"/>
          <w:lang w:val="en-US" w:eastAsia="zh-CN"/>
        </w:rPr>
        <w:t xml:space="preserve"> 4.55 </w:t>
      </w:r>
      <w:r>
        <w:rPr>
          <w:rFonts w:hint="eastAsia" w:eastAsia="仿宋_GB2312"/>
          <w:color w:val="auto"/>
          <w:sz w:val="32"/>
          <w:szCs w:val="32"/>
          <w:highlight w:val="none"/>
          <w:u w:val="none"/>
          <w:lang w:val="en-US" w:eastAsia="zh-CN"/>
        </w:rPr>
        <w:t>%；住房保障支出</w:t>
      </w:r>
      <w:r>
        <w:rPr>
          <w:rFonts w:hint="eastAsia" w:eastAsia="仿宋_GB2312"/>
          <w:color w:val="auto"/>
          <w:sz w:val="32"/>
          <w:szCs w:val="32"/>
          <w:highlight w:val="none"/>
          <w:u w:val="single"/>
          <w:lang w:val="en-US" w:eastAsia="zh-CN"/>
        </w:rPr>
        <w:t xml:space="preserve"> 24.74 </w:t>
      </w:r>
      <w:r>
        <w:rPr>
          <w:rFonts w:hint="eastAsia" w:eastAsia="仿宋_GB2312"/>
          <w:color w:val="auto"/>
          <w:sz w:val="32"/>
          <w:szCs w:val="32"/>
          <w:highlight w:val="none"/>
          <w:u w:val="none"/>
          <w:lang w:val="en-US" w:eastAsia="zh-CN"/>
        </w:rPr>
        <w:t>万元，占</w:t>
      </w:r>
      <w:r>
        <w:rPr>
          <w:rFonts w:hint="eastAsia" w:eastAsia="仿宋_GB2312"/>
          <w:color w:val="auto"/>
          <w:sz w:val="32"/>
          <w:szCs w:val="32"/>
          <w:highlight w:val="none"/>
          <w:u w:val="single"/>
          <w:lang w:val="en-US" w:eastAsia="zh-CN"/>
        </w:rPr>
        <w:t xml:space="preserve"> 4.4 </w:t>
      </w:r>
      <w:r>
        <w:rPr>
          <w:rFonts w:hint="eastAsia" w:eastAsia="仿宋_GB2312"/>
          <w:color w:val="auto"/>
          <w:sz w:val="32"/>
          <w:szCs w:val="32"/>
          <w:highlight w:val="none"/>
          <w:u w:val="none"/>
          <w:lang w:val="en-US" w:eastAsia="zh-CN"/>
        </w:rPr>
        <w:t>%</w:t>
      </w:r>
      <w:r>
        <w:rPr>
          <w:rFonts w:eastAsia="仿宋_GB2312"/>
          <w:color w:val="auto"/>
          <w:sz w:val="32"/>
          <w:szCs w:val="32"/>
          <w:highlight w:val="none"/>
        </w:rPr>
        <w:t>。具体安排情况如下：</w:t>
      </w:r>
    </w:p>
    <w:p>
      <w:pPr>
        <w:widowControl/>
        <w:spacing w:line="600" w:lineRule="exact"/>
        <w:ind w:firstLine="660"/>
        <w:jc w:val="left"/>
        <w:rPr>
          <w:rFonts w:eastAsia="黑体"/>
          <w:color w:val="auto"/>
          <w:sz w:val="32"/>
          <w:szCs w:val="32"/>
          <w:highlight w:val="none"/>
        </w:rPr>
      </w:pPr>
      <w:r>
        <w:rPr>
          <w:rFonts w:eastAsia="楷体_GB2312"/>
          <w:b/>
          <w:color w:val="auto"/>
          <w:sz w:val="32"/>
          <w:szCs w:val="32"/>
          <w:highlight w:val="none"/>
        </w:rPr>
        <w:t>（一）基本支出：</w:t>
      </w:r>
      <w:r>
        <w:rPr>
          <w:rFonts w:hint="eastAsia" w:eastAsia="仿宋_GB2312"/>
          <w:color w:val="auto"/>
          <w:sz w:val="32"/>
          <w:szCs w:val="32"/>
          <w:highlight w:val="none"/>
        </w:rPr>
        <w:t>2022</w:t>
      </w:r>
      <w:r>
        <w:rPr>
          <w:rFonts w:eastAsia="仿宋_GB2312"/>
          <w:color w:val="auto"/>
          <w:sz w:val="32"/>
          <w:szCs w:val="32"/>
          <w:highlight w:val="none"/>
        </w:rPr>
        <w:t>年本部门基本支出预算数</w:t>
      </w:r>
      <w:r>
        <w:rPr>
          <w:rFonts w:hint="eastAsia" w:eastAsia="仿宋_GB2312"/>
          <w:color w:val="auto"/>
          <w:sz w:val="32"/>
          <w:szCs w:val="32"/>
          <w:highlight w:val="none"/>
          <w:u w:val="single"/>
          <w:lang w:val="en-US" w:eastAsia="zh-CN"/>
        </w:rPr>
        <w:t>420.11</w:t>
      </w:r>
      <w:r>
        <w:rPr>
          <w:rFonts w:eastAsia="仿宋_GB2312"/>
          <w:color w:val="auto"/>
          <w:sz w:val="32"/>
          <w:szCs w:val="32"/>
          <w:highlight w:val="none"/>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color w:val="auto"/>
          <w:sz w:val="32"/>
          <w:szCs w:val="32"/>
          <w:highlight w:val="none"/>
        </w:rPr>
      </w:pPr>
      <w:r>
        <w:rPr>
          <w:rFonts w:eastAsia="楷体_GB2312"/>
          <w:b/>
          <w:color w:val="auto"/>
          <w:sz w:val="32"/>
          <w:szCs w:val="32"/>
          <w:highlight w:val="none"/>
        </w:rPr>
        <w:t>（二）项目支出：</w:t>
      </w:r>
      <w:r>
        <w:rPr>
          <w:rFonts w:hint="eastAsia" w:eastAsia="仿宋_GB2312"/>
          <w:color w:val="auto"/>
          <w:sz w:val="32"/>
          <w:szCs w:val="32"/>
          <w:highlight w:val="none"/>
        </w:rPr>
        <w:t>2022</w:t>
      </w:r>
      <w:r>
        <w:rPr>
          <w:rFonts w:eastAsia="仿宋_GB2312"/>
          <w:color w:val="auto"/>
          <w:sz w:val="32"/>
          <w:szCs w:val="32"/>
          <w:highlight w:val="none"/>
        </w:rPr>
        <w:t>年本部门项目支出预算</w:t>
      </w:r>
      <w:r>
        <w:rPr>
          <w:rFonts w:hint="eastAsia" w:eastAsia="仿宋_GB2312"/>
          <w:color w:val="auto"/>
          <w:sz w:val="32"/>
          <w:szCs w:val="32"/>
          <w:highlight w:val="none"/>
          <w:u w:val="single"/>
          <w:lang w:val="en-US" w:eastAsia="zh-CN"/>
        </w:rPr>
        <w:t>141.6</w:t>
      </w:r>
      <w:r>
        <w:rPr>
          <w:rFonts w:eastAsia="仿宋_GB2312"/>
          <w:color w:val="auto"/>
          <w:sz w:val="32"/>
          <w:szCs w:val="32"/>
          <w:highlight w:val="none"/>
        </w:rPr>
        <w:t>万元，主要是部门为完成特定行政工作任务或事业发展目标而发生的支出，包括有关事业发展专项、专项业务费、基本建设支出等，其中</w:t>
      </w:r>
      <w:r>
        <w:rPr>
          <w:rFonts w:hint="eastAsia" w:eastAsia="仿宋_GB2312"/>
          <w:color w:val="auto"/>
          <w:sz w:val="32"/>
          <w:szCs w:val="32"/>
          <w:highlight w:val="none"/>
          <w:lang w:eastAsia="zh-CN"/>
        </w:rPr>
        <w:t>：</w:t>
      </w:r>
      <w:r>
        <w:rPr>
          <w:rFonts w:hint="eastAsia" w:eastAsia="仿宋_GB2312"/>
          <w:color w:val="auto"/>
          <w:sz w:val="32"/>
          <w:szCs w:val="32"/>
          <w:highlight w:val="none"/>
          <w:u w:val="none"/>
        </w:rPr>
        <w:t>一般公共服务支出</w:t>
      </w:r>
      <w:r>
        <w:rPr>
          <w:rFonts w:eastAsia="仿宋_GB2312"/>
          <w:color w:val="auto"/>
          <w:sz w:val="32"/>
          <w:szCs w:val="32"/>
          <w:highlight w:val="none"/>
        </w:rPr>
        <w:t>支出</w:t>
      </w:r>
      <w:r>
        <w:rPr>
          <w:rFonts w:eastAsia="仿宋_GB2312"/>
          <w:color w:val="auto"/>
          <w:sz w:val="32"/>
          <w:szCs w:val="32"/>
          <w:highlight w:val="none"/>
          <w:u w:val="single"/>
        </w:rPr>
        <w:t xml:space="preserve"> </w:t>
      </w:r>
      <w:r>
        <w:rPr>
          <w:rFonts w:hint="eastAsia" w:eastAsia="仿宋_GB2312"/>
          <w:color w:val="auto"/>
          <w:sz w:val="32"/>
          <w:szCs w:val="32"/>
          <w:highlight w:val="none"/>
          <w:u w:val="single"/>
          <w:lang w:val="en-US" w:eastAsia="zh-CN"/>
        </w:rPr>
        <w:t>137.6</w:t>
      </w:r>
      <w:r>
        <w:rPr>
          <w:rFonts w:eastAsia="仿宋_GB2312"/>
          <w:color w:val="auto"/>
          <w:sz w:val="32"/>
          <w:szCs w:val="32"/>
          <w:highlight w:val="none"/>
          <w:u w:val="single"/>
        </w:rPr>
        <w:t xml:space="preserve"> </w:t>
      </w:r>
      <w:r>
        <w:rPr>
          <w:rFonts w:eastAsia="仿宋_GB2312"/>
          <w:color w:val="auto"/>
          <w:sz w:val="32"/>
          <w:szCs w:val="32"/>
          <w:highlight w:val="none"/>
        </w:rPr>
        <w:t>万元，主要用于</w:t>
      </w:r>
      <w:r>
        <w:rPr>
          <w:rFonts w:hint="eastAsia" w:eastAsia="仿宋_GB2312"/>
          <w:color w:val="auto"/>
          <w:sz w:val="32"/>
          <w:szCs w:val="32"/>
          <w:highlight w:val="none"/>
        </w:rPr>
        <w:t>招商引资</w:t>
      </w:r>
      <w:r>
        <w:rPr>
          <w:rFonts w:hint="eastAsia" w:eastAsia="仿宋_GB2312"/>
          <w:color w:val="auto"/>
          <w:sz w:val="32"/>
          <w:szCs w:val="32"/>
          <w:highlight w:val="none"/>
          <w:lang w:eastAsia="zh-CN"/>
        </w:rPr>
        <w:t>、</w:t>
      </w:r>
      <w:r>
        <w:rPr>
          <w:rFonts w:hint="eastAsia" w:eastAsia="仿宋_GB2312"/>
          <w:color w:val="auto"/>
          <w:sz w:val="32"/>
          <w:szCs w:val="32"/>
          <w:highlight w:val="none"/>
        </w:rPr>
        <w:t>市场主体管理</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质量强区专项</w:t>
      </w:r>
      <w:r>
        <w:rPr>
          <w:rFonts w:hint="eastAsia" w:eastAsia="仿宋_GB2312"/>
          <w:color w:val="auto"/>
          <w:sz w:val="32"/>
          <w:szCs w:val="32"/>
          <w:highlight w:val="none"/>
          <w:lang w:eastAsia="zh-CN"/>
        </w:rPr>
        <w:t>）、</w:t>
      </w:r>
      <w:r>
        <w:rPr>
          <w:rFonts w:hint="eastAsia" w:eastAsia="仿宋_GB2312"/>
          <w:color w:val="auto"/>
          <w:sz w:val="32"/>
          <w:szCs w:val="32"/>
          <w:highlight w:val="none"/>
        </w:rPr>
        <w:t>市场秩序执法</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禁捕退捕禁磷</w:t>
      </w:r>
      <w:r>
        <w:rPr>
          <w:rFonts w:hint="eastAsia" w:eastAsia="仿宋_GB2312"/>
          <w:color w:val="auto"/>
          <w:sz w:val="32"/>
          <w:szCs w:val="32"/>
          <w:highlight w:val="none"/>
          <w:lang w:eastAsia="zh-CN"/>
        </w:rPr>
        <w:t>）、食品安全监管</w:t>
      </w:r>
      <w:r>
        <w:rPr>
          <w:rFonts w:eastAsia="仿宋_GB2312"/>
          <w:color w:val="auto"/>
          <w:sz w:val="32"/>
          <w:szCs w:val="32"/>
          <w:highlight w:val="none"/>
        </w:rPr>
        <w:t>等方面；</w:t>
      </w:r>
      <w:r>
        <w:rPr>
          <w:rFonts w:hint="eastAsia" w:eastAsia="仿宋_GB2312"/>
          <w:color w:val="auto"/>
          <w:sz w:val="32"/>
          <w:szCs w:val="32"/>
          <w:highlight w:val="none"/>
          <w:u w:val="none"/>
        </w:rPr>
        <w:t>科学技术支出</w:t>
      </w:r>
      <w:r>
        <w:rPr>
          <w:rFonts w:eastAsia="仿宋_GB2312"/>
          <w:color w:val="auto"/>
          <w:sz w:val="32"/>
          <w:szCs w:val="32"/>
          <w:highlight w:val="none"/>
          <w:u w:val="single"/>
        </w:rPr>
        <w:t xml:space="preserve"> </w:t>
      </w:r>
      <w:r>
        <w:rPr>
          <w:rFonts w:hint="eastAsia" w:eastAsia="仿宋_GB2312"/>
          <w:color w:val="auto"/>
          <w:sz w:val="32"/>
          <w:szCs w:val="32"/>
          <w:highlight w:val="none"/>
          <w:u w:val="single"/>
          <w:lang w:val="en-US" w:eastAsia="zh-CN"/>
        </w:rPr>
        <w:t>4.000</w:t>
      </w:r>
      <w:r>
        <w:rPr>
          <w:rFonts w:eastAsia="仿宋_GB2312"/>
          <w:color w:val="auto"/>
          <w:sz w:val="32"/>
          <w:szCs w:val="32"/>
          <w:highlight w:val="none"/>
          <w:u w:val="single"/>
        </w:rPr>
        <w:t xml:space="preserve"> </w:t>
      </w:r>
      <w:r>
        <w:rPr>
          <w:rFonts w:eastAsia="仿宋_GB2312"/>
          <w:color w:val="auto"/>
          <w:sz w:val="32"/>
          <w:szCs w:val="32"/>
          <w:highlight w:val="none"/>
        </w:rPr>
        <w:t>万元，主要用于</w:t>
      </w:r>
      <w:r>
        <w:rPr>
          <w:rFonts w:hint="eastAsia" w:eastAsia="仿宋_GB2312"/>
          <w:color w:val="auto"/>
          <w:sz w:val="32"/>
          <w:szCs w:val="32"/>
          <w:highlight w:val="none"/>
        </w:rPr>
        <w:t>科技奖励</w:t>
      </w:r>
      <w:r>
        <w:rPr>
          <w:rFonts w:eastAsia="仿宋_GB2312"/>
          <w:color w:val="auto"/>
          <w:sz w:val="32"/>
          <w:szCs w:val="32"/>
          <w:highlight w:val="none"/>
        </w:rPr>
        <w:t>方面。</w:t>
      </w:r>
    </w:p>
    <w:p>
      <w:pPr>
        <w:widowControl/>
        <w:spacing w:line="600" w:lineRule="exact"/>
        <w:ind w:firstLine="660"/>
        <w:jc w:val="left"/>
        <w:rPr>
          <w:rFonts w:eastAsia="黑体"/>
          <w:color w:val="auto"/>
          <w:sz w:val="32"/>
          <w:szCs w:val="32"/>
          <w:highlight w:val="none"/>
        </w:rPr>
      </w:pPr>
      <w:r>
        <w:rPr>
          <w:rFonts w:eastAsia="黑体"/>
          <w:color w:val="auto"/>
          <w:sz w:val="32"/>
          <w:szCs w:val="32"/>
          <w:highlight w:val="none"/>
        </w:rPr>
        <w:t>五、政府性基金预算支出</w:t>
      </w:r>
    </w:p>
    <w:p>
      <w:pPr>
        <w:widowControl/>
        <w:spacing w:line="600" w:lineRule="exact"/>
        <w:ind w:firstLine="660"/>
        <w:jc w:val="left"/>
        <w:rPr>
          <w:rFonts w:eastAsia="仿宋_GB2312"/>
          <w:b/>
          <w:color w:val="auto"/>
          <w:sz w:val="32"/>
          <w:szCs w:val="32"/>
          <w:highlight w:val="none"/>
        </w:rPr>
      </w:pPr>
      <w:r>
        <w:rPr>
          <w:rFonts w:eastAsia="仿宋_GB2312"/>
          <w:b/>
          <w:color w:val="auto"/>
          <w:sz w:val="32"/>
          <w:szCs w:val="32"/>
          <w:highlight w:val="none"/>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lang w:val="en-US" w:eastAsia="zh-CN"/>
        </w:rPr>
        <w:t>420.11</w:t>
      </w:r>
      <w:r>
        <w:rPr>
          <w:rFonts w:eastAsia="仿宋_GB2312"/>
          <w:sz w:val="32"/>
          <w:szCs w:val="32"/>
        </w:rPr>
        <w:t>万元，比上年预算增加</w:t>
      </w:r>
      <w:r>
        <w:rPr>
          <w:rFonts w:hint="eastAsia" w:eastAsia="仿宋_GB2312"/>
          <w:sz w:val="32"/>
          <w:szCs w:val="32"/>
          <w:lang w:val="en-US" w:eastAsia="zh-CN"/>
        </w:rPr>
        <w:t>2.91</w:t>
      </w:r>
      <w:r>
        <w:rPr>
          <w:rFonts w:eastAsia="仿宋_GB2312"/>
          <w:sz w:val="32"/>
          <w:szCs w:val="32"/>
        </w:rPr>
        <w:t>万元，上升</w:t>
      </w:r>
      <w:r>
        <w:rPr>
          <w:rFonts w:hint="eastAsia" w:eastAsia="仿宋_GB2312"/>
          <w:sz w:val="32"/>
          <w:szCs w:val="32"/>
          <w:lang w:val="en-US" w:eastAsia="zh-CN"/>
        </w:rPr>
        <w:t>0.7</w:t>
      </w:r>
      <w:r>
        <w:rPr>
          <w:rFonts w:eastAsia="仿宋_GB2312"/>
          <w:sz w:val="32"/>
          <w:szCs w:val="32"/>
        </w:rPr>
        <w:t>%，主要是</w:t>
      </w:r>
      <w:r>
        <w:rPr>
          <w:rFonts w:hint="eastAsia" w:eastAsia="仿宋_GB2312"/>
          <w:sz w:val="32"/>
          <w:szCs w:val="32"/>
        </w:rPr>
        <w:t>2021年年末在编人员工资较2020年年末在编人员工资调整有所增加</w:t>
      </w:r>
      <w:r>
        <w:rPr>
          <w:rFonts w:eastAsia="仿宋_GB2312"/>
          <w:sz w:val="32"/>
          <w:szCs w:val="32"/>
        </w:rPr>
        <w:t>。</w:t>
      </w:r>
    </w:p>
    <w:p>
      <w:pPr>
        <w:widowControl/>
        <w:spacing w:line="600" w:lineRule="exact"/>
        <w:ind w:firstLine="660"/>
        <w:rPr>
          <w:rFonts w:hint="default" w:eastAsia="仿宋_GB2312"/>
          <w:b/>
          <w:bCs/>
          <w:color w:val="FF0000"/>
          <w:sz w:val="32"/>
          <w:szCs w:val="32"/>
          <w:highlight w:val="none"/>
          <w:lang w:val="en-US" w:eastAsia="zh-CN"/>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lang w:val="en-US" w:eastAsia="zh-CN"/>
        </w:rPr>
        <w:t>26</w:t>
      </w:r>
      <w:r>
        <w:rPr>
          <w:rFonts w:eastAsia="仿宋_GB2312"/>
          <w:sz w:val="32"/>
          <w:szCs w:val="32"/>
        </w:rPr>
        <w:t>万元，</w:t>
      </w:r>
      <w:r>
        <w:rPr>
          <w:rFonts w:hint="eastAsia" w:eastAsia="仿宋_GB2312"/>
          <w:sz w:val="32"/>
          <w:szCs w:val="32"/>
        </w:rPr>
        <w:t>其中，公务接待费15万元，公务用车购置及运行费</w:t>
      </w:r>
      <w:r>
        <w:rPr>
          <w:rFonts w:hint="eastAsia" w:eastAsia="仿宋_GB2312"/>
          <w:sz w:val="32"/>
          <w:szCs w:val="32"/>
          <w:highlight w:val="none"/>
        </w:rPr>
        <w:t>11万元（其中，公务用车购置费0万元，公务用车运行费11万元），因公出国（境）费0万元。2021年“三公”经费预算较2021年持平</w:t>
      </w:r>
      <w:r>
        <w:rPr>
          <w:rFonts w:hint="eastAsia" w:eastAsia="仿宋_GB2312"/>
          <w:sz w:val="32"/>
          <w:szCs w:val="32"/>
          <w:highlight w:val="none"/>
          <w:lang w:eastAsia="zh-CN"/>
        </w:rPr>
        <w:t>，</w:t>
      </w:r>
      <w:r>
        <w:rPr>
          <w:rFonts w:hint="eastAsia" w:eastAsia="仿宋_GB2312"/>
          <w:sz w:val="32"/>
          <w:szCs w:val="32"/>
          <w:highlight w:val="none"/>
          <w:lang w:val="en-US" w:eastAsia="zh-CN"/>
        </w:rPr>
        <w:t>主要原因是按照相关规定严格控制经费预算。</w:t>
      </w:r>
    </w:p>
    <w:p>
      <w:pPr>
        <w:keepNext w:val="0"/>
        <w:keepLines w:val="0"/>
        <w:pageBreakBefore w:val="0"/>
        <w:numPr>
          <w:ilvl w:val="0"/>
          <w:numId w:val="0"/>
        </w:numPr>
        <w:kinsoku/>
        <w:wordWrap/>
        <w:topLinePunct w:val="0"/>
        <w:autoSpaceDE/>
        <w:autoSpaceDN/>
        <w:bidi w:val="0"/>
        <w:adjustRightInd/>
        <w:snapToGrid/>
        <w:spacing w:line="592" w:lineRule="exact"/>
        <w:ind w:firstLine="643" w:firstLineChars="200"/>
        <w:textAlignment w:val="auto"/>
        <w:rPr>
          <w:rFonts w:eastAsia="仿宋_GB2312"/>
          <w:kern w:val="0"/>
          <w:sz w:val="32"/>
          <w:szCs w:val="32"/>
          <w:highlight w:val="none"/>
        </w:rPr>
      </w:pPr>
      <w:r>
        <w:rPr>
          <w:rFonts w:eastAsia="楷体_GB2312"/>
          <w:b/>
          <w:sz w:val="32"/>
          <w:szCs w:val="32"/>
          <w:highlight w:val="none"/>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w:t>
      </w:r>
      <w:r>
        <w:rPr>
          <w:rFonts w:eastAsia="仿宋_GB2312"/>
          <w:sz w:val="32"/>
          <w:szCs w:val="32"/>
          <w:highlight w:val="none"/>
          <w:u w:val="single"/>
        </w:rPr>
        <w:t xml:space="preserve"> </w:t>
      </w:r>
      <w:r>
        <w:rPr>
          <w:rFonts w:eastAsia="仿宋_GB2312"/>
          <w:kern w:val="0"/>
          <w:sz w:val="32"/>
          <w:szCs w:val="32"/>
          <w:highlight w:val="none"/>
        </w:rPr>
        <w:t>万元，拟召开</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5</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次</w:t>
      </w:r>
      <w:r>
        <w:rPr>
          <w:rFonts w:eastAsia="仿宋_GB2312"/>
          <w:kern w:val="0"/>
          <w:sz w:val="32"/>
          <w:szCs w:val="32"/>
          <w:highlight w:val="none"/>
        </w:rPr>
        <w:t>会议，人数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15</w:t>
      </w:r>
      <w:r>
        <w:rPr>
          <w:rFonts w:eastAsia="仿宋_GB2312"/>
          <w:sz w:val="32"/>
          <w:szCs w:val="32"/>
          <w:highlight w:val="none"/>
          <w:u w:val="single"/>
        </w:rPr>
        <w:t xml:space="preserve"> </w:t>
      </w:r>
      <w:r>
        <w:rPr>
          <w:rFonts w:eastAsia="仿宋_GB2312"/>
          <w:kern w:val="0"/>
          <w:sz w:val="32"/>
          <w:szCs w:val="32"/>
          <w:highlight w:val="none"/>
        </w:rPr>
        <w:t>人，内容为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政府采购制度会议、</w:t>
      </w:r>
      <w:r>
        <w:rPr>
          <w:rFonts w:hint="eastAsia" w:ascii="Times New Roman" w:hAnsi="Times New Roman" w:eastAsia="仿宋_GB2312" w:cs="Times New Roman"/>
          <w:sz w:val="32"/>
          <w:szCs w:val="32"/>
          <w:highlight w:val="none"/>
          <w:u w:val="single"/>
          <w:lang w:val="en-US" w:eastAsia="zh-CN"/>
        </w:rPr>
        <w:t xml:space="preserve">党风廉政建设主题会议、反腐败工作专题会议、食品安全委员会全体会议、安全生产专题会议、 </w:t>
      </w:r>
      <w:r>
        <w:rPr>
          <w:rFonts w:eastAsia="仿宋_GB2312"/>
          <w:kern w:val="0"/>
          <w:sz w:val="32"/>
          <w:szCs w:val="32"/>
          <w:highlight w:val="none"/>
        </w:rPr>
        <w:t>；培训费预算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1.5</w:t>
      </w:r>
      <w:r>
        <w:rPr>
          <w:rFonts w:eastAsia="仿宋_GB2312"/>
          <w:sz w:val="32"/>
          <w:szCs w:val="32"/>
          <w:highlight w:val="none"/>
          <w:u w:val="single"/>
        </w:rPr>
        <w:t xml:space="preserve"> </w:t>
      </w:r>
      <w:r>
        <w:rPr>
          <w:rFonts w:eastAsia="仿宋_GB2312"/>
          <w:kern w:val="0"/>
          <w:sz w:val="32"/>
          <w:szCs w:val="32"/>
          <w:highlight w:val="none"/>
        </w:rPr>
        <w:t>万元，拟开展</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5次</w:t>
      </w:r>
      <w:r>
        <w:rPr>
          <w:rFonts w:eastAsia="仿宋_GB2312"/>
          <w:sz w:val="32"/>
          <w:szCs w:val="32"/>
          <w:highlight w:val="none"/>
          <w:u w:val="single"/>
        </w:rPr>
        <w:t xml:space="preserve"> </w:t>
      </w:r>
      <w:r>
        <w:rPr>
          <w:rFonts w:eastAsia="仿宋_GB2312"/>
          <w:kern w:val="0"/>
          <w:sz w:val="32"/>
          <w:szCs w:val="32"/>
          <w:highlight w:val="none"/>
        </w:rPr>
        <w:t>培训，人数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18</w:t>
      </w:r>
      <w:r>
        <w:rPr>
          <w:rFonts w:eastAsia="仿宋_GB2312"/>
          <w:sz w:val="32"/>
          <w:szCs w:val="32"/>
          <w:highlight w:val="none"/>
          <w:u w:val="single"/>
        </w:rPr>
        <w:t xml:space="preserve"> </w:t>
      </w:r>
      <w:r>
        <w:rPr>
          <w:rFonts w:eastAsia="仿宋_GB2312"/>
          <w:kern w:val="0"/>
          <w:sz w:val="32"/>
          <w:szCs w:val="32"/>
          <w:highlight w:val="none"/>
        </w:rPr>
        <w:t>人，内容为</w:t>
      </w:r>
      <w:r>
        <w:rPr>
          <w:rFonts w:eastAsia="仿宋_GB2312"/>
          <w:sz w:val="32"/>
          <w:szCs w:val="32"/>
          <w:highlight w:val="none"/>
          <w:u w:val="single"/>
        </w:rPr>
        <w:t xml:space="preserve"> </w:t>
      </w:r>
      <w:r>
        <w:rPr>
          <w:rFonts w:hint="eastAsia" w:ascii="Times New Roman" w:hAnsi="Times New Roman" w:eastAsia="仿宋_GB2312" w:cs="Times New Roman"/>
          <w:sz w:val="32"/>
          <w:szCs w:val="32"/>
          <w:highlight w:val="none"/>
          <w:u w:val="single"/>
          <w:lang w:val="en-US" w:eastAsia="zh-CN"/>
        </w:rPr>
        <w:t>安全投入培训、受理窗口人员培训、市场主体登记注册业务培训、</w:t>
      </w:r>
      <w:r>
        <w:rPr>
          <w:rFonts w:hint="default" w:ascii="Times New Roman" w:hAnsi="Times New Roman" w:eastAsia="仿宋_GB2312" w:cs="Times New Roman"/>
          <w:sz w:val="32"/>
          <w:szCs w:val="32"/>
          <w:highlight w:val="none"/>
          <w:u w:val="single"/>
          <w:lang w:val="en-US" w:eastAsia="zh-CN"/>
        </w:rPr>
        <w:t>426知识产权日培训</w:t>
      </w:r>
      <w:r>
        <w:rPr>
          <w:rFonts w:hint="eastAsia" w:ascii="Times New Roman" w:hAnsi="Times New Roman" w:eastAsia="仿宋_GB2312" w:cs="Times New Roman"/>
          <w:sz w:val="32"/>
          <w:szCs w:val="32"/>
          <w:highlight w:val="none"/>
          <w:u w:val="single"/>
          <w:lang w:val="en-US" w:eastAsia="zh-CN"/>
        </w:rPr>
        <w:t xml:space="preserve">、食品安全从业人员的培训 </w:t>
      </w:r>
      <w:r>
        <w:rPr>
          <w:rFonts w:eastAsia="仿宋_GB2312"/>
          <w:kern w:val="0"/>
          <w:sz w:val="32"/>
          <w:szCs w:val="32"/>
          <w:highlight w:val="none"/>
        </w:rPr>
        <w:t>；拟举办节庆、</w:t>
      </w:r>
      <w:r>
        <w:rPr>
          <w:rFonts w:hint="default" w:ascii="Times New Roman" w:hAnsi="Times New Roman" w:eastAsia="仿宋_GB2312" w:cs="Times New Roman"/>
          <w:kern w:val="0"/>
          <w:sz w:val="32"/>
          <w:szCs w:val="32"/>
          <w:highlight w:val="none"/>
          <w:lang w:val="en-US" w:eastAsia="zh-CN"/>
        </w:rPr>
        <w:t>开展</w:t>
      </w:r>
      <w:r>
        <w:rPr>
          <w:rFonts w:hint="default" w:ascii="Times New Roman" w:hAnsi="Times New Roman" w:eastAsia="仿宋_GB2312" w:cs="Times New Roman"/>
          <w:kern w:val="0"/>
          <w:sz w:val="32"/>
          <w:szCs w:val="32"/>
          <w:highlight w:val="none"/>
        </w:rPr>
        <w:t>“3·15”宣传</w:t>
      </w:r>
      <w:r>
        <w:rPr>
          <w:rFonts w:hint="default" w:ascii="Times New Roman" w:hAnsi="Times New Roman" w:eastAsia="仿宋_GB2312" w:cs="Times New Roman"/>
          <w:kern w:val="0"/>
          <w:sz w:val="32"/>
          <w:szCs w:val="32"/>
          <w:highlight w:val="none"/>
          <w:lang w:val="en-US" w:eastAsia="zh-CN"/>
        </w:rPr>
        <w:t>活动</w:t>
      </w:r>
      <w:r>
        <w:rPr>
          <w:rFonts w:ascii="Times New Roman" w:hAnsi="Times New Roman" w:eastAsia="仿宋_GB2312" w:cs="Times New Roman"/>
          <w:kern w:val="0"/>
          <w:sz w:val="32"/>
          <w:szCs w:val="32"/>
          <w:highlight w:val="none"/>
        </w:rPr>
        <w:t>、赛事活动</w:t>
      </w:r>
      <w:r>
        <w:rPr>
          <w:rFonts w:hint="eastAsia" w:ascii="Times New Roman" w:hAnsi="Times New Roman" w:eastAsia="仿宋_GB2312" w:cs="Times New Roman"/>
          <w:kern w:val="0"/>
          <w:sz w:val="32"/>
          <w:szCs w:val="32"/>
          <w:highlight w:val="none"/>
          <w:lang w:eastAsia="zh-CN"/>
        </w:rPr>
        <w:t>、党课、主题党日活动</w:t>
      </w:r>
      <w:r>
        <w:rPr>
          <w:rFonts w:ascii="Times New Roman" w:hAnsi="Times New Roman" w:eastAsia="仿宋_GB2312" w:cs="Times New Roman"/>
          <w:kern w:val="0"/>
          <w:sz w:val="32"/>
          <w:szCs w:val="32"/>
          <w:highlight w:val="none"/>
        </w:rPr>
        <w:t>，</w:t>
      </w:r>
      <w:r>
        <w:rPr>
          <w:rFonts w:hint="eastAsia" w:eastAsia="仿宋_GB2312" w:cs="Times New Roman"/>
          <w:color w:val="auto"/>
          <w:kern w:val="0"/>
          <w:sz w:val="32"/>
          <w:szCs w:val="32"/>
          <w:highlight w:val="none"/>
          <w:lang w:val="en-US" w:eastAsia="zh-CN"/>
        </w:rPr>
        <w:t>人数</w:t>
      </w:r>
      <w:r>
        <w:rPr>
          <w:rFonts w:hint="eastAsia" w:eastAsia="仿宋_GB2312" w:cs="Times New Roman"/>
          <w:color w:val="auto"/>
          <w:kern w:val="0"/>
          <w:sz w:val="32"/>
          <w:szCs w:val="32"/>
          <w:highlight w:val="none"/>
          <w:u w:val="single"/>
          <w:lang w:val="en-US" w:eastAsia="zh-CN"/>
        </w:rPr>
        <w:t>21</w:t>
      </w:r>
      <w:r>
        <w:rPr>
          <w:rFonts w:hint="eastAsia" w:eastAsia="仿宋_GB2312" w:cs="Times New Roman"/>
          <w:color w:val="auto"/>
          <w:kern w:val="0"/>
          <w:sz w:val="32"/>
          <w:szCs w:val="32"/>
          <w:highlight w:val="none"/>
          <w:lang w:val="en-US" w:eastAsia="zh-CN"/>
        </w:rPr>
        <w:t>人，</w:t>
      </w:r>
      <w:r>
        <w:rPr>
          <w:rFonts w:eastAsia="仿宋_GB2312"/>
          <w:color w:val="auto"/>
          <w:kern w:val="0"/>
          <w:sz w:val="32"/>
          <w:szCs w:val="32"/>
          <w:highlight w:val="none"/>
        </w:rPr>
        <w:t>经费预算</w:t>
      </w:r>
      <w:r>
        <w:rPr>
          <w:rFonts w:hint="eastAsia" w:eastAsia="仿宋_GB2312"/>
          <w:color w:val="auto"/>
          <w:kern w:val="0"/>
          <w:sz w:val="32"/>
          <w:szCs w:val="32"/>
          <w:highlight w:val="none"/>
          <w:u w:val="single"/>
          <w:lang w:val="en-US" w:eastAsia="zh-CN"/>
        </w:rPr>
        <w:t xml:space="preserve"> </w:t>
      </w:r>
      <w:r>
        <w:rPr>
          <w:rFonts w:hint="eastAsia" w:eastAsia="仿宋_GB2312"/>
          <w:kern w:val="0"/>
          <w:sz w:val="32"/>
          <w:szCs w:val="32"/>
          <w:highlight w:val="none"/>
          <w:u w:val="single"/>
          <w:lang w:val="en-US" w:eastAsia="zh-CN"/>
        </w:rPr>
        <w:t xml:space="preserve">2 </w:t>
      </w:r>
      <w:r>
        <w:rPr>
          <w:rFonts w:eastAsia="仿宋_GB2312"/>
          <w:kern w:val="0"/>
          <w:sz w:val="32"/>
          <w:szCs w:val="32"/>
          <w:highlight w:val="none"/>
        </w:rPr>
        <w:t>万元。</w:t>
      </w:r>
    </w:p>
    <w:p>
      <w:pPr>
        <w:keepNext w:val="0"/>
        <w:keepLines w:val="0"/>
        <w:pageBreakBefore w:val="0"/>
        <w:numPr>
          <w:ilvl w:val="0"/>
          <w:numId w:val="0"/>
        </w:numPr>
        <w:kinsoku/>
        <w:wordWrap/>
        <w:topLinePunct w:val="0"/>
        <w:autoSpaceDE/>
        <w:autoSpaceDN/>
        <w:bidi w:val="0"/>
        <w:adjustRightInd/>
        <w:snapToGrid/>
        <w:spacing w:line="592" w:lineRule="exact"/>
        <w:ind w:firstLine="643" w:firstLineChars="200"/>
        <w:textAlignment w:val="auto"/>
        <w:rPr>
          <w:rFonts w:eastAsia="仿宋_GB2312"/>
          <w:sz w:val="32"/>
          <w:szCs w:val="32"/>
          <w:highlight w:val="none"/>
        </w:rPr>
      </w:pPr>
      <w:r>
        <w:rPr>
          <w:rFonts w:eastAsia="楷体_GB2312"/>
          <w:b/>
          <w:sz w:val="32"/>
          <w:szCs w:val="32"/>
          <w:highlight w:val="none"/>
        </w:rPr>
        <w:t>（四）政府采购情况：</w:t>
      </w:r>
      <w:r>
        <w:rPr>
          <w:rFonts w:hint="eastAsia" w:eastAsia="仿宋_GB2312"/>
          <w:sz w:val="32"/>
          <w:szCs w:val="32"/>
          <w:highlight w:val="none"/>
        </w:rPr>
        <w:t>2022</w:t>
      </w:r>
      <w:r>
        <w:rPr>
          <w:rFonts w:eastAsia="仿宋_GB2312"/>
          <w:sz w:val="32"/>
          <w:szCs w:val="32"/>
          <w:highlight w:val="none"/>
        </w:rPr>
        <w:t>年本部门政府采购预算总额</w:t>
      </w:r>
      <w:r>
        <w:rPr>
          <w:rFonts w:hint="eastAsia" w:eastAsia="仿宋_GB2312"/>
          <w:sz w:val="32"/>
          <w:szCs w:val="32"/>
          <w:highlight w:val="none"/>
          <w:u w:val="single"/>
          <w:lang w:val="en-US" w:eastAsia="zh-CN"/>
        </w:rPr>
        <w:t>32.2</w:t>
      </w:r>
      <w:r>
        <w:rPr>
          <w:rFonts w:eastAsia="仿宋_GB2312"/>
          <w:sz w:val="32"/>
          <w:szCs w:val="32"/>
          <w:highlight w:val="none"/>
        </w:rPr>
        <w:t>万元，其中，货物类采购预算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21.2</w:t>
      </w:r>
      <w:r>
        <w:rPr>
          <w:rFonts w:eastAsia="仿宋_GB2312"/>
          <w:sz w:val="32"/>
          <w:szCs w:val="32"/>
          <w:highlight w:val="none"/>
          <w:u w:val="single"/>
        </w:rPr>
        <w:t xml:space="preserve"> </w:t>
      </w:r>
      <w:r>
        <w:rPr>
          <w:rFonts w:eastAsia="仿宋_GB2312"/>
          <w:sz w:val="32"/>
          <w:szCs w:val="32"/>
          <w:highlight w:val="none"/>
        </w:rPr>
        <w:t>万元；工程类采购预算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10</w:t>
      </w:r>
      <w:r>
        <w:rPr>
          <w:rFonts w:eastAsia="仿宋_GB2312"/>
          <w:sz w:val="32"/>
          <w:szCs w:val="32"/>
          <w:highlight w:val="none"/>
          <w:u w:val="single"/>
        </w:rPr>
        <w:t xml:space="preserve"> </w:t>
      </w:r>
      <w:r>
        <w:rPr>
          <w:rFonts w:eastAsia="仿宋_GB2312"/>
          <w:sz w:val="32"/>
          <w:szCs w:val="32"/>
          <w:highlight w:val="none"/>
        </w:rPr>
        <w:t>万元；服务类采购预算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w:t>
      </w:r>
      <w:r>
        <w:rPr>
          <w:rFonts w:eastAsia="仿宋_GB2312"/>
          <w:sz w:val="32"/>
          <w:szCs w:val="32"/>
          <w:highlight w:val="none"/>
          <w:u w:val="single"/>
        </w:rPr>
        <w:t xml:space="preserve"> </w:t>
      </w:r>
      <w:r>
        <w:rPr>
          <w:rFonts w:eastAsia="仿宋_GB2312"/>
          <w:sz w:val="32"/>
          <w:szCs w:val="32"/>
          <w:highlight w:val="none"/>
        </w:rPr>
        <w:t>万元。</w:t>
      </w:r>
    </w:p>
    <w:p>
      <w:pPr>
        <w:widowControl/>
        <w:spacing w:line="600" w:lineRule="exact"/>
        <w:ind w:firstLine="643" w:firstLineChars="200"/>
        <w:jc w:val="left"/>
        <w:rPr>
          <w:rFonts w:hint="eastAsia" w:eastAsia="仿宋_GB2312"/>
          <w:color w:val="FF0000"/>
          <w:sz w:val="32"/>
          <w:szCs w:val="32"/>
        </w:rPr>
      </w:pPr>
      <w:r>
        <w:rPr>
          <w:rFonts w:eastAsia="楷体_GB2312"/>
          <w:b/>
          <w:sz w:val="32"/>
          <w:szCs w:val="32"/>
        </w:rPr>
        <w:t>（五）国有资产占用使用及新增资产配置情况：</w:t>
      </w:r>
      <w:r>
        <w:rPr>
          <w:rFonts w:hint="eastAsia" w:eastAsia="仿宋_GB2312"/>
          <w:sz w:val="32"/>
          <w:szCs w:val="32"/>
        </w:rPr>
        <w:t>截至2021年12月底，本部门共有公务用车0辆，其中，机要通信用车0辆，应急保障用车0辆，执法执勤用车0辆，特种专业技术用车0辆，其他按照规定配备的公务用车0辆；单位价值50万元以上通用设备0台，单位价值100万元以上专用设备0台。2022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widowControl/>
        <w:spacing w:line="600" w:lineRule="exact"/>
        <w:ind w:firstLine="660"/>
        <w:jc w:val="left"/>
        <w:rPr>
          <w:rFonts w:hint="eastAsia" w:eastAsia="楷体_GB2312"/>
          <w:b/>
          <w:bCs/>
          <w:kern w:val="0"/>
          <w:sz w:val="32"/>
          <w:szCs w:val="32"/>
          <w:highlight w:val="none"/>
        </w:rPr>
      </w:pPr>
      <w:r>
        <w:rPr>
          <w:rFonts w:eastAsia="楷体_GB2312"/>
          <w:b/>
          <w:bCs/>
          <w:kern w:val="0"/>
          <w:sz w:val="32"/>
          <w:szCs w:val="32"/>
        </w:rPr>
        <w:t>（六）</w:t>
      </w:r>
      <w:r>
        <w:rPr>
          <w:rFonts w:hint="eastAsia" w:eastAsia="楷体_GB2312"/>
          <w:b/>
          <w:bCs/>
          <w:kern w:val="0"/>
          <w:sz w:val="32"/>
          <w:szCs w:val="32"/>
        </w:rPr>
        <w:t>部门整体支出、单位项目支出、重点（专项）项目</w:t>
      </w:r>
      <w:r>
        <w:rPr>
          <w:rFonts w:hint="eastAsia" w:eastAsia="楷体_GB2312"/>
          <w:b/>
          <w:bCs/>
          <w:kern w:val="0"/>
          <w:sz w:val="32"/>
          <w:szCs w:val="32"/>
          <w:highlight w:val="none"/>
        </w:rPr>
        <w:t>支出预算绩效目标情况说明</w:t>
      </w:r>
    </w:p>
    <w:p>
      <w:pPr>
        <w:widowControl/>
        <w:spacing w:line="600" w:lineRule="exact"/>
        <w:ind w:firstLine="640" w:firstLineChars="200"/>
        <w:jc w:val="left"/>
        <w:rPr>
          <w:rFonts w:hint="eastAsia" w:eastAsia="仿宋_GB2312"/>
          <w:sz w:val="32"/>
          <w:szCs w:val="32"/>
          <w:lang w:eastAsia="zh-CN"/>
        </w:rPr>
      </w:pPr>
      <w:r>
        <w:rPr>
          <w:rFonts w:hint="eastAsia" w:eastAsia="仿宋_GB2312"/>
          <w:sz w:val="32"/>
          <w:szCs w:val="32"/>
        </w:rPr>
        <w:t>本部门所有支出实行绩效目标管理，纳入2022年部门整体支出绩效目标的金额为561.71万元，其中，基本支出420.11万元，单位项目支出141.6万元，重点项目(专项)支出97万元</w:t>
      </w:r>
      <w:r>
        <w:rPr>
          <w:rFonts w:hint="eastAsia" w:eastAsia="仿宋_GB2312"/>
          <w:sz w:val="32"/>
          <w:szCs w:val="32"/>
          <w:lang w:eastAsia="zh-CN"/>
        </w:rPr>
        <w:t>。</w:t>
      </w:r>
    </w:p>
    <w:p>
      <w:pPr>
        <w:widowControl/>
        <w:numPr>
          <w:ilvl w:val="0"/>
          <w:numId w:val="1"/>
        </w:numPr>
        <w:spacing w:line="600" w:lineRule="exact"/>
        <w:ind w:firstLine="660"/>
        <w:rPr>
          <w:rFonts w:eastAsia="黑体"/>
          <w:sz w:val="32"/>
          <w:szCs w:val="32"/>
          <w:highlight w:val="none"/>
        </w:rPr>
      </w:pPr>
      <w:r>
        <w:rPr>
          <w:rFonts w:eastAsia="黑体"/>
          <w:sz w:val="32"/>
          <w:szCs w:val="32"/>
          <w:highlight w:val="none"/>
        </w:rPr>
        <w:t>名词解释</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rPr>
      </w:pPr>
      <w:r>
        <w:rPr>
          <w:rFonts w:hint="eastAsia" w:eastAsia="仿宋_GB2312"/>
          <w:sz w:val="32"/>
          <w:szCs w:val="32"/>
          <w:highlight w:val="none"/>
        </w:rPr>
        <w:t>1、一般公共预算: 是对以税收为主体</w:t>
      </w:r>
      <w:r>
        <w:rPr>
          <w:rFonts w:hint="eastAsia" w:eastAsia="仿宋_GB2312"/>
          <w:sz w:val="32"/>
          <w:szCs w:val="32"/>
        </w:rPr>
        <w:t>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2"/>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rPr>
          <w:rFonts w:hint="eastAsia" w:eastAsia="仿宋_GB2312"/>
          <w:sz w:val="32"/>
          <w:szCs w:val="32"/>
        </w:rPr>
      </w:pPr>
    </w:p>
    <w:p>
      <w:pPr>
        <w:pStyle w:val="2"/>
        <w:ind w:left="0" w:leftChars="0" w:firstLine="0" w:firstLineChars="0"/>
        <w:rPr>
          <w:rFonts w:hint="eastAsia" w:eastAsia="仿宋_GB2312"/>
          <w:sz w:val="32"/>
          <w:szCs w:val="32"/>
        </w:rPr>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pPr>
    </w:p>
    <w:p>
      <w:pPr>
        <w:widowControl/>
        <w:spacing w:line="600" w:lineRule="exact"/>
        <w:jc w:val="both"/>
        <w:rPr>
          <w:rFonts w:eastAsia="方正小标宋_GBK"/>
          <w:bCs/>
          <w:kern w:val="0"/>
          <w:sz w:val="36"/>
          <w:szCs w:val="36"/>
        </w:rPr>
      </w:pPr>
    </w:p>
    <w:p>
      <w:pPr>
        <w:widowControl/>
        <w:spacing w:line="600" w:lineRule="exact"/>
        <w:jc w:val="both"/>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pStyle w:val="2"/>
        <w:rPr>
          <w:rFonts w:eastAsia="方正小标宋_GBK"/>
          <w:bCs/>
          <w:kern w:val="0"/>
          <w:sz w:val="36"/>
          <w:szCs w:val="36"/>
        </w:rPr>
      </w:pPr>
    </w:p>
    <w:p>
      <w:pPr>
        <w:pStyle w:val="2"/>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numPr>
          <w:ilvl w:val="0"/>
          <w:numId w:val="3"/>
        </w:numPr>
        <w:spacing w:line="600" w:lineRule="exact"/>
        <w:ind w:firstLine="1440" w:firstLineChars="300"/>
        <w:jc w:val="both"/>
        <w:rPr>
          <w:rFonts w:eastAsia="方正小标宋_GBK"/>
          <w:bCs/>
          <w:kern w:val="0"/>
          <w:sz w:val="48"/>
          <w:szCs w:val="48"/>
        </w:rPr>
      </w:pPr>
      <w:r>
        <w:rPr>
          <w:rFonts w:hint="eastAsia" w:eastAsia="方正小标宋_GBK"/>
          <w:bCs/>
          <w:kern w:val="0"/>
          <w:sz w:val="48"/>
          <w:szCs w:val="48"/>
        </w:rPr>
        <w:t>2022</w:t>
      </w:r>
      <w:r>
        <w:rPr>
          <w:rFonts w:eastAsia="方正小标宋_GBK"/>
          <w:bCs/>
          <w:kern w:val="0"/>
          <w:sz w:val="48"/>
          <w:szCs w:val="48"/>
        </w:rPr>
        <w:t>年部门预算表</w:t>
      </w:r>
    </w:p>
    <w:p>
      <w:pPr>
        <w:keepNext w:val="0"/>
        <w:keepLines w:val="0"/>
        <w:widowControl/>
        <w:suppressLineNumbers w:val="0"/>
        <w:jc w:val="center"/>
        <w:textAlignment w:val="center"/>
        <w:rPr>
          <w:rFonts w:hint="eastAsia" w:ascii="宋体" w:hAnsi="宋体" w:eastAsia="宋体" w:cs="宋体"/>
          <w:b/>
          <w:bCs/>
          <w:i w:val="0"/>
          <w:iCs w:val="0"/>
          <w:color w:val="000000"/>
          <w:kern w:val="0"/>
          <w:sz w:val="48"/>
          <w:szCs w:val="48"/>
          <w:u w:val="none"/>
          <w:lang w:val="en-US" w:eastAsia="zh-CN" w:bidi="ar"/>
        </w:rPr>
        <w:sectPr>
          <w:pgSz w:w="11905" w:h="16837"/>
          <w:pgMar w:top="1418" w:right="1588" w:bottom="1418" w:left="1588" w:header="720" w:footer="1701" w:gutter="0"/>
          <w:pgNumType w:fmt="numberInDash" w:start="1"/>
          <w:cols w:space="720" w:num="1"/>
          <w:titlePg/>
          <w:docGrid w:linePitch="636" w:charSpace="20838"/>
        </w:sectPr>
      </w:pPr>
    </w:p>
    <w:tbl>
      <w:tblPr>
        <w:tblStyle w:val="9"/>
        <w:tblW w:w="1490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606"/>
        <w:gridCol w:w="846"/>
        <w:gridCol w:w="2409"/>
        <w:gridCol w:w="846"/>
        <w:gridCol w:w="2208"/>
        <w:gridCol w:w="846"/>
        <w:gridCol w:w="2505"/>
        <w:gridCol w:w="16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4906"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828"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2424"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828" w:type="dxa"/>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2220"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828"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2520"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164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     入</w:t>
            </w:r>
          </w:p>
        </w:tc>
        <w:tc>
          <w:tcPr>
            <w:tcW w:w="104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bookmarkStart w:id="0" w:name="_GoBack"/>
            <w:bookmarkEnd w:id="0"/>
            <w:r>
              <w:rPr>
                <w:rFonts w:hint="eastAsia" w:ascii="宋体" w:hAnsi="宋体" w:eastAsia="宋体" w:cs="宋体"/>
                <w:i w:val="0"/>
                <w:iCs w:val="0"/>
                <w:color w:val="000000"/>
                <w:kern w:val="0"/>
                <w:sz w:val="18"/>
                <w:szCs w:val="18"/>
                <w:u w:val="none"/>
                <w:lang w:val="en-US" w:eastAsia="zh-CN" w:bidi="ar"/>
              </w:rPr>
              <w:t>项目</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项目（部门经济分类）</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项目（政府经济分类）</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功能科目</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一、公共财政预算拨款</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5367131</w:t>
            </w: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一、基本支出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4201131</w:t>
            </w: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一、机关工资福利支出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[201]一般公共服务支出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4554072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二、纳入预算管理的非税收入拨款</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工资福利支出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3641051</w:t>
            </w: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二、机关商品和服务支出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[202]外交支出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三、政府性基金拨款</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商品和服务支出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560080</w:t>
            </w: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三、机关资本性支出（一）</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[203]国防支出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四、财政专户拨款</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对个人和家庭的补助</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四、对事业单位经常性补助</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[204]公共安全支出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五、未纳入财政专户管理的自有资金</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二、项目支出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1416000</w:t>
            </w: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五、对事业单位资本性补助</w:t>
            </w:r>
          </w:p>
        </w:tc>
        <w:tc>
          <w:tcPr>
            <w:tcW w:w="828"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[205]教育支出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项目工资福利支出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六、对企业补助</w:t>
            </w:r>
          </w:p>
        </w:tc>
        <w:tc>
          <w:tcPr>
            <w:tcW w:w="828"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[206]科学技术支出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项目商品和服务支出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1416000</w:t>
            </w:r>
          </w:p>
        </w:tc>
        <w:tc>
          <w:tcPr>
            <w:tcW w:w="22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七、对个人和家庭的补助</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[207]文化旅游体育与传媒支出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项目对个人和家庭的补助</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八、债务利息及费用支出</w:t>
            </w:r>
          </w:p>
        </w:tc>
        <w:tc>
          <w:tcPr>
            <w:tcW w:w="828"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[208]社会保障和就业支出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资本性支出</w:t>
            </w:r>
          </w:p>
        </w:tc>
        <w:tc>
          <w:tcPr>
            <w:tcW w:w="828"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九、其他支出</w:t>
            </w:r>
          </w:p>
        </w:tc>
        <w:tc>
          <w:tcPr>
            <w:tcW w:w="828"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[209]社会保险基金支出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债务利息及费用支出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28"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[210]医疗健康支出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对企业补助</w:t>
            </w:r>
          </w:p>
        </w:tc>
        <w:tc>
          <w:tcPr>
            <w:tcW w:w="828"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[211]节能环保支出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828"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nil"/>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[212]城乡社区支出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[213]农林水支出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[214]交通运输支出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[215]资源勘探信息等支出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[216]商业服务业等支出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[217]金融支出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[219]援助其他地区支出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[220]自然资源海洋气象等支出</w:t>
            </w:r>
          </w:p>
        </w:tc>
        <w:tc>
          <w:tcPr>
            <w:tcW w:w="1644"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[221]住房保障支出</w:t>
            </w:r>
          </w:p>
        </w:tc>
        <w:tc>
          <w:tcPr>
            <w:tcW w:w="164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[222]粮油物资储备支出</w:t>
            </w:r>
          </w:p>
        </w:tc>
        <w:tc>
          <w:tcPr>
            <w:tcW w:w="1644"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[223]国有资本经营预算支出</w:t>
            </w:r>
          </w:p>
        </w:tc>
        <w:tc>
          <w:tcPr>
            <w:tcW w:w="1644"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[224]灾害防治及应急管理支出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六、上级补助收入</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[227]预备费</w:t>
            </w:r>
          </w:p>
        </w:tc>
        <w:tc>
          <w:tcPr>
            <w:tcW w:w="1644" w:type="dxa"/>
            <w:tcBorders>
              <w:top w:val="nil"/>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七、附属单位上缴收入</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[229]其他支出</w:t>
            </w:r>
          </w:p>
        </w:tc>
        <w:tc>
          <w:tcPr>
            <w:tcW w:w="1644"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八、上年结余（结转）</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[230]转移性支出</w:t>
            </w:r>
          </w:p>
        </w:tc>
        <w:tc>
          <w:tcPr>
            <w:tcW w:w="1644" w:type="dxa"/>
            <w:tcBorders>
              <w:top w:val="single" w:color="000000" w:sz="4" w:space="0"/>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其中：公共财政预算拨款结余（结转）</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[231]债务还本支出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财政专户结余（结转）</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[232]债务付息支出</w:t>
            </w:r>
          </w:p>
        </w:tc>
        <w:tc>
          <w:tcPr>
            <w:tcW w:w="1644" w:type="dxa"/>
            <w:tcBorders>
              <w:top w:val="nil"/>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政府性基金结余（结转）</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[233]债务发行费用支出</w:t>
            </w:r>
          </w:p>
        </w:tc>
        <w:tc>
          <w:tcPr>
            <w:tcW w:w="1644" w:type="dxa"/>
            <w:tcBorders>
              <w:top w:val="nil"/>
              <w:left w:val="single" w:color="000000" w:sz="4" w:space="0"/>
              <w:bottom w:val="nil"/>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纳入预算管理的非税收入拨款结余（结转）</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18"/>
                <w:szCs w:val="18"/>
                <w:u w:val="none"/>
              </w:rPr>
            </w:pPr>
          </w:p>
        </w:tc>
        <w:tc>
          <w:tcPr>
            <w:tcW w:w="25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[234]抗疫特别国债安排的支出</w:t>
            </w:r>
          </w:p>
        </w:tc>
        <w:tc>
          <w:tcPr>
            <w:tcW w:w="1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6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收入总计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24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支出总计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25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164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r>
    </w:tbl>
    <w:p>
      <w:pPr>
        <w:widowControl/>
        <w:numPr>
          <w:ilvl w:val="0"/>
          <w:numId w:val="0"/>
        </w:numPr>
        <w:spacing w:line="600" w:lineRule="exact"/>
        <w:jc w:val="both"/>
        <w:rPr>
          <w:rFonts w:hint="eastAsia" w:ascii="宋体" w:hAnsi="宋体" w:eastAsia="宋体" w:cs="宋体"/>
          <w:b/>
          <w:bCs/>
          <w:i w:val="0"/>
          <w:iCs w:val="0"/>
          <w:color w:val="000000"/>
          <w:kern w:val="0"/>
          <w:sz w:val="48"/>
          <w:szCs w:val="48"/>
          <w:u w:val="none"/>
          <w:lang w:val="en-US" w:eastAsia="zh-CN" w:bidi="ar"/>
        </w:rPr>
      </w:pPr>
      <w:r>
        <w:rPr>
          <w:rFonts w:hint="eastAsia" w:ascii="宋体" w:hAnsi="宋体" w:eastAsia="宋体" w:cs="宋体"/>
          <w:b/>
          <w:bCs/>
          <w:i w:val="0"/>
          <w:iCs w:val="0"/>
          <w:color w:val="000000"/>
          <w:kern w:val="0"/>
          <w:sz w:val="48"/>
          <w:szCs w:val="48"/>
          <w:u w:val="none"/>
          <w:lang w:val="en-US" w:eastAsia="zh-CN" w:bidi="ar"/>
        </w:rPr>
        <w:br w:type="page"/>
      </w:r>
    </w:p>
    <w:p>
      <w:pPr>
        <w:keepNext w:val="0"/>
        <w:keepLines w:val="0"/>
        <w:widowControl/>
        <w:suppressLineNumbers w:val="0"/>
        <w:jc w:val="center"/>
        <w:textAlignment w:val="center"/>
        <w:rPr>
          <w:rFonts w:hint="eastAsia" w:ascii="宋体" w:hAnsi="宋体" w:eastAsia="宋体" w:cs="宋体"/>
          <w:b/>
          <w:bCs/>
          <w:i w:val="0"/>
          <w:iCs w:val="0"/>
          <w:color w:val="000000"/>
          <w:kern w:val="0"/>
          <w:sz w:val="48"/>
          <w:szCs w:val="48"/>
          <w:u w:val="none"/>
          <w:lang w:val="en-US" w:eastAsia="zh-CN" w:bidi="ar"/>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378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56"/>
        <w:gridCol w:w="2072"/>
        <w:gridCol w:w="846"/>
        <w:gridCol w:w="1500"/>
        <w:gridCol w:w="1511"/>
        <w:gridCol w:w="875"/>
        <w:gridCol w:w="875"/>
        <w:gridCol w:w="875"/>
        <w:gridCol w:w="875"/>
        <w:gridCol w:w="875"/>
        <w:gridCol w:w="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0" w:hRule="atLeast"/>
        </w:trPr>
        <w:tc>
          <w:tcPr>
            <w:tcW w:w="13796"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332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8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15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政府性基金预算拨款</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财政专户拨款</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上级补助收入</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附属单位上缴收入</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未纳入财政专户管理的自有资金</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2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5367131</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4554072</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4304072</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商贸事务</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招商引资</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市场监督管理事务</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4534072</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4284072</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2013802</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206000</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206000</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2013804</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市场主体管理</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720000</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720000</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2013805</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市场秩序执法</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511"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2013816</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食品安全监管</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科学技术支出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20699</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其他科学技术支出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2069901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科技奖励</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494735</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494735</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329823</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329823</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164912</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164912</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210147</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210147</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45107</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45107</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50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511"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7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321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56"/>
        <w:gridCol w:w="2326"/>
        <w:gridCol w:w="1425"/>
        <w:gridCol w:w="1425"/>
        <w:gridCol w:w="1425"/>
        <w:gridCol w:w="1425"/>
        <w:gridCol w:w="1207"/>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3214"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2022年部门支出总表（按部门经济科目）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33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57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14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对个人和家庭补助</w:t>
            </w: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3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4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4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2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4201131</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3641051</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560080</w:t>
            </w: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4554072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2617992</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560080</w:t>
            </w: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商贸事务</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招商引资</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市场监督管理事务</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4534072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2617992</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560080</w:t>
            </w: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2617992</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560080</w:t>
            </w: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2013802</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206000</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2013804</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市场主体管理</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720000</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2013805</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市场秩序执法</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2013816</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食品安全监管</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科学技术支出</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20699</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其他科学技术支出</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2069901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科技奖励</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494735</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494735</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494735</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329823</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329823</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329823</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164912</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210147</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210147</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210147</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45107</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45107</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45107</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33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42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398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83"/>
        <w:gridCol w:w="3126"/>
        <w:gridCol w:w="846"/>
        <w:gridCol w:w="959"/>
        <w:gridCol w:w="959"/>
        <w:gridCol w:w="959"/>
        <w:gridCol w:w="959"/>
        <w:gridCol w:w="959"/>
        <w:gridCol w:w="959"/>
        <w:gridCol w:w="959"/>
        <w:gridCol w:w="959"/>
        <w:gridCol w:w="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5" w:hRule="atLeast"/>
        </w:trPr>
        <w:tc>
          <w:tcPr>
            <w:tcW w:w="13986" w:type="dxa"/>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2022年部门支出总表（按政府预算科目）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0" w:type="auto"/>
            <w:gridSpan w:val="2"/>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3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31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8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机关工资福利支出</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机关商品和服务支出</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机关资本性支出（一）</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对事业单位经常性补助</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对事业单位资本性补助</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4554072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4554072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商贸事务</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招商引资</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市场监督管理事务</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4534072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4534072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2013801</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2013802</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2013804</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市场主体管理</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2013805</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市场秩序执法</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2013816</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食品安全监管</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科学技术支出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20699</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其他科学技术支出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2069901</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科技奖励</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494735</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494735</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329823</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329823</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210147</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210147</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45107</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45107</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8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31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828"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59"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335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40"/>
        <w:gridCol w:w="1044"/>
        <w:gridCol w:w="3348"/>
        <w:gridCol w:w="846"/>
        <w:gridCol w:w="846"/>
        <w:gridCol w:w="1080"/>
        <w:gridCol w:w="1309"/>
        <w:gridCol w:w="13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5" w:hRule="atLeast"/>
        </w:trPr>
        <w:tc>
          <w:tcPr>
            <w:tcW w:w="13356"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5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      入</w:t>
            </w:r>
          </w:p>
        </w:tc>
        <w:tc>
          <w:tcPr>
            <w:tcW w:w="8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    目</w:t>
            </w: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33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    目</w:t>
            </w:r>
          </w:p>
        </w:tc>
        <w:tc>
          <w:tcPr>
            <w:tcW w:w="8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325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一般公共预算拨款</w:t>
            </w:r>
          </w:p>
        </w:tc>
        <w:tc>
          <w:tcPr>
            <w:tcW w:w="1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政府性基金预算拨款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3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1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一、本年收入</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[201]一般公共服务支出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4554072</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4554072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4304072</w:t>
            </w: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（一）一般公共预算拨款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[202]外交支出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公共财政预算拨款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5367131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[203]国防支出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纳入预算管理的非税收入拨款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[204]公共安全支出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（二）政府性基金预算拨款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[205]教育支出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[206]科学技术支出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[207]文化旅游体育与传媒支出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二、上年结转</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[208]社会保障和就业支出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（一）一般公共预算拨款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[209]社会保险基金支出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（二）政府性基金拨款</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[210]卫生健康支出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[211]节能环保支出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[212]城乡社区支出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[213]农林水支出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[214]交通运输支出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[215]资源勘探信息等支出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[216]商业服务业等支出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[217]金融支出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[219]援助其他地区支出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[220]国土海洋气象等支出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[221]住房保障支出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[222]粮油物资储备支出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[223]国有资本经营预算支出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[224]灾害防治及应急管理支出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[227]预备费</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[229]其他支出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[230]转移性支出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[231]债务还本支出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[232]债务付息支出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[233]债务发行费用支出</w:t>
            </w:r>
          </w:p>
        </w:tc>
        <w:tc>
          <w:tcPr>
            <w:tcW w:w="828"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[234]抗疫特别国债安排的支出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82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828"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108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5367131</w:t>
            </w:r>
          </w:p>
        </w:tc>
        <w:tc>
          <w:tcPr>
            <w:tcW w:w="1344"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344"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结转下年</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收入总计</w:t>
            </w:r>
          </w:p>
        </w:tc>
        <w:tc>
          <w:tcPr>
            <w:tcW w:w="10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5367131</w:t>
            </w: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3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366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56"/>
        <w:gridCol w:w="4212"/>
        <w:gridCol w:w="2301"/>
        <w:gridCol w:w="2343"/>
        <w:gridCol w:w="22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5" w:hRule="atLeast"/>
        </w:trPr>
        <w:tc>
          <w:tcPr>
            <w:tcW w:w="1367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bCs/>
                <w:i w:val="0"/>
                <w:iCs w:val="0"/>
                <w:color w:val="000000"/>
                <w:kern w:val="0"/>
                <w:sz w:val="44"/>
                <w:szCs w:val="44"/>
                <w:u w:val="none"/>
                <w:lang w:val="en-US" w:eastAsia="zh-CN" w:bidi="ar"/>
              </w:rPr>
              <w:t>2022年部门一般公共预算支出表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5617131</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4201131</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4554072</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商贸事务</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招商引资</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市场监督管理事务</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4534072</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3178072</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2013802</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一般行政管理事务</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206000</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2013804</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市场主体管理</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720000</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2013805</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市场秩序执法</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2013816</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食品安全监管</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科学技术支出</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20699</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其他科学技术支出</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2069901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科技奖励</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520437</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494735</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494735</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329823</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329823</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164912</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164912</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255254</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210147</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210147</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45107</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45107</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43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2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234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22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305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56"/>
        <w:gridCol w:w="4020"/>
        <w:gridCol w:w="2120"/>
        <w:gridCol w:w="2120"/>
        <w:gridCol w:w="22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306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2022年部门一般公共预算基本支出表（纵向）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4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4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7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4201131</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3641051</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3641051</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3641051</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1275660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1275660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318000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318000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537396</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537396</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486936</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486936</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329823</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329823</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210147</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210147</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45107</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45107</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25702</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247368</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560080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劳物费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30227</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220080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30399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52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2"/>
        <w:gridCol w:w="791"/>
        <w:gridCol w:w="776"/>
        <w:gridCol w:w="776"/>
        <w:gridCol w:w="776"/>
        <w:gridCol w:w="696"/>
        <w:gridCol w:w="696"/>
        <w:gridCol w:w="696"/>
        <w:gridCol w:w="696"/>
        <w:gridCol w:w="696"/>
        <w:gridCol w:w="696"/>
        <w:gridCol w:w="691"/>
        <w:gridCol w:w="691"/>
        <w:gridCol w:w="696"/>
        <w:gridCol w:w="521"/>
        <w:gridCol w:w="696"/>
        <w:gridCol w:w="696"/>
        <w:gridCol w:w="696"/>
        <w:gridCol w:w="508"/>
        <w:gridCol w:w="508"/>
        <w:gridCol w:w="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0" w:hRule="atLeast"/>
        </w:trPr>
        <w:tc>
          <w:tcPr>
            <w:tcW w:w="15246" w:type="dxa"/>
            <w:gridSpan w:val="2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2022年部门一般公共预算基本支出表（横向）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0" w:type="auto"/>
            <w:gridSpan w:val="3"/>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3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1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1832"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3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22" w:type="dxa"/>
            <w:gridSpan w:val="1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207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163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0" w:hRule="atLeast"/>
        </w:trPr>
        <w:tc>
          <w:tcPr>
            <w:tcW w:w="13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6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基本工资</w:t>
            </w:r>
          </w:p>
        </w:tc>
        <w:tc>
          <w:tcPr>
            <w:tcW w:w="6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津贴补贴</w:t>
            </w:r>
          </w:p>
        </w:tc>
        <w:tc>
          <w:tcPr>
            <w:tcW w:w="6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奖金</w:t>
            </w:r>
          </w:p>
        </w:tc>
        <w:tc>
          <w:tcPr>
            <w:tcW w:w="6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绩效工资</w:t>
            </w:r>
          </w:p>
        </w:tc>
        <w:tc>
          <w:tcPr>
            <w:tcW w:w="6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w:t>
            </w:r>
          </w:p>
        </w:tc>
        <w:tc>
          <w:tcPr>
            <w:tcW w:w="6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职业年金缴费</w:t>
            </w:r>
          </w:p>
        </w:tc>
        <w:tc>
          <w:tcPr>
            <w:tcW w:w="6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职工基本医疗保险缴费</w:t>
            </w:r>
          </w:p>
        </w:tc>
        <w:tc>
          <w:tcPr>
            <w:tcW w:w="6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公务员医疗补助缴费</w:t>
            </w:r>
          </w:p>
        </w:tc>
        <w:tc>
          <w:tcPr>
            <w:tcW w:w="6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其他社会保障缴费</w:t>
            </w:r>
          </w:p>
        </w:tc>
        <w:tc>
          <w:tcPr>
            <w:tcW w:w="6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住房公积金</w:t>
            </w:r>
          </w:p>
        </w:tc>
        <w:tc>
          <w:tcPr>
            <w:tcW w:w="5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其他工资福利支出</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公务费</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其他交通费用（车改补助）</w:t>
            </w:r>
          </w:p>
        </w:tc>
        <w:tc>
          <w:tcPr>
            <w:tcW w:w="5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5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离休费</w:t>
            </w:r>
          </w:p>
        </w:tc>
        <w:tc>
          <w:tcPr>
            <w:tcW w:w="62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其他对个人和家庭的补助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4201131</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3641051</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1275660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318000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537396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486936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329823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164912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210147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45107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25702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247368</w:t>
            </w: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560080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340000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220080</w:t>
            </w: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3178072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2617992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1275660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318000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537396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486936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560080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340000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220080</w:t>
            </w: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市场监督管理事务</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3178072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2617992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1275660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318000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537396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486936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560080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340000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220080</w:t>
            </w: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2013801</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3178072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2617992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1275660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318000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537396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486936</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560080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340000</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220080</w:t>
            </w: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520437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520437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329823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164912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25702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494735</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494735</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329823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164912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329823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329823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329823</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164912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164912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164912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25702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25702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25702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25702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25702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25702</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255254</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255254</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210147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45107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255254</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255254</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210147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45107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210147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210147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210147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45107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45107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45107</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247368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247368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247368</w:t>
            </w: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247368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247368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247368</w:t>
            </w: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13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14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247368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247368</w:t>
            </w: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247368</w:t>
            </w:r>
          </w:p>
        </w:tc>
        <w:tc>
          <w:tcPr>
            <w:tcW w:w="5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303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56"/>
        <w:gridCol w:w="2304"/>
        <w:gridCol w:w="1196"/>
        <w:gridCol w:w="1196"/>
        <w:gridCol w:w="1369"/>
        <w:gridCol w:w="1369"/>
        <w:gridCol w:w="1680"/>
        <w:gridCol w:w="13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0" w:hRule="atLeast"/>
        </w:trPr>
        <w:tc>
          <w:tcPr>
            <w:tcW w:w="13039"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2022年部门政府性基金预算支出表（按部门经济科目）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商品服务支出</w:t>
            </w:r>
          </w:p>
        </w:tc>
        <w:tc>
          <w:tcPr>
            <w:tcW w:w="0" w:type="auto"/>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对个人和家庭补助</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1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3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291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12"/>
        <w:gridCol w:w="2244"/>
        <w:gridCol w:w="420"/>
        <w:gridCol w:w="1068"/>
        <w:gridCol w:w="1068"/>
        <w:gridCol w:w="1068"/>
        <w:gridCol w:w="1068"/>
        <w:gridCol w:w="1068"/>
        <w:gridCol w:w="624"/>
        <w:gridCol w:w="1068"/>
        <w:gridCol w:w="1068"/>
        <w:gridCol w:w="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2912" w:type="dxa"/>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2022年部门政府性基金预算支出表（按政府预算科目）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23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机关工资福利支出</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机关商品和服务支出</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机关资本性支出（一）</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对事业单位经常性补助</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对事业单位资本性补助</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21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230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2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06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06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06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06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06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62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06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068"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8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345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640"/>
        <w:gridCol w:w="1260"/>
        <w:gridCol w:w="1260"/>
        <w:gridCol w:w="1260"/>
        <w:gridCol w:w="804"/>
        <w:gridCol w:w="1260"/>
        <w:gridCol w:w="1260"/>
        <w:gridCol w:w="1260"/>
        <w:gridCol w:w="840"/>
        <w:gridCol w:w="16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5" w:hRule="atLeast"/>
        </w:trPr>
        <w:tc>
          <w:tcPr>
            <w:tcW w:w="13452"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0" w:type="auto"/>
            <w:gridSpan w:val="2"/>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三公经费项目</w:t>
            </w:r>
          </w:p>
        </w:tc>
        <w:tc>
          <w:tcPr>
            <w:tcW w:w="458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2021年预算完成数</w:t>
            </w:r>
          </w:p>
        </w:tc>
        <w:tc>
          <w:tcPr>
            <w:tcW w:w="46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2022年预算数</w:t>
            </w:r>
          </w:p>
        </w:tc>
        <w:tc>
          <w:tcPr>
            <w:tcW w:w="16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“三公”经费增减变化情况说明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60" w:type="dxa"/>
            <w:tcBorders>
              <w:top w:val="nil"/>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三公经费合计</w:t>
            </w:r>
          </w:p>
        </w:tc>
        <w:tc>
          <w:tcPr>
            <w:tcW w:w="126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财政拨款补助安排数</w:t>
            </w:r>
          </w:p>
        </w:tc>
        <w:tc>
          <w:tcPr>
            <w:tcW w:w="126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纳入预算管理的非税收入拨款补助安排数</w:t>
            </w:r>
          </w:p>
        </w:tc>
        <w:tc>
          <w:tcPr>
            <w:tcW w:w="804"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其他资金安排数</w:t>
            </w:r>
          </w:p>
        </w:tc>
        <w:tc>
          <w:tcPr>
            <w:tcW w:w="126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三公经费合计</w:t>
            </w:r>
          </w:p>
        </w:tc>
        <w:tc>
          <w:tcPr>
            <w:tcW w:w="126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财政拨款补助安排数</w:t>
            </w:r>
          </w:p>
        </w:tc>
        <w:tc>
          <w:tcPr>
            <w:tcW w:w="126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纳入预算管理的非税收入拨款补助安排数</w:t>
            </w:r>
          </w:p>
        </w:tc>
        <w:tc>
          <w:tcPr>
            <w:tcW w:w="840" w:type="dxa"/>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其他资金安排数</w:t>
            </w:r>
          </w:p>
        </w:tc>
        <w:tc>
          <w:tcPr>
            <w:tcW w:w="1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70000</w:t>
            </w:r>
          </w:p>
        </w:tc>
        <w:tc>
          <w:tcPr>
            <w:tcW w:w="80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60000</w:t>
            </w:r>
          </w:p>
        </w:tc>
        <w:tc>
          <w:tcPr>
            <w:tcW w:w="84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70000</w:t>
            </w:r>
          </w:p>
        </w:tc>
        <w:tc>
          <w:tcPr>
            <w:tcW w:w="80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60000</w:t>
            </w:r>
          </w:p>
        </w:tc>
        <w:tc>
          <w:tcPr>
            <w:tcW w:w="84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80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84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804"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79000</w:t>
            </w:r>
          </w:p>
        </w:tc>
        <w:tc>
          <w:tcPr>
            <w:tcW w:w="126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840"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329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56"/>
        <w:gridCol w:w="1551"/>
        <w:gridCol w:w="1305"/>
        <w:gridCol w:w="560"/>
        <w:gridCol w:w="528"/>
        <w:gridCol w:w="945"/>
        <w:gridCol w:w="945"/>
        <w:gridCol w:w="945"/>
        <w:gridCol w:w="564"/>
        <w:gridCol w:w="564"/>
        <w:gridCol w:w="779"/>
        <w:gridCol w:w="564"/>
        <w:gridCol w:w="564"/>
        <w:gridCol w:w="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5" w:hRule="atLeast"/>
        </w:trPr>
        <w:tc>
          <w:tcPr>
            <w:tcW w:w="13306" w:type="dxa"/>
            <w:gridSpan w:val="1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2022年部门政府采购预算表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w:t>
            </w:r>
          </w:p>
        </w:tc>
        <w:tc>
          <w:tcPr>
            <w:tcW w:w="24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采购项目</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采购目录</w:t>
            </w:r>
          </w:p>
        </w:tc>
        <w:tc>
          <w:tcPr>
            <w:tcW w:w="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采购数量</w:t>
            </w:r>
          </w:p>
        </w:tc>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644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9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94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56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政府性基金拨款</w:t>
            </w:r>
          </w:p>
        </w:tc>
        <w:tc>
          <w:tcPr>
            <w:tcW w:w="56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财政专户拨款</w:t>
            </w:r>
          </w:p>
        </w:tc>
        <w:tc>
          <w:tcPr>
            <w:tcW w:w="79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未纳入财政专户管理的自有资金</w:t>
            </w:r>
          </w:p>
        </w:tc>
        <w:tc>
          <w:tcPr>
            <w:tcW w:w="56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上级补助收入</w:t>
            </w:r>
          </w:p>
        </w:tc>
        <w:tc>
          <w:tcPr>
            <w:tcW w:w="56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附属单位上缴收入</w:t>
            </w:r>
          </w:p>
        </w:tc>
        <w:tc>
          <w:tcPr>
            <w:tcW w:w="56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4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4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4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8"/>
                <w:szCs w:val="18"/>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65000</w:t>
            </w: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市场秩序执法</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其他消耗用品</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市场秩序执法</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印刷、出版</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w:t>
            </w: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市场秩序执法</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纸张</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食品安全监管</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档案夹</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食品安全监管</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墨盒、墨粉</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食品安全监管</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纸张</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食品安全监管</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其他专用设备</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市场主体管理</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其他办公自动化设备</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市场主体管理</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其他物资</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市场主体管理</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其他消耗用品</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市场主体管理</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其他专用设备</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市场主体管理</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其他电器设备</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招商引资</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纸张</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招商引资</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其他消耗用品</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招商引资</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硒鼓</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招商引资</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墨盒、墨粉</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市场监督管理事务（一般行政管理事务）</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档案夹</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市场监督管理事务（一般行政管理事务）</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其他消耗用品</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市场监督管理事务（一般行政管理事务）</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纸张</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市场监督管理事务（一般行政管理事务）</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墨盒、墨粉</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市场监督管理事务（一般行政管理事务）</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硒鼓</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16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区市场监督管理局</w:t>
            </w:r>
          </w:p>
        </w:tc>
        <w:tc>
          <w:tcPr>
            <w:tcW w:w="24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市场监督管理事务（一般行政管理事务）</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印刷、出版</w:t>
            </w:r>
          </w:p>
        </w:tc>
        <w:tc>
          <w:tcPr>
            <w:tcW w:w="5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6000</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tbl>
      <w:tblPr>
        <w:tblStyle w:val="9"/>
        <w:tblW w:w="1479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7"/>
        <w:gridCol w:w="833"/>
        <w:gridCol w:w="988"/>
        <w:gridCol w:w="1086"/>
        <w:gridCol w:w="1086"/>
        <w:gridCol w:w="565"/>
        <w:gridCol w:w="1086"/>
        <w:gridCol w:w="1228"/>
        <w:gridCol w:w="1086"/>
        <w:gridCol w:w="1086"/>
        <w:gridCol w:w="593"/>
        <w:gridCol w:w="593"/>
        <w:gridCol w:w="593"/>
        <w:gridCol w:w="593"/>
        <w:gridCol w:w="593"/>
        <w:gridCol w:w="593"/>
        <w:gridCol w:w="593"/>
        <w:gridCol w:w="5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14805" w:type="dxa"/>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2022年部门非税收入征收计划表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0" w:type="auto"/>
            <w:gridSpan w:val="5"/>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单位名称：区市场监督管理局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gridSpan w:val="3"/>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1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项目类别及名称</w:t>
            </w:r>
          </w:p>
        </w:tc>
        <w:tc>
          <w:tcPr>
            <w:tcW w:w="83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执收收入计划合计</w:t>
            </w:r>
          </w:p>
        </w:tc>
        <w:tc>
          <w:tcPr>
            <w:tcW w:w="12955" w:type="dxa"/>
            <w:gridSpan w:val="1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本级执收收入计划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362" w:type="dxa"/>
            <w:gridSpan w:val="1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本级非税收入预算</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未纳入专户管理的其他收入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本级非税收入预计合计</w:t>
            </w:r>
          </w:p>
        </w:tc>
        <w:tc>
          <w:tcPr>
            <w:tcW w:w="7223"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w:t>
            </w:r>
          </w:p>
        </w:tc>
        <w:tc>
          <w:tcPr>
            <w:tcW w:w="415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财政专户管理</w:t>
            </w: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273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收入预算数（纳入预算）</w:t>
            </w:r>
          </w:p>
        </w:tc>
        <w:tc>
          <w:tcPr>
            <w:tcW w:w="340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政府统筹（纳入预算）</w:t>
            </w:r>
          </w:p>
        </w:tc>
        <w:tc>
          <w:tcPr>
            <w:tcW w:w="108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单位可支配收入（纳入预算）</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收入预算数（财政专户）</w:t>
            </w:r>
          </w:p>
        </w:tc>
        <w:tc>
          <w:tcPr>
            <w:tcW w:w="177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政府统筹（财政专户）</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单位可支配收入（财政专户）</w:t>
            </w: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小计（纳入预算）</w:t>
            </w:r>
          </w:p>
        </w:tc>
        <w:tc>
          <w:tcPr>
            <w:tcW w:w="108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分成后本级收入（纳入预算）</w:t>
            </w:r>
          </w:p>
        </w:tc>
        <w:tc>
          <w:tcPr>
            <w:tcW w:w="5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上级返还</w:t>
            </w:r>
          </w:p>
        </w:tc>
        <w:tc>
          <w:tcPr>
            <w:tcW w:w="108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小计（纳入预算政府统筹）</w:t>
            </w:r>
          </w:p>
        </w:tc>
        <w:tc>
          <w:tcPr>
            <w:tcW w:w="231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剔除成本后（纳入预算）</w:t>
            </w:r>
          </w:p>
        </w:tc>
        <w:tc>
          <w:tcPr>
            <w:tcW w:w="10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小计（财政专户）</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分成后本级收入（财政专户）</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上级返还（财政专户）</w:t>
            </w:r>
          </w:p>
        </w:tc>
        <w:tc>
          <w:tcPr>
            <w:tcW w:w="5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小计（财政专户政府统筹）</w:t>
            </w: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剔除成本后</w:t>
            </w: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统筹比例％（纳入预算）</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统筹额（纳入预算）</w:t>
            </w:r>
          </w:p>
        </w:tc>
        <w:tc>
          <w:tcPr>
            <w:tcW w:w="10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统筹比例％（财政专户）</w:t>
            </w: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统筹额（财政专户）</w:t>
            </w: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500000</w:t>
            </w:r>
          </w:p>
        </w:tc>
        <w:tc>
          <w:tcPr>
            <w:tcW w:w="9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500000</w:t>
            </w:r>
          </w:p>
        </w:tc>
        <w:tc>
          <w:tcPr>
            <w:tcW w:w="5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罚没收入</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500000</w:t>
            </w:r>
          </w:p>
        </w:tc>
        <w:tc>
          <w:tcPr>
            <w:tcW w:w="9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500000</w:t>
            </w:r>
          </w:p>
        </w:tc>
        <w:tc>
          <w:tcPr>
            <w:tcW w:w="5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250000</w:t>
            </w: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药品监督罚没收入</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300000</w:t>
            </w:r>
          </w:p>
        </w:tc>
        <w:tc>
          <w:tcPr>
            <w:tcW w:w="9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300000</w:t>
            </w:r>
          </w:p>
        </w:tc>
        <w:tc>
          <w:tcPr>
            <w:tcW w:w="5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150000</w:t>
            </w: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市场监管罚没收入</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200000</w:t>
            </w:r>
          </w:p>
        </w:tc>
        <w:tc>
          <w:tcPr>
            <w:tcW w:w="9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200000</w:t>
            </w:r>
          </w:p>
        </w:tc>
        <w:tc>
          <w:tcPr>
            <w:tcW w:w="5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100000</w:t>
            </w: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100000</w:t>
            </w:r>
          </w:p>
        </w:tc>
        <w:tc>
          <w:tcPr>
            <w:tcW w:w="10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100000</w:t>
            </w: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c>
          <w:tcPr>
            <w:tcW w:w="5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8"/>
                <w:szCs w:val="18"/>
                <w:u w:val="none"/>
              </w:rPr>
            </w:pPr>
          </w:p>
        </w:tc>
      </w:tr>
    </w:tbl>
    <w:p>
      <w:pPr>
        <w:pStyle w:val="2"/>
        <w:rPr>
          <w:rFonts w:hint="eastAsia"/>
          <w:lang w:val="en-US" w:eastAsia="zh-CN"/>
        </w:rPr>
        <w:sectPr>
          <w:pgSz w:w="16837" w:h="11905" w:orient="landscape"/>
          <w:pgMar w:top="1588" w:right="1418" w:bottom="1588" w:left="1418" w:header="720" w:footer="1701" w:gutter="0"/>
          <w:pgNumType w:fmt="numberInDash" w:start="1"/>
          <w:cols w:space="720" w:num="1"/>
          <w:titlePg/>
          <w:docGrid w:linePitch="636" w:charSpace="20838"/>
        </w:sectPr>
      </w:pPr>
    </w:p>
    <w:p>
      <w:pPr>
        <w:pStyle w:val="2"/>
        <w:rPr>
          <w:rFonts w:hint="eastAsia"/>
        </w:rPr>
      </w:pPr>
    </w:p>
    <w:sectPr>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FE4D0"/>
    <w:multiLevelType w:val="singleLevel"/>
    <w:tmpl w:val="858FE4D0"/>
    <w:lvl w:ilvl="0" w:tentative="0">
      <w:start w:val="7"/>
      <w:numFmt w:val="chineseCounting"/>
      <w:suff w:val="nothing"/>
      <w:lvlText w:val="%1、"/>
      <w:lvlJc w:val="left"/>
      <w:rPr>
        <w:rFonts w:hint="eastAsia"/>
      </w:rPr>
    </w:lvl>
  </w:abstractNum>
  <w:abstractNum w:abstractNumId="1">
    <w:nsid w:val="A7BFF402"/>
    <w:multiLevelType w:val="singleLevel"/>
    <w:tmpl w:val="A7BFF402"/>
    <w:lvl w:ilvl="0" w:tentative="0">
      <w:start w:val="2"/>
      <w:numFmt w:val="chineseCounting"/>
      <w:suff w:val="space"/>
      <w:lvlText w:val="第%1部分"/>
      <w:lvlJc w:val="left"/>
      <w:rPr>
        <w:rFonts w:hint="eastAsia"/>
      </w:rPr>
    </w:lvl>
  </w:abstractNum>
  <w:abstractNum w:abstractNumId="2">
    <w:nsid w:val="706EE0CC"/>
    <w:multiLevelType w:val="singleLevel"/>
    <w:tmpl w:val="706EE0CC"/>
    <w:lvl w:ilvl="0" w:tentative="0">
      <w:start w:val="8"/>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2YWVhNWI0YjliMDZlNGU0ZTcyNGEyYWQwNTU0ODc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BE7797"/>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76805"/>
    <w:rsid w:val="00F90582"/>
    <w:rsid w:val="00FA6159"/>
    <w:rsid w:val="00FB0CAC"/>
    <w:rsid w:val="00FC06EE"/>
    <w:rsid w:val="00FC18E5"/>
    <w:rsid w:val="00FC623E"/>
    <w:rsid w:val="00FC6E95"/>
    <w:rsid w:val="010409B1"/>
    <w:rsid w:val="0107240D"/>
    <w:rsid w:val="018A1427"/>
    <w:rsid w:val="01AC3774"/>
    <w:rsid w:val="01B91D0C"/>
    <w:rsid w:val="02247ACE"/>
    <w:rsid w:val="02753E85"/>
    <w:rsid w:val="02843A23"/>
    <w:rsid w:val="02EB05EB"/>
    <w:rsid w:val="02F310BD"/>
    <w:rsid w:val="031418F0"/>
    <w:rsid w:val="0317670A"/>
    <w:rsid w:val="033E39EA"/>
    <w:rsid w:val="03F90AE6"/>
    <w:rsid w:val="0438160E"/>
    <w:rsid w:val="0444008B"/>
    <w:rsid w:val="04781A0B"/>
    <w:rsid w:val="04D236AF"/>
    <w:rsid w:val="05177476"/>
    <w:rsid w:val="05805BEC"/>
    <w:rsid w:val="05C6234C"/>
    <w:rsid w:val="05CF5FA2"/>
    <w:rsid w:val="06420522"/>
    <w:rsid w:val="064C314F"/>
    <w:rsid w:val="06530982"/>
    <w:rsid w:val="065344DE"/>
    <w:rsid w:val="070677A2"/>
    <w:rsid w:val="072145DC"/>
    <w:rsid w:val="07D23B28"/>
    <w:rsid w:val="0869448C"/>
    <w:rsid w:val="088F5575"/>
    <w:rsid w:val="08CA47FF"/>
    <w:rsid w:val="09045F63"/>
    <w:rsid w:val="0A252635"/>
    <w:rsid w:val="0A3E54A5"/>
    <w:rsid w:val="0B980BE5"/>
    <w:rsid w:val="0C1704AC"/>
    <w:rsid w:val="0C2D57D1"/>
    <w:rsid w:val="0C3B1C9C"/>
    <w:rsid w:val="0CF14659"/>
    <w:rsid w:val="0D1A5D55"/>
    <w:rsid w:val="0D2E35AF"/>
    <w:rsid w:val="0DC91529"/>
    <w:rsid w:val="0EF44384"/>
    <w:rsid w:val="0FA86DE3"/>
    <w:rsid w:val="0FAD62D5"/>
    <w:rsid w:val="103716AC"/>
    <w:rsid w:val="10F42D61"/>
    <w:rsid w:val="1173012A"/>
    <w:rsid w:val="119C448E"/>
    <w:rsid w:val="122907E8"/>
    <w:rsid w:val="12DF5990"/>
    <w:rsid w:val="12FD797B"/>
    <w:rsid w:val="131D659F"/>
    <w:rsid w:val="139B3968"/>
    <w:rsid w:val="13F015BE"/>
    <w:rsid w:val="14011A1D"/>
    <w:rsid w:val="14045069"/>
    <w:rsid w:val="14AE01CA"/>
    <w:rsid w:val="14BE790E"/>
    <w:rsid w:val="150E2B9A"/>
    <w:rsid w:val="15FE79D5"/>
    <w:rsid w:val="16350C1E"/>
    <w:rsid w:val="16D50F3F"/>
    <w:rsid w:val="177C13BA"/>
    <w:rsid w:val="17A403CF"/>
    <w:rsid w:val="17A54DB5"/>
    <w:rsid w:val="17DD62FD"/>
    <w:rsid w:val="185C1918"/>
    <w:rsid w:val="18972950"/>
    <w:rsid w:val="18B33036"/>
    <w:rsid w:val="18ED431E"/>
    <w:rsid w:val="18F02060"/>
    <w:rsid w:val="18FE633B"/>
    <w:rsid w:val="193A48B3"/>
    <w:rsid w:val="195B1BCF"/>
    <w:rsid w:val="1A231FC1"/>
    <w:rsid w:val="1A3D3625"/>
    <w:rsid w:val="1B065B6B"/>
    <w:rsid w:val="1B4072CF"/>
    <w:rsid w:val="1B5C1C2F"/>
    <w:rsid w:val="1B8B42C2"/>
    <w:rsid w:val="1BF43C15"/>
    <w:rsid w:val="1C116575"/>
    <w:rsid w:val="1C7376D7"/>
    <w:rsid w:val="1C790312"/>
    <w:rsid w:val="1CA76EDA"/>
    <w:rsid w:val="1DC75A85"/>
    <w:rsid w:val="1FCF54B9"/>
    <w:rsid w:val="1FEA374C"/>
    <w:rsid w:val="1FF22B62"/>
    <w:rsid w:val="219E0C0B"/>
    <w:rsid w:val="22356D36"/>
    <w:rsid w:val="225301BC"/>
    <w:rsid w:val="226A340F"/>
    <w:rsid w:val="226C6BFB"/>
    <w:rsid w:val="22873A35"/>
    <w:rsid w:val="229B128E"/>
    <w:rsid w:val="239E43A3"/>
    <w:rsid w:val="23BC770E"/>
    <w:rsid w:val="23D164F9"/>
    <w:rsid w:val="242D4168"/>
    <w:rsid w:val="24480FA2"/>
    <w:rsid w:val="24727DCD"/>
    <w:rsid w:val="24B30B11"/>
    <w:rsid w:val="25285523"/>
    <w:rsid w:val="25BD32CA"/>
    <w:rsid w:val="25FC0296"/>
    <w:rsid w:val="26211AAB"/>
    <w:rsid w:val="269E134D"/>
    <w:rsid w:val="27710810"/>
    <w:rsid w:val="279B763B"/>
    <w:rsid w:val="27A961FC"/>
    <w:rsid w:val="27D019DA"/>
    <w:rsid w:val="2A495A74"/>
    <w:rsid w:val="2A8803C7"/>
    <w:rsid w:val="2B41674B"/>
    <w:rsid w:val="2B667F60"/>
    <w:rsid w:val="2B8C6E9D"/>
    <w:rsid w:val="2D51332B"/>
    <w:rsid w:val="2D574004"/>
    <w:rsid w:val="2EE93382"/>
    <w:rsid w:val="2EEE2746"/>
    <w:rsid w:val="2EFC1307"/>
    <w:rsid w:val="2F0B779C"/>
    <w:rsid w:val="2F527179"/>
    <w:rsid w:val="30313232"/>
    <w:rsid w:val="30416F37"/>
    <w:rsid w:val="30A71AE3"/>
    <w:rsid w:val="31103C70"/>
    <w:rsid w:val="311F308B"/>
    <w:rsid w:val="312468F3"/>
    <w:rsid w:val="3195334D"/>
    <w:rsid w:val="32285F6F"/>
    <w:rsid w:val="32334E29"/>
    <w:rsid w:val="32B75C71"/>
    <w:rsid w:val="32E26A66"/>
    <w:rsid w:val="332C2EFD"/>
    <w:rsid w:val="33D26ADA"/>
    <w:rsid w:val="3422536C"/>
    <w:rsid w:val="344F1ED9"/>
    <w:rsid w:val="349F69BC"/>
    <w:rsid w:val="35976CEB"/>
    <w:rsid w:val="36541A28"/>
    <w:rsid w:val="36625F86"/>
    <w:rsid w:val="37AC319E"/>
    <w:rsid w:val="37C8622A"/>
    <w:rsid w:val="381C47C8"/>
    <w:rsid w:val="384B0C09"/>
    <w:rsid w:val="38633232"/>
    <w:rsid w:val="38FD63A7"/>
    <w:rsid w:val="39357B09"/>
    <w:rsid w:val="39495149"/>
    <w:rsid w:val="3A775CE5"/>
    <w:rsid w:val="3ADD1FEC"/>
    <w:rsid w:val="3B567FF1"/>
    <w:rsid w:val="3B702E61"/>
    <w:rsid w:val="3B8E1539"/>
    <w:rsid w:val="3B985F13"/>
    <w:rsid w:val="3BE267DD"/>
    <w:rsid w:val="3C025A83"/>
    <w:rsid w:val="3CB925E5"/>
    <w:rsid w:val="3D1A2047"/>
    <w:rsid w:val="3D3F6F8E"/>
    <w:rsid w:val="3D785FFC"/>
    <w:rsid w:val="3DE73182"/>
    <w:rsid w:val="3DFF08E6"/>
    <w:rsid w:val="3E886713"/>
    <w:rsid w:val="3F7722E4"/>
    <w:rsid w:val="3FB13A48"/>
    <w:rsid w:val="40205632"/>
    <w:rsid w:val="40AF61D9"/>
    <w:rsid w:val="40E57E4D"/>
    <w:rsid w:val="415B4202"/>
    <w:rsid w:val="41B44778"/>
    <w:rsid w:val="42653A20"/>
    <w:rsid w:val="42B86E9B"/>
    <w:rsid w:val="43142F7D"/>
    <w:rsid w:val="43BB4E95"/>
    <w:rsid w:val="44095C00"/>
    <w:rsid w:val="44110A72"/>
    <w:rsid w:val="443B5FD6"/>
    <w:rsid w:val="446A1543"/>
    <w:rsid w:val="446B6DA9"/>
    <w:rsid w:val="44B85878"/>
    <w:rsid w:val="44DA759D"/>
    <w:rsid w:val="453942C3"/>
    <w:rsid w:val="454B049A"/>
    <w:rsid w:val="45E2495B"/>
    <w:rsid w:val="462C5BD6"/>
    <w:rsid w:val="466A4950"/>
    <w:rsid w:val="46C37B6D"/>
    <w:rsid w:val="47095F17"/>
    <w:rsid w:val="48645AFB"/>
    <w:rsid w:val="486F624E"/>
    <w:rsid w:val="48AA3747"/>
    <w:rsid w:val="48F50E49"/>
    <w:rsid w:val="490B241B"/>
    <w:rsid w:val="493F20C4"/>
    <w:rsid w:val="4A3B6D2F"/>
    <w:rsid w:val="4A6A13C3"/>
    <w:rsid w:val="4C2C2DD4"/>
    <w:rsid w:val="4CDE39A2"/>
    <w:rsid w:val="4CF431C6"/>
    <w:rsid w:val="4D162A8A"/>
    <w:rsid w:val="4D3161C8"/>
    <w:rsid w:val="4D553C64"/>
    <w:rsid w:val="4D9E1AAF"/>
    <w:rsid w:val="4DAD3AA0"/>
    <w:rsid w:val="4E031912"/>
    <w:rsid w:val="4E5B4984"/>
    <w:rsid w:val="4E65437B"/>
    <w:rsid w:val="4FE85264"/>
    <w:rsid w:val="504F0E3F"/>
    <w:rsid w:val="506643DA"/>
    <w:rsid w:val="51B3364F"/>
    <w:rsid w:val="5233653E"/>
    <w:rsid w:val="528C74F9"/>
    <w:rsid w:val="52D012AE"/>
    <w:rsid w:val="53FF6904"/>
    <w:rsid w:val="545C1D7C"/>
    <w:rsid w:val="54B908EF"/>
    <w:rsid w:val="54C067AF"/>
    <w:rsid w:val="54C94F38"/>
    <w:rsid w:val="555D2250"/>
    <w:rsid w:val="55675FB5"/>
    <w:rsid w:val="55825812"/>
    <w:rsid w:val="575907F5"/>
    <w:rsid w:val="575D6537"/>
    <w:rsid w:val="57D165DD"/>
    <w:rsid w:val="584A6390"/>
    <w:rsid w:val="589A7317"/>
    <w:rsid w:val="594A4899"/>
    <w:rsid w:val="5954396A"/>
    <w:rsid w:val="59745DBA"/>
    <w:rsid w:val="5A307F33"/>
    <w:rsid w:val="5A8B33BB"/>
    <w:rsid w:val="5AE26D53"/>
    <w:rsid w:val="5AF30F60"/>
    <w:rsid w:val="5AF34ABD"/>
    <w:rsid w:val="5B490B80"/>
    <w:rsid w:val="5B6A2FD1"/>
    <w:rsid w:val="5BFB631F"/>
    <w:rsid w:val="5C074CC3"/>
    <w:rsid w:val="5C4557EC"/>
    <w:rsid w:val="5C4B3179"/>
    <w:rsid w:val="5CDC1295"/>
    <w:rsid w:val="5CE172C2"/>
    <w:rsid w:val="5CE223C5"/>
    <w:rsid w:val="5D5201C0"/>
    <w:rsid w:val="5D543F38"/>
    <w:rsid w:val="5D5E0FF9"/>
    <w:rsid w:val="5DA622BA"/>
    <w:rsid w:val="5EC92704"/>
    <w:rsid w:val="5ED13367"/>
    <w:rsid w:val="5FE64BF0"/>
    <w:rsid w:val="5FEB2206"/>
    <w:rsid w:val="60116111"/>
    <w:rsid w:val="60343BAD"/>
    <w:rsid w:val="603E2C7E"/>
    <w:rsid w:val="60BF5B6D"/>
    <w:rsid w:val="60D07D7A"/>
    <w:rsid w:val="613F394C"/>
    <w:rsid w:val="61406582"/>
    <w:rsid w:val="616B1851"/>
    <w:rsid w:val="618741B1"/>
    <w:rsid w:val="61CB6793"/>
    <w:rsid w:val="61D218D0"/>
    <w:rsid w:val="62600C89"/>
    <w:rsid w:val="62620EA5"/>
    <w:rsid w:val="629467D8"/>
    <w:rsid w:val="62C84A81"/>
    <w:rsid w:val="62CA6A4B"/>
    <w:rsid w:val="63041F5D"/>
    <w:rsid w:val="630C186C"/>
    <w:rsid w:val="633D721D"/>
    <w:rsid w:val="635705AB"/>
    <w:rsid w:val="638D1F52"/>
    <w:rsid w:val="63E43B3C"/>
    <w:rsid w:val="64175CC0"/>
    <w:rsid w:val="64CE2822"/>
    <w:rsid w:val="64D94D23"/>
    <w:rsid w:val="651A0D5B"/>
    <w:rsid w:val="65410FF9"/>
    <w:rsid w:val="65763C78"/>
    <w:rsid w:val="657A4758"/>
    <w:rsid w:val="65C93340"/>
    <w:rsid w:val="66AB0941"/>
    <w:rsid w:val="67A70AB4"/>
    <w:rsid w:val="67F26C39"/>
    <w:rsid w:val="684D1CB0"/>
    <w:rsid w:val="68C61A62"/>
    <w:rsid w:val="697A077E"/>
    <w:rsid w:val="699658D9"/>
    <w:rsid w:val="6A4D2E13"/>
    <w:rsid w:val="6B1940CB"/>
    <w:rsid w:val="6B1B7E43"/>
    <w:rsid w:val="6B4A697B"/>
    <w:rsid w:val="6B601CFA"/>
    <w:rsid w:val="6BB32772"/>
    <w:rsid w:val="6C1D762E"/>
    <w:rsid w:val="6C262F44"/>
    <w:rsid w:val="6C7C1180"/>
    <w:rsid w:val="6C8B2DA7"/>
    <w:rsid w:val="6CE75F46"/>
    <w:rsid w:val="6D394EF9"/>
    <w:rsid w:val="6D793547"/>
    <w:rsid w:val="6DD16EDF"/>
    <w:rsid w:val="6DD54C21"/>
    <w:rsid w:val="6E494CC8"/>
    <w:rsid w:val="6E5D69C5"/>
    <w:rsid w:val="6E645FA5"/>
    <w:rsid w:val="6EED7D49"/>
    <w:rsid w:val="6EF015E7"/>
    <w:rsid w:val="6FF05370"/>
    <w:rsid w:val="70333E81"/>
    <w:rsid w:val="71412EFE"/>
    <w:rsid w:val="7216423E"/>
    <w:rsid w:val="72873462"/>
    <w:rsid w:val="729A3D44"/>
    <w:rsid w:val="72B03567"/>
    <w:rsid w:val="733E6DC5"/>
    <w:rsid w:val="736E51D0"/>
    <w:rsid w:val="745873B8"/>
    <w:rsid w:val="745919DD"/>
    <w:rsid w:val="74653176"/>
    <w:rsid w:val="746A5998"/>
    <w:rsid w:val="748322FD"/>
    <w:rsid w:val="748702F8"/>
    <w:rsid w:val="74894EF3"/>
    <w:rsid w:val="74DD43BC"/>
    <w:rsid w:val="75466405"/>
    <w:rsid w:val="758546AA"/>
    <w:rsid w:val="75954C96"/>
    <w:rsid w:val="75A924F0"/>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53290"/>
    <w:rsid w:val="7A1F4AEE"/>
    <w:rsid w:val="7ACC115A"/>
    <w:rsid w:val="7ACC2F08"/>
    <w:rsid w:val="7B05466C"/>
    <w:rsid w:val="7B2745E3"/>
    <w:rsid w:val="7B4C4049"/>
    <w:rsid w:val="7B607AF4"/>
    <w:rsid w:val="7B784E3E"/>
    <w:rsid w:val="7BB73BB8"/>
    <w:rsid w:val="7C1D1542"/>
    <w:rsid w:val="7CBE2D25"/>
    <w:rsid w:val="7D1411D0"/>
    <w:rsid w:val="7DCE343B"/>
    <w:rsid w:val="7DD32800"/>
    <w:rsid w:val="7E002EC9"/>
    <w:rsid w:val="7E290672"/>
    <w:rsid w:val="7E5A4CCF"/>
    <w:rsid w:val="7EC87E8B"/>
    <w:rsid w:val="7ECF6BAF"/>
    <w:rsid w:val="7F517E80"/>
    <w:rsid w:val="7F7B6CAB"/>
    <w:rsid w:val="7F800765"/>
    <w:rsid w:val="7FBE69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新正文"/>
    <w:basedOn w:val="1"/>
    <w:qFormat/>
    <w:uiPriority w:val="99"/>
    <w:pPr>
      <w:spacing w:line="610" w:lineRule="exact"/>
      <w:ind w:firstLine="880" w:firstLineChars="200"/>
    </w:pPr>
    <w:rPr>
      <w:rFonts w:eastAsia="仿宋_GB2312"/>
      <w:sz w:val="32"/>
    </w:rPr>
  </w:style>
  <w:style w:type="paragraph" w:styleId="3">
    <w:name w:val="Body Text"/>
    <w:basedOn w:val="1"/>
    <w:link w:val="14"/>
    <w:qFormat/>
    <w:uiPriority w:val="0"/>
    <w:pPr>
      <w:spacing w:after="120" w:afterLines="0"/>
    </w:pPr>
  </w:style>
  <w:style w:type="paragraph" w:styleId="4">
    <w:name w:val="Balloon Text"/>
    <w:basedOn w:val="1"/>
    <w:link w:val="15"/>
    <w:semiHidden/>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0"/>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unhideWhenUsed/>
    <w:qFormat/>
    <w:uiPriority w:val="99"/>
    <w:rPr>
      <w:color w:val="0000FF"/>
      <w:u w:val="single"/>
    </w:rPr>
  </w:style>
  <w:style w:type="character" w:customStyle="1" w:styleId="14">
    <w:name w:val="正文文本 Char"/>
    <w:link w:val="3"/>
    <w:qFormat/>
    <w:uiPriority w:val="0"/>
    <w:rPr>
      <w:kern w:val="2"/>
      <w:sz w:val="21"/>
      <w:szCs w:val="24"/>
    </w:rPr>
  </w:style>
  <w:style w:type="character" w:customStyle="1" w:styleId="15">
    <w:name w:val="批注框文本 Char"/>
    <w:link w:val="4"/>
    <w:semiHidden/>
    <w:qFormat/>
    <w:uiPriority w:val="99"/>
    <w:rPr>
      <w:kern w:val="2"/>
      <w:sz w:val="18"/>
      <w:szCs w:val="18"/>
    </w:rPr>
  </w:style>
  <w:style w:type="character" w:customStyle="1" w:styleId="16">
    <w:name w:val="页脚 Char"/>
    <w:link w:val="5"/>
    <w:qFormat/>
    <w:uiPriority w:val="99"/>
    <w:rPr>
      <w:kern w:val="2"/>
      <w:sz w:val="18"/>
      <w:szCs w:val="18"/>
    </w:rPr>
  </w:style>
  <w:style w:type="character" w:customStyle="1" w:styleId="17">
    <w:name w:val="页眉 Char"/>
    <w:link w:val="6"/>
    <w:qFormat/>
    <w:uiPriority w:val="99"/>
    <w:rPr>
      <w:kern w:val="2"/>
      <w:sz w:val="18"/>
      <w:szCs w:val="18"/>
    </w:rPr>
  </w:style>
  <w:style w:type="paragraph" w:customStyle="1" w:styleId="18">
    <w:name w:val="表格内容"/>
    <w:basedOn w:val="3"/>
    <w:qFormat/>
    <w:uiPriority w:val="0"/>
    <w:pPr>
      <w:suppressLineNumbers/>
      <w:suppressAutoHyphens/>
      <w:jc w:val="left"/>
    </w:pPr>
    <w:rPr>
      <w:rFonts w:cs="Tahoma"/>
      <w:kern w:val="0"/>
      <w:sz w:val="24"/>
    </w:rPr>
  </w:style>
  <w:style w:type="paragraph" w:styleId="19">
    <w:name w:val="List Paragraph"/>
    <w:basedOn w:val="1"/>
    <w:qFormat/>
    <w:uiPriority w:val="34"/>
    <w:pPr>
      <w:ind w:firstLine="420" w:firstLineChars="200"/>
    </w:pPr>
    <w:rPr>
      <w:rFonts w:ascii="Calibri" w:hAnsi="Calibri" w:eastAsia="宋体" w:cs="Times New Roman"/>
      <w:szCs w:val="22"/>
    </w:rPr>
  </w:style>
  <w:style w:type="paragraph" w:customStyle="1" w:styleId="20">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0</TotalTime>
  <ScaleCrop>false</ScaleCrop>
  <LinksUpToDate>false</LinksUpToDate>
  <CharactersWithSpaces>4480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Administrator</cp:lastModifiedBy>
  <cp:lastPrinted>2021-05-16T11:47:00Z</cp:lastPrinted>
  <dcterms:modified xsi:type="dcterms:W3CDTF">2023-10-05T12:08:40Z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26E1D836DCF54570AE8BEA82FD0371C3_13</vt:lpwstr>
  </property>
</Properties>
</file>