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中国共产党益阳市大通湖区委宣传和统一战线工作部</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numPr>
          <w:ilvl w:val="0"/>
          <w:numId w:val="0"/>
        </w:numPr>
        <w:spacing w:line="600" w:lineRule="exact"/>
        <w:ind w:leftChars="0"/>
        <w:jc w:val="left"/>
        <w:rPr>
          <w:rFonts w:hint="eastAsia" w:eastAsia="楷体_GB2312"/>
          <w:b/>
          <w:sz w:val="32"/>
          <w:szCs w:val="32"/>
          <w:lang w:eastAsia="zh-CN"/>
        </w:rPr>
      </w:pPr>
      <w:r>
        <w:rPr>
          <w:rFonts w:hint="eastAsia" w:eastAsia="楷体_GB2312"/>
          <w:b/>
          <w:sz w:val="32"/>
          <w:szCs w:val="32"/>
          <w:lang w:eastAsia="zh-CN"/>
        </w:rPr>
        <w:t>（</w:t>
      </w:r>
      <w:r>
        <w:rPr>
          <w:rFonts w:hint="eastAsia" w:eastAsia="楷体_GB2312"/>
          <w:b/>
          <w:sz w:val="32"/>
          <w:szCs w:val="32"/>
          <w:lang w:val="en-US" w:eastAsia="zh-CN"/>
        </w:rPr>
        <w:t>一）</w:t>
      </w:r>
      <w:r>
        <w:rPr>
          <w:rFonts w:eastAsia="楷体_GB2312"/>
          <w:b/>
          <w:sz w:val="32"/>
          <w:szCs w:val="32"/>
        </w:rPr>
        <w:t>职能职责</w:t>
      </w:r>
      <w:r>
        <w:rPr>
          <w:rFonts w:hint="eastAsia" w:eastAsia="楷体_GB2312"/>
          <w:b/>
          <w:sz w:val="32"/>
          <w:szCs w:val="32"/>
          <w:lang w:eastAsia="zh-CN"/>
        </w:rPr>
        <w:t>：</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（一）负责意识形态和理论武装工作；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（二）负责宣传、新闻发布、网信等工作；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（三）负责统战、民族宗教、侨务、工商联等工作；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（四）负责文化（农垦文化）、旅游、广电、体育、电影、文化市场管理和行政审批工作；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（五）负责统筹全区新时代文明实践中心的建立及管理工作，负责文明实践活动的组织领导、指挥协调、监督检查、人员培训等工作；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（六）负责文化执法、新闻出版以及精神文明建设等工作；</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eastAsia="zh-CN"/>
        </w:rPr>
        <w:t>（七）完成区委、区管委会、区精神文明建设指导委员会交办的其他任务。</w:t>
      </w:r>
    </w:p>
    <w:p>
      <w:pPr>
        <w:widowControl/>
        <w:numPr>
          <w:ilvl w:val="0"/>
          <w:numId w:val="0"/>
        </w:numPr>
        <w:spacing w:line="600" w:lineRule="exact"/>
        <w:ind w:leftChars="0"/>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val="en-US" w:eastAsia="zh-CN"/>
        </w:rPr>
        <w:t>1.</w:t>
      </w:r>
      <w:r>
        <w:rPr>
          <w:rFonts w:hint="eastAsia" w:eastAsia="楷体_GB2312"/>
          <w:b w:val="0"/>
          <w:bCs/>
          <w:sz w:val="32"/>
          <w:szCs w:val="32"/>
          <w:lang w:eastAsia="zh-CN"/>
        </w:rPr>
        <w:t>内设机构：办公室、宣传网信办、统战办、文旅广体办</w:t>
      </w:r>
    </w:p>
    <w:p>
      <w:pPr>
        <w:widowControl/>
        <w:numPr>
          <w:ilvl w:val="0"/>
          <w:numId w:val="0"/>
        </w:numPr>
        <w:spacing w:line="600" w:lineRule="exact"/>
        <w:ind w:leftChars="0"/>
        <w:jc w:val="left"/>
        <w:rPr>
          <w:rFonts w:hint="eastAsia" w:eastAsia="楷体_GB2312"/>
          <w:b w:val="0"/>
          <w:bCs/>
          <w:sz w:val="32"/>
          <w:szCs w:val="32"/>
          <w:lang w:eastAsia="zh-CN"/>
        </w:rPr>
      </w:pPr>
      <w:r>
        <w:rPr>
          <w:rFonts w:hint="eastAsia" w:eastAsia="楷体_GB2312"/>
          <w:b w:val="0"/>
          <w:bCs/>
          <w:sz w:val="32"/>
          <w:szCs w:val="32"/>
          <w:lang w:val="en-US" w:eastAsia="zh-CN"/>
        </w:rPr>
        <w:t>2.</w:t>
      </w:r>
      <w:r>
        <w:rPr>
          <w:rFonts w:hint="eastAsia" w:eastAsia="楷体_GB2312"/>
          <w:b w:val="0"/>
          <w:bCs/>
          <w:sz w:val="32"/>
          <w:szCs w:val="32"/>
          <w:lang w:eastAsia="zh-CN"/>
        </w:rPr>
        <w:t>其他事项： 大通湖区文化综合行政执法大队，为区委宣传统战部所属副科级公益一类事业单位 ；大通湖区新时代文明实践中心，为区委宣传统战部所属正股级公益一类事业单位。</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hint="eastAsia" w:eastAsia="仿宋_GB2312"/>
          <w:color w:val="auto"/>
          <w:sz w:val="32"/>
          <w:szCs w:val="32"/>
        </w:rPr>
      </w:pPr>
      <w:r>
        <w:rPr>
          <w:rFonts w:hint="eastAsia" w:eastAsia="仿宋_GB2312"/>
          <w:color w:val="auto"/>
          <w:sz w:val="32"/>
          <w:szCs w:val="32"/>
        </w:rPr>
        <w:t>中国共产党益阳市大通湖区委宣传和统一战线工作部只有本级，没有其他二级预算单位。因此，纳入2022年部门预算编制范围的只有中国共产党益阳市大通湖区委宣传和统一战线工作部本级。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343.57</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299.82</w:t>
      </w:r>
      <w:r>
        <w:rPr>
          <w:rFonts w:eastAsia="仿宋_GB2312"/>
          <w:sz w:val="32"/>
          <w:szCs w:val="32"/>
        </w:rPr>
        <w:t>万元。</w:t>
      </w:r>
      <w:r>
        <w:rPr>
          <w:rFonts w:eastAsia="仿宋_GB2312"/>
          <w:b/>
          <w:sz w:val="32"/>
          <w:szCs w:val="32"/>
        </w:rPr>
        <w:t>收入较去年增加</w:t>
      </w:r>
      <w:r>
        <w:rPr>
          <w:rFonts w:hint="eastAsia" w:eastAsia="仿宋_GB2312"/>
          <w:b/>
          <w:sz w:val="32"/>
          <w:szCs w:val="32"/>
          <w:lang w:val="en-US" w:eastAsia="zh-CN"/>
        </w:rPr>
        <w:t>43.75</w:t>
      </w:r>
      <w:r>
        <w:rPr>
          <w:rFonts w:eastAsia="仿宋_GB2312"/>
          <w:b/>
          <w:sz w:val="32"/>
          <w:szCs w:val="32"/>
        </w:rPr>
        <w:t>万元，主要是</w:t>
      </w:r>
      <w:r>
        <w:rPr>
          <w:rFonts w:hint="eastAsia" w:eastAsia="仿宋_GB2312"/>
          <w:b/>
          <w:sz w:val="32"/>
          <w:szCs w:val="32"/>
          <w:lang w:val="en-US" w:eastAsia="zh-CN"/>
        </w:rPr>
        <w:t>项目收入增加</w:t>
      </w:r>
      <w:r>
        <w:rPr>
          <w:rFonts w:eastAsia="仿宋_GB2312"/>
          <w:b/>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343.57</w:t>
      </w:r>
      <w:r>
        <w:rPr>
          <w:rFonts w:eastAsia="仿宋_GB2312"/>
          <w:sz w:val="32"/>
          <w:szCs w:val="32"/>
        </w:rPr>
        <w:t>万元，</w:t>
      </w:r>
      <w:r>
        <w:rPr>
          <w:rFonts w:hint="eastAsia" w:eastAsia="仿宋_GB2312"/>
          <w:sz w:val="32"/>
          <w:szCs w:val="32"/>
        </w:rPr>
        <w:t>其中，一般公共服务支出288.18元，文化旅游体育与传媒支出12.10元,社会保障和就业支出22.71元，医疗健康支出9.71元，住房保障支出10.87元。支出较去年增加43.75元，增福12.73%。主要原因项目支出增加。</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仿宋_GB2312"/>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343.57</w:t>
      </w:r>
      <w:r>
        <w:rPr>
          <w:rFonts w:eastAsia="仿宋_GB2312"/>
          <w:sz w:val="32"/>
          <w:szCs w:val="32"/>
        </w:rPr>
        <w:t>万元，其中，一般公共服务支出</w:t>
      </w:r>
      <w:r>
        <w:rPr>
          <w:rFonts w:hint="eastAsia" w:eastAsia="仿宋_GB2312"/>
          <w:sz w:val="32"/>
          <w:szCs w:val="32"/>
          <w:u w:val="single"/>
          <w:lang w:val="en-US" w:eastAsia="zh-CN"/>
        </w:rPr>
        <w:t>288.18</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85</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文化旅游体育与传媒支出</w:t>
      </w:r>
      <w:r>
        <w:rPr>
          <w:rFonts w:eastAsia="仿宋_GB2312"/>
          <w:sz w:val="32"/>
          <w:szCs w:val="32"/>
        </w:rPr>
        <w:t xml:space="preserve"> </w:t>
      </w:r>
      <w:r>
        <w:rPr>
          <w:rFonts w:hint="eastAsia" w:eastAsia="仿宋_GB2312"/>
          <w:sz w:val="32"/>
          <w:szCs w:val="32"/>
          <w:u w:val="single"/>
          <w:lang w:val="en-US" w:eastAsia="zh-CN"/>
        </w:rPr>
        <w:t>12.1</w:t>
      </w:r>
      <w:r>
        <w:rPr>
          <w:rFonts w:eastAsia="仿宋_GB2312"/>
          <w:sz w:val="32"/>
          <w:szCs w:val="32"/>
          <w:u w:val="single"/>
        </w:rPr>
        <w:t xml:space="preserve"> </w:t>
      </w:r>
      <w:r>
        <w:rPr>
          <w:rFonts w:eastAsia="仿宋_GB2312"/>
          <w:sz w:val="32"/>
          <w:szCs w:val="32"/>
        </w:rPr>
        <w:t>万元，占</w:t>
      </w:r>
      <w:r>
        <w:rPr>
          <w:rFonts w:hint="eastAsia" w:eastAsia="仿宋_GB2312"/>
          <w:sz w:val="32"/>
          <w:szCs w:val="32"/>
          <w:u w:val="single"/>
          <w:lang w:val="en-US" w:eastAsia="zh-CN"/>
        </w:rPr>
        <w:t>4</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社会保障和就业支出</w:t>
      </w:r>
      <w:r>
        <w:rPr>
          <w:rFonts w:hint="eastAsia" w:eastAsia="仿宋_GB2312"/>
          <w:sz w:val="32"/>
          <w:szCs w:val="32"/>
          <w:u w:val="single"/>
          <w:lang w:val="en-US" w:eastAsia="zh-CN"/>
        </w:rPr>
        <w:t>22.71</w:t>
      </w:r>
      <w:r>
        <w:rPr>
          <w:rFonts w:hint="eastAsia" w:eastAsia="仿宋_GB2312"/>
          <w:sz w:val="32"/>
          <w:szCs w:val="32"/>
          <w:lang w:val="en-US" w:eastAsia="zh-CN"/>
        </w:rPr>
        <w:t>万元，占</w:t>
      </w:r>
      <w:r>
        <w:rPr>
          <w:rFonts w:hint="eastAsia" w:eastAsia="仿宋_GB2312"/>
          <w:sz w:val="32"/>
          <w:szCs w:val="32"/>
          <w:u w:val="single"/>
          <w:lang w:val="en-US" w:eastAsia="zh-CN"/>
        </w:rPr>
        <w:t>7</w:t>
      </w:r>
      <w:r>
        <w:rPr>
          <w:rFonts w:hint="eastAsia" w:eastAsia="仿宋_GB2312"/>
          <w:sz w:val="32"/>
          <w:szCs w:val="32"/>
          <w:lang w:val="en-US" w:eastAsia="zh-CN"/>
        </w:rPr>
        <w:t>%；卫生健康支出</w:t>
      </w:r>
      <w:r>
        <w:rPr>
          <w:rFonts w:hint="eastAsia" w:eastAsia="仿宋_GB2312"/>
          <w:sz w:val="32"/>
          <w:szCs w:val="32"/>
          <w:u w:val="single"/>
          <w:lang w:val="en-US" w:eastAsia="zh-CN"/>
        </w:rPr>
        <w:t>9.71</w:t>
      </w:r>
      <w:r>
        <w:rPr>
          <w:rFonts w:hint="eastAsia" w:eastAsia="仿宋_GB2312"/>
          <w:sz w:val="32"/>
          <w:szCs w:val="32"/>
          <w:lang w:val="en-US" w:eastAsia="zh-CN"/>
        </w:rPr>
        <w:t>万元，占</w:t>
      </w:r>
      <w:r>
        <w:rPr>
          <w:rFonts w:hint="eastAsia" w:eastAsia="仿宋_GB2312"/>
          <w:sz w:val="32"/>
          <w:szCs w:val="32"/>
          <w:u w:val="single"/>
          <w:lang w:val="en-US" w:eastAsia="zh-CN"/>
        </w:rPr>
        <w:t>3</w:t>
      </w:r>
      <w:r>
        <w:rPr>
          <w:rFonts w:hint="eastAsia" w:eastAsia="仿宋_GB2312"/>
          <w:sz w:val="32"/>
          <w:szCs w:val="32"/>
          <w:lang w:val="en-US" w:eastAsia="zh-CN"/>
        </w:rPr>
        <w:t>%；住房保障支出</w:t>
      </w:r>
      <w:r>
        <w:rPr>
          <w:rFonts w:hint="eastAsia" w:eastAsia="仿宋_GB2312"/>
          <w:sz w:val="32"/>
          <w:szCs w:val="32"/>
          <w:u w:val="single"/>
          <w:lang w:val="en-US" w:eastAsia="zh-CN"/>
        </w:rPr>
        <w:t>10.87</w:t>
      </w:r>
      <w:r>
        <w:rPr>
          <w:rFonts w:hint="eastAsia" w:eastAsia="仿宋_GB2312"/>
          <w:sz w:val="32"/>
          <w:szCs w:val="32"/>
          <w:lang w:val="en-US" w:eastAsia="zh-CN"/>
        </w:rPr>
        <w:t>万元，占</w:t>
      </w:r>
      <w:r>
        <w:rPr>
          <w:rFonts w:hint="eastAsia" w:eastAsia="仿宋_GB2312"/>
          <w:sz w:val="32"/>
          <w:szCs w:val="32"/>
          <w:u w:val="single"/>
          <w:lang w:val="en-US" w:eastAsia="zh-CN"/>
        </w:rPr>
        <w:t>3</w:t>
      </w:r>
      <w:r>
        <w:rPr>
          <w:rFonts w:hint="eastAsia" w:eastAsia="仿宋_GB2312"/>
          <w:sz w:val="32"/>
          <w:szCs w:val="32"/>
          <w:lang w:val="en-US" w:eastAsia="zh-CN"/>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190.57</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none"/>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153.00</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u w:val="none"/>
        </w:rPr>
        <w:t>其中：</w:t>
      </w:r>
      <w:r>
        <w:rPr>
          <w:rFonts w:hint="eastAsia" w:eastAsia="仿宋_GB2312"/>
          <w:sz w:val="32"/>
          <w:szCs w:val="32"/>
          <w:highlight w:val="none"/>
          <w:u w:val="none"/>
          <w:lang w:val="en-US" w:eastAsia="zh-CN"/>
        </w:rPr>
        <w:t>专项业务</w:t>
      </w:r>
      <w:r>
        <w:rPr>
          <w:rFonts w:hint="eastAsia" w:eastAsia="仿宋_GB2312"/>
          <w:sz w:val="32"/>
          <w:szCs w:val="32"/>
          <w:highlight w:val="none"/>
          <w:u w:val="none"/>
        </w:rPr>
        <w:t>支出</w:t>
      </w:r>
      <w:r>
        <w:rPr>
          <w:rFonts w:hint="eastAsia" w:eastAsia="仿宋_GB2312"/>
          <w:sz w:val="32"/>
          <w:szCs w:val="32"/>
          <w:highlight w:val="none"/>
          <w:u w:val="single"/>
          <w:lang w:val="en-US" w:eastAsia="zh-CN"/>
        </w:rPr>
        <w:t>153</w:t>
      </w:r>
      <w:r>
        <w:rPr>
          <w:rFonts w:hint="eastAsia" w:eastAsia="仿宋_GB2312"/>
          <w:sz w:val="32"/>
          <w:szCs w:val="32"/>
          <w:highlight w:val="none"/>
          <w:u w:val="none"/>
        </w:rPr>
        <w:t>万元，占</w:t>
      </w:r>
      <w:r>
        <w:rPr>
          <w:rFonts w:hint="eastAsia" w:eastAsia="仿宋_GB2312"/>
          <w:sz w:val="32"/>
          <w:szCs w:val="32"/>
          <w:highlight w:val="none"/>
          <w:u w:val="single"/>
        </w:rPr>
        <w:t xml:space="preserve"> </w:t>
      </w:r>
      <w:r>
        <w:rPr>
          <w:rFonts w:hint="eastAsia" w:eastAsia="仿宋_GB2312"/>
          <w:sz w:val="32"/>
          <w:szCs w:val="32"/>
          <w:highlight w:val="none"/>
          <w:u w:val="single"/>
          <w:lang w:val="en-US" w:eastAsia="zh-CN"/>
        </w:rPr>
        <w:t>100</w:t>
      </w:r>
      <w:r>
        <w:rPr>
          <w:rFonts w:hint="eastAsia" w:eastAsia="仿宋_GB2312"/>
          <w:sz w:val="32"/>
          <w:szCs w:val="32"/>
          <w:highlight w:val="none"/>
          <w:u w:val="single"/>
        </w:rPr>
        <w:t xml:space="preserve"> </w:t>
      </w:r>
      <w:r>
        <w:rPr>
          <w:rFonts w:hint="eastAsia" w:eastAsia="仿宋_GB2312"/>
          <w:sz w:val="32"/>
          <w:szCs w:val="32"/>
          <w:highlight w:val="none"/>
          <w:u w:val="none"/>
        </w:rPr>
        <w:t xml:space="preserve"> %</w:t>
      </w:r>
      <w:r>
        <w:rPr>
          <w:rFonts w:eastAsia="仿宋_GB2312"/>
          <w:sz w:val="32"/>
          <w:szCs w:val="32"/>
          <w:highlight w:val="none"/>
        </w:rPr>
        <w:t>，主要用于</w:t>
      </w:r>
      <w:r>
        <w:rPr>
          <w:rFonts w:hint="eastAsia" w:eastAsia="仿宋_GB2312"/>
          <w:sz w:val="32"/>
          <w:szCs w:val="32"/>
          <w:highlight w:val="none"/>
          <w:lang w:val="en-US" w:eastAsia="zh-CN"/>
        </w:rPr>
        <w:t>部门行政开展业务产生的工作经费，包括宣传事务、统战、文旅广体等事务，主要目的是维持机关正常运转</w:t>
      </w:r>
      <w:r>
        <w:rPr>
          <w:rFonts w:eastAsia="仿宋_GB2312"/>
          <w:sz w:val="32"/>
          <w:szCs w:val="32"/>
          <w:highlight w:val="none"/>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eastAsia="zh-CN"/>
        </w:rPr>
      </w:pPr>
      <w:r>
        <w:rPr>
          <w:rFonts w:eastAsia="仿宋_GB2312"/>
          <w:sz w:val="32"/>
          <w:szCs w:val="32"/>
        </w:rPr>
        <w:t>本部门无政府性基金安排的支出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18.5</w:t>
      </w:r>
      <w:r>
        <w:rPr>
          <w:rFonts w:eastAsia="仿宋_GB2312"/>
          <w:sz w:val="32"/>
          <w:szCs w:val="32"/>
        </w:rPr>
        <w:t>万元，比上年预算增加</w:t>
      </w:r>
      <w:r>
        <w:rPr>
          <w:rFonts w:hint="eastAsia" w:eastAsia="仿宋_GB2312"/>
          <w:sz w:val="32"/>
          <w:szCs w:val="32"/>
          <w:lang w:val="en-US" w:eastAsia="zh-CN"/>
        </w:rPr>
        <w:t>2</w:t>
      </w:r>
      <w:r>
        <w:rPr>
          <w:rFonts w:eastAsia="仿宋_GB2312"/>
          <w:sz w:val="32"/>
          <w:szCs w:val="32"/>
        </w:rPr>
        <w:t>万元，上升</w:t>
      </w:r>
      <w:r>
        <w:rPr>
          <w:rFonts w:hint="eastAsia" w:eastAsia="仿宋_GB2312"/>
          <w:sz w:val="32"/>
          <w:szCs w:val="32"/>
          <w:lang w:val="en-US" w:eastAsia="zh-CN"/>
        </w:rPr>
        <w:t>12.12</w:t>
      </w:r>
      <w:r>
        <w:rPr>
          <w:rFonts w:eastAsia="仿宋_GB2312"/>
          <w:sz w:val="32"/>
          <w:szCs w:val="32"/>
        </w:rPr>
        <w:t>%，主要是</w:t>
      </w:r>
      <w:r>
        <w:rPr>
          <w:rFonts w:hint="eastAsia" w:eastAsia="仿宋_GB2312"/>
          <w:sz w:val="32"/>
          <w:szCs w:val="32"/>
          <w:lang w:val="en-US" w:eastAsia="zh-CN"/>
        </w:rPr>
        <w:t>单位实有人数增加</w:t>
      </w:r>
      <w:r>
        <w:rPr>
          <w:rFonts w:eastAsia="仿宋_GB2312"/>
          <w:sz w:val="32"/>
          <w:szCs w:val="32"/>
        </w:rPr>
        <w:t>。</w:t>
      </w:r>
    </w:p>
    <w:p>
      <w:pPr>
        <w:widowControl/>
        <w:spacing w:line="600" w:lineRule="exact"/>
        <w:ind w:firstLine="660"/>
        <w:rPr>
          <w:rFonts w:eastAsia="仿宋_GB2312"/>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23</w:t>
      </w:r>
      <w:r>
        <w:rPr>
          <w:rFonts w:eastAsia="仿宋_GB2312"/>
          <w:sz w:val="32"/>
          <w:szCs w:val="32"/>
        </w:rPr>
        <w:t>万元，其中，公务接待费</w:t>
      </w:r>
      <w:r>
        <w:rPr>
          <w:rFonts w:hint="eastAsia" w:eastAsia="仿宋_GB2312"/>
          <w:sz w:val="32"/>
          <w:szCs w:val="32"/>
          <w:u w:val="single"/>
          <w:lang w:val="en-US" w:eastAsia="zh-CN"/>
        </w:rPr>
        <w:t>14</w:t>
      </w:r>
      <w:r>
        <w:rPr>
          <w:rFonts w:eastAsia="仿宋_GB2312"/>
          <w:sz w:val="32"/>
          <w:szCs w:val="32"/>
        </w:rPr>
        <w:t>万元，</w:t>
      </w:r>
      <w:r>
        <w:rPr>
          <w:rFonts w:hint="eastAsia" w:eastAsia="仿宋_GB2312"/>
          <w:sz w:val="32"/>
          <w:szCs w:val="32"/>
        </w:rPr>
        <w:t>公务用车购置及运行费9万元（其中，公务用车购置费0万元，公务用车运行费9万元），因公出国（境）费0万元。2022年“三公”经费预算较2021年无变化</w:t>
      </w:r>
      <w:r>
        <w:rPr>
          <w:rFonts w:eastAsia="仿宋_GB2312"/>
          <w:sz w:val="32"/>
          <w:szCs w:val="32"/>
        </w:rPr>
        <w:t>，</w:t>
      </w:r>
      <w:r>
        <w:rPr>
          <w:rFonts w:eastAsia="仿宋_GB2312"/>
          <w:sz w:val="32"/>
          <w:szCs w:val="32"/>
          <w:highlight w:val="none"/>
        </w:rPr>
        <w:t>主要是</w:t>
      </w:r>
      <w:r>
        <w:rPr>
          <w:rFonts w:hint="eastAsia" w:eastAsia="仿宋_GB2312"/>
          <w:sz w:val="32"/>
          <w:szCs w:val="32"/>
          <w:highlight w:val="none"/>
          <w:lang w:val="en-US" w:eastAsia="zh-CN"/>
        </w:rPr>
        <w:t>三公经费预决算执行到位，较往年无较大变化。</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kern w:val="0"/>
          <w:sz w:val="32"/>
          <w:szCs w:val="32"/>
          <w:highlight w:val="none"/>
          <w:u w:val="single"/>
          <w:lang w:val="en-US" w:eastAsia="zh-CN"/>
        </w:rPr>
        <w:t>0.5</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w:t>
      </w:r>
      <w:r>
        <w:rPr>
          <w:rFonts w:eastAsia="仿宋_GB2312"/>
          <w:sz w:val="32"/>
          <w:szCs w:val="32"/>
          <w:highlight w:val="none"/>
          <w:u w:val="single"/>
        </w:rPr>
        <w:t xml:space="preserve"> </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50</w:t>
      </w:r>
      <w:r>
        <w:rPr>
          <w:rFonts w:eastAsia="仿宋_GB2312"/>
          <w:sz w:val="32"/>
          <w:szCs w:val="32"/>
          <w:highlight w:val="none"/>
          <w:u w:val="single"/>
        </w:rPr>
        <w:t xml:space="preserve"> </w:t>
      </w:r>
      <w:r>
        <w:rPr>
          <w:rFonts w:eastAsia="仿宋_GB2312"/>
          <w:kern w:val="0"/>
          <w:sz w:val="32"/>
          <w:szCs w:val="32"/>
          <w:highlight w:val="none"/>
        </w:rPr>
        <w:t>人，内容为</w:t>
      </w:r>
      <w:r>
        <w:rPr>
          <w:rFonts w:hint="eastAsia" w:eastAsia="仿宋_GB2312"/>
          <w:sz w:val="32"/>
          <w:szCs w:val="32"/>
          <w:highlight w:val="none"/>
          <w:u w:val="single"/>
          <w:lang w:val="en-US" w:eastAsia="zh-CN"/>
        </w:rPr>
        <w:t>宣传网信以及统战的工作推进会议</w:t>
      </w:r>
      <w:r>
        <w:rPr>
          <w:rFonts w:eastAsia="仿宋_GB2312"/>
          <w:kern w:val="0"/>
          <w:sz w:val="32"/>
          <w:szCs w:val="32"/>
          <w:highlight w:val="none"/>
        </w:rPr>
        <w:t>；培训费预算</w:t>
      </w:r>
      <w:r>
        <w:rPr>
          <w:rFonts w:hint="eastAsia" w:eastAsia="仿宋_GB2312"/>
          <w:sz w:val="32"/>
          <w:szCs w:val="32"/>
          <w:highlight w:val="none"/>
          <w:u w:val="single"/>
          <w:lang w:val="en-US" w:eastAsia="zh-CN"/>
        </w:rPr>
        <w:t>2</w:t>
      </w:r>
      <w:r>
        <w:rPr>
          <w:rFonts w:eastAsia="仿宋_GB2312"/>
          <w:kern w:val="0"/>
          <w:sz w:val="32"/>
          <w:szCs w:val="32"/>
          <w:highlight w:val="none"/>
        </w:rPr>
        <w:t>万元，拟开展</w:t>
      </w:r>
      <w:r>
        <w:rPr>
          <w:rFonts w:hint="eastAsia" w:eastAsia="仿宋_GB2312"/>
          <w:sz w:val="32"/>
          <w:szCs w:val="32"/>
          <w:highlight w:val="none"/>
          <w:u w:val="single"/>
          <w:lang w:val="en-US" w:eastAsia="zh-CN"/>
        </w:rPr>
        <w:t>1</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150</w:t>
      </w:r>
      <w:r>
        <w:rPr>
          <w:rFonts w:eastAsia="仿宋_GB2312"/>
          <w:kern w:val="0"/>
          <w:sz w:val="32"/>
          <w:szCs w:val="32"/>
          <w:highlight w:val="none"/>
        </w:rPr>
        <w:t>人，内容为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宣传网信业务培训</w:t>
      </w:r>
      <w:r>
        <w:rPr>
          <w:rFonts w:eastAsia="仿宋_GB2312"/>
          <w:sz w:val="32"/>
          <w:szCs w:val="32"/>
          <w:highlight w:val="none"/>
          <w:u w:val="single"/>
        </w:rPr>
        <w:t xml:space="preserve"> </w:t>
      </w:r>
      <w:r>
        <w:rPr>
          <w:rFonts w:eastAsia="仿宋_GB2312"/>
          <w:kern w:val="0"/>
          <w:sz w:val="32"/>
          <w:szCs w:val="32"/>
          <w:highlight w:val="none"/>
        </w:rPr>
        <w:t>。</w:t>
      </w:r>
    </w:p>
    <w:p>
      <w:pPr>
        <w:widowControl/>
        <w:spacing w:line="600" w:lineRule="exact"/>
        <w:ind w:firstLine="660"/>
        <w:rPr>
          <w:rFonts w:hint="eastAsia" w:eastAsia="仿宋_GB2312"/>
          <w:color w:val="FF0000"/>
          <w:sz w:val="32"/>
          <w:szCs w:val="32"/>
        </w:rPr>
      </w:pPr>
      <w:r>
        <w:rPr>
          <w:rFonts w:eastAsia="楷体_GB2312"/>
          <w:b/>
          <w:sz w:val="32"/>
          <w:szCs w:val="32"/>
        </w:rPr>
        <w:t>（四）政府采购情况：</w:t>
      </w:r>
      <w:r>
        <w:rPr>
          <w:rFonts w:hint="eastAsia" w:eastAsia="仿宋_GB2312"/>
          <w:sz w:val="32"/>
          <w:szCs w:val="32"/>
        </w:rPr>
        <w:t>2022年本部门政府采购预算总额0万元，其中，货物类采购预算0万元；工程类采购预算0万元；服务类采购预算0万元。</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bookmarkStart w:id="0" w:name="_GoBack"/>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u w:val="single"/>
          <w:lang w:val="en-US" w:eastAsia="zh-CN"/>
        </w:rPr>
        <w:t>343.57</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lang w:val="en-US" w:eastAsia="zh-CN"/>
        </w:rPr>
        <w:t>190.57</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153</w:t>
      </w:r>
      <w:r>
        <w:rPr>
          <w:rFonts w:hint="eastAsia" w:eastAsia="仿宋_GB2312"/>
          <w:bCs/>
          <w:kern w:val="0"/>
          <w:sz w:val="32"/>
          <w:szCs w:val="32"/>
          <w:highlight w:val="none"/>
        </w:rPr>
        <w:t>万元，重点项目（专项）支出</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bookmarkEnd w:id="0"/>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hint="eastAsia" w:eastAsia="仿宋_GB2312"/>
          <w:color w:val="FF0000"/>
          <w:sz w:val="32"/>
          <w:szCs w:val="32"/>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sectPr>
      <w:headerReference r:id="rId4" w:type="first"/>
      <w:footerReference r:id="rId6" w:type="first"/>
      <w:headerReference r:id="rId3" w:type="default"/>
      <w:footerReference r:id="rId5"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iODFjNDJmM2MyOTVlOTQyNTliMTQwNTUzZTQwNjA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9176F3"/>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0D95363"/>
    <w:rsid w:val="51B3364F"/>
    <w:rsid w:val="5233653E"/>
    <w:rsid w:val="528C74F9"/>
    <w:rsid w:val="53FF6904"/>
    <w:rsid w:val="545C1D7C"/>
    <w:rsid w:val="55675FB5"/>
    <w:rsid w:val="55825812"/>
    <w:rsid w:val="575907F5"/>
    <w:rsid w:val="57D165DD"/>
    <w:rsid w:val="59191834"/>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5B91A1E"/>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link w:val="11"/>
    <w:uiPriority w:val="0"/>
    <w:pPr>
      <w:spacing w:after="120" w:afterLines="0"/>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uiPriority w:val="0"/>
  </w:style>
  <w:style w:type="character" w:customStyle="1" w:styleId="11">
    <w:name w:val="正文文本 Char"/>
    <w:link w:val="2"/>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uiPriority w:val="99"/>
    <w:rPr>
      <w:kern w:val="2"/>
      <w:sz w:val="18"/>
      <w:szCs w:val="18"/>
    </w:rPr>
  </w:style>
  <w:style w:type="paragraph" w:customStyle="1" w:styleId="15">
    <w:name w:val="表格内容"/>
    <w:basedOn w:val="2"/>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58</TotalTime>
  <ScaleCrop>false</ScaleCrop>
  <LinksUpToDate>false</LinksUpToDate>
  <CharactersWithSpaces>4480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2023-10-01T13:07:12Z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2997C2ECCB6949768AA0CAF4217EC267_13</vt:lpwstr>
  </property>
</Properties>
</file>