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益阳市大通湖区教育和卫生健康局</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黑体"/>
          <w:bCs/>
          <w:kern w:val="0"/>
          <w:sz w:val="32"/>
          <w:szCs w:val="32"/>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贯彻执行国家、省、市有关教育工作、国民健康政策及国家卫生健康法律法规，拟订全区教育改革与发展和卫生健康战略、政策和规划，并组织实施。</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指导各级各类学校的教育教学改革，负责教育基本信息的统计、分析和发布，指导全区教育信息化建设与应用。负责义务教育的宏观指导与协调，推进义务教育均衡发展，促进教育公平；指导普通高中教育、幼儿教育和特殊教育工作，推动素质教育的全面实施；负责管理和指导全区社会力量办学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统筹管理各类学历教育的招生考试和学籍、学历工作；落实中央和省、市有关普通高等学校招生考试、成人高等学校招生考试工作。负责教育人才交流的管理与服务工作。统筹规划和指导全区教师队伍建设。主管教师的职称评聘工作。指导推广普通话和规范汉字及普通话师资培训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负责全区教育、教学研究工作，负责教育教学的质量评估工作。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协调推进全区深化医药卫生体制改革。负责食源性疾病及与食品安全事故有关的流行病学调查。制定医疗机构、医疗服务行业管理办法并监督实施，建立医疗服务评价和监督管理体系；组织实施医疗服务规范、标准和卫生健康专业技术人员执业规则、服务规范。指导全区卫生健康工作，指导基层医疗卫生、妇幼健康服务体系建设，加强全科医生队伍建设；负责全区健康教育、健康促进和卫生健康信息化建设等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制定并组织落实全区疾病预防控制规划、免疫规划以及严重危害人民健康公共卫生问题的干预措施；负责卫生应急工作，组织指导突发公共卫生事件的预防控制和各类突发公共事件的医疗救援。协调开展职业病防治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负责职责范围内的职业卫生、放射卫生、环境卫生、学校卫生、公共场所卫生、饮用水卫生等公共卫生的监督管理。</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负责计划生育管理和服务工作，研究提出人口与家庭发展相关政策建议。组织拟订并协调落实应对老龄化的政策措施；组织拟订医养结合的政策、标准和规范，建立和完善老年健康服务体系。</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负责重要来宾、重要会议与重大活动的医疗卫生保障工作，指导全区保健工作。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承担区计划生育协会、红十字会等社会团体组织的日常工作。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完成区委、区管委会交办的其他任务。</w:t>
      </w:r>
    </w:p>
    <w:p>
      <w:pPr>
        <w:widowControl/>
        <w:spacing w:line="600" w:lineRule="exact"/>
        <w:ind w:firstLine="630" w:firstLineChars="196"/>
        <w:jc w:val="left"/>
        <w:rPr>
          <w:rFonts w:hint="eastAsia" w:eastAsia="楷体_GB2312"/>
          <w:b w:val="0"/>
          <w:bCs/>
          <w:sz w:val="32"/>
          <w:szCs w:val="32"/>
          <w:lang w:eastAsia="zh-CN"/>
        </w:rPr>
      </w:pPr>
      <w:r>
        <w:rPr>
          <w:rFonts w:eastAsia="楷体_GB2312"/>
          <w:b/>
          <w:sz w:val="32"/>
          <w:szCs w:val="32"/>
        </w:rPr>
        <w:t>（二）机构设置</w:t>
      </w:r>
      <w:r>
        <w:rPr>
          <w:rFonts w:hint="eastAsia" w:eastAsia="楷体_GB2312"/>
          <w:b/>
          <w:sz w:val="32"/>
          <w:szCs w:val="32"/>
          <w:lang w:eastAsia="zh-CN"/>
        </w:rPr>
        <w:t>：</w:t>
      </w:r>
      <w:r>
        <w:rPr>
          <w:rFonts w:hint="eastAsia" w:eastAsia="楷体_GB2312"/>
          <w:b w:val="0"/>
          <w:bCs/>
          <w:sz w:val="32"/>
          <w:szCs w:val="32"/>
          <w:lang w:eastAsia="zh-CN"/>
        </w:rPr>
        <w:t>本单位内设办公室、党建人事股（局团工委）、教育股（学生资助办、教育史志办）、安管基建股（综治办、校车管理办）、基卫医改规划信息股（医政医管办）、人口监测与家庭发展股、计划财务股、教师医师工作股（区招生办、区电大办）。</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rPr>
          <w:rFonts w:hint="default" w:eastAsia="仿宋_GB2312"/>
          <w:color w:val="auto"/>
          <w:sz w:val="32"/>
          <w:szCs w:val="32"/>
          <w:lang w:val="en-US" w:eastAsia="zh-CN"/>
        </w:rPr>
      </w:pPr>
      <w:r>
        <w:rPr>
          <w:rFonts w:hint="eastAsia" w:eastAsia="仿宋_GB2312"/>
          <w:color w:val="auto"/>
          <w:sz w:val="32"/>
          <w:szCs w:val="32"/>
          <w:lang w:val="en-US" w:eastAsia="zh-CN"/>
        </w:rPr>
        <w:t>2022年部门预算包括本级预算和所属单位预算在内的汇总情况，包括：益阳市大通湖区教育和卫生健康局本级、益阳市大通湖区卫生和计生综合监督执法局、益阳市大通湖区妇幼保健计划生育服务中心、益阳市大通湖区疾控中心。</w:t>
      </w:r>
      <w:bookmarkStart w:id="0" w:name="_GoBack"/>
      <w:bookmarkEnd w:id="0"/>
    </w:p>
    <w:p>
      <w:pPr>
        <w:widowControl/>
        <w:spacing w:line="600" w:lineRule="exact"/>
        <w:ind w:firstLine="627" w:firstLineChars="196"/>
        <w:jc w:val="left"/>
        <w:rPr>
          <w:rFonts w:eastAsia="黑体"/>
          <w:bCs/>
          <w:color w:val="auto"/>
          <w:kern w:val="0"/>
          <w:sz w:val="32"/>
          <w:szCs w:val="32"/>
        </w:rPr>
      </w:pPr>
      <w:r>
        <w:rPr>
          <w:rFonts w:eastAsia="黑体"/>
          <w:bCs/>
          <w:color w:val="auto"/>
          <w:kern w:val="0"/>
          <w:sz w:val="32"/>
          <w:szCs w:val="32"/>
        </w:rPr>
        <w:t>三、部门收支总体情况</w:t>
      </w:r>
    </w:p>
    <w:p>
      <w:pPr>
        <w:widowControl/>
        <w:spacing w:line="600" w:lineRule="exact"/>
        <w:ind w:firstLine="630" w:firstLineChars="196"/>
        <w:rPr>
          <w:rFonts w:eastAsia="仿宋_GB2312"/>
          <w:b/>
          <w:color w:val="auto"/>
          <w:sz w:val="32"/>
          <w:szCs w:val="32"/>
          <w:highlight w:val="none"/>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rPr>
        <w:t>1404.95</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1389.95</w:t>
      </w:r>
      <w:r>
        <w:rPr>
          <w:rFonts w:eastAsia="仿宋_GB2312"/>
          <w:sz w:val="32"/>
          <w:szCs w:val="32"/>
        </w:rPr>
        <w:t>万元，</w:t>
      </w:r>
      <w:r>
        <w:rPr>
          <w:rFonts w:hint="eastAsia" w:eastAsia="仿宋_GB2312"/>
          <w:sz w:val="32"/>
          <w:szCs w:val="32"/>
        </w:rPr>
        <w:t>纳入预算管理的非税收入拨款</w:t>
      </w:r>
      <w:r>
        <w:rPr>
          <w:rFonts w:hint="eastAsia" w:eastAsia="仿宋_GB2312"/>
          <w:sz w:val="32"/>
          <w:szCs w:val="32"/>
          <w:u w:val="single"/>
          <w:lang w:val="en-US" w:eastAsia="zh-CN"/>
        </w:rPr>
        <w:t>15</w:t>
      </w:r>
      <w:r>
        <w:rPr>
          <w:rFonts w:eastAsia="仿宋_GB2312"/>
          <w:sz w:val="32"/>
          <w:szCs w:val="32"/>
        </w:rPr>
        <w:t>万元。</w:t>
      </w:r>
      <w:r>
        <w:rPr>
          <w:rFonts w:eastAsia="仿宋_GB2312"/>
          <w:b w:val="0"/>
          <w:bCs/>
          <w:color w:val="auto"/>
          <w:sz w:val="32"/>
          <w:szCs w:val="32"/>
          <w:highlight w:val="none"/>
        </w:rPr>
        <w:t>收入较去年增加</w:t>
      </w:r>
      <w:r>
        <w:rPr>
          <w:rFonts w:eastAsia="仿宋_GB2312"/>
          <w:b w:val="0"/>
          <w:bCs/>
          <w:color w:val="auto"/>
          <w:sz w:val="32"/>
          <w:szCs w:val="32"/>
          <w:highlight w:val="none"/>
          <w:u w:val="single"/>
        </w:rPr>
        <w:t xml:space="preserve"> </w:t>
      </w:r>
      <w:r>
        <w:rPr>
          <w:rFonts w:hint="eastAsia" w:eastAsia="仿宋_GB2312"/>
          <w:b w:val="0"/>
          <w:bCs/>
          <w:color w:val="auto"/>
          <w:sz w:val="32"/>
          <w:szCs w:val="32"/>
          <w:highlight w:val="none"/>
          <w:u w:val="single"/>
          <w:lang w:val="en-US" w:eastAsia="zh-CN"/>
        </w:rPr>
        <w:t>80.44</w:t>
      </w:r>
      <w:r>
        <w:rPr>
          <w:rFonts w:eastAsia="仿宋_GB2312"/>
          <w:b w:val="0"/>
          <w:bCs/>
          <w:color w:val="auto"/>
          <w:sz w:val="32"/>
          <w:szCs w:val="32"/>
          <w:highlight w:val="none"/>
          <w:u w:val="single"/>
        </w:rPr>
        <w:t xml:space="preserve"> </w:t>
      </w:r>
      <w:r>
        <w:rPr>
          <w:rFonts w:eastAsia="仿宋_GB2312"/>
          <w:b w:val="0"/>
          <w:bCs/>
          <w:color w:val="auto"/>
          <w:sz w:val="32"/>
          <w:szCs w:val="32"/>
          <w:highlight w:val="none"/>
        </w:rPr>
        <w:t>万元，主要是</w:t>
      </w:r>
      <w:r>
        <w:rPr>
          <w:rFonts w:hint="eastAsia" w:eastAsia="仿宋_GB2312"/>
          <w:b w:val="0"/>
          <w:bCs/>
          <w:color w:val="auto"/>
          <w:sz w:val="32"/>
          <w:szCs w:val="32"/>
          <w:highlight w:val="none"/>
        </w:rPr>
        <w:t>行政运行（医疗卫生管理事务）增加了60.77万，纳入预算管理的非税收入增加5万。</w:t>
      </w:r>
    </w:p>
    <w:p>
      <w:pPr>
        <w:widowControl/>
        <w:spacing w:line="600" w:lineRule="exact"/>
        <w:ind w:firstLine="630" w:firstLineChars="196"/>
        <w:rPr>
          <w:rFonts w:eastAsia="黑体"/>
          <w:b/>
          <w:bCs/>
          <w:color w:val="FF0000"/>
          <w:kern w:val="0"/>
          <w:sz w:val="32"/>
          <w:szCs w:val="32"/>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1404.95</w:t>
      </w:r>
      <w:r>
        <w:rPr>
          <w:rFonts w:eastAsia="仿宋_GB2312"/>
          <w:sz w:val="32"/>
          <w:szCs w:val="32"/>
        </w:rPr>
        <w:t>万元，</w:t>
      </w:r>
      <w:r>
        <w:rPr>
          <w:rFonts w:hint="eastAsia" w:eastAsia="仿宋_GB2312"/>
          <w:sz w:val="32"/>
          <w:szCs w:val="32"/>
        </w:rPr>
        <w:t>其中，一般公共服务支出 3.00 万元，教育支出 232.41万元，社会保障和就业支出71.67万元，卫生健康支出 1066.13万元，住房保障支出 31.74万元。支出较去年增加190.44 万元，增幅6.07%。主要原因是卫生健康支出较去年增加81.93万。</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highlight w:val="none"/>
        </w:rPr>
      </w:pPr>
      <w:r>
        <w:rPr>
          <w:rFonts w:hint="eastAsia" w:eastAsia="仿宋_GB2312"/>
          <w:sz w:val="32"/>
          <w:szCs w:val="32"/>
          <w:highlight w:val="none"/>
        </w:rPr>
        <w:t>2022</w:t>
      </w:r>
      <w:r>
        <w:rPr>
          <w:rFonts w:eastAsia="仿宋_GB2312"/>
          <w:sz w:val="32"/>
          <w:szCs w:val="32"/>
          <w:highlight w:val="none"/>
        </w:rPr>
        <w:t>年本部门一般公共预算拨款支出预算</w:t>
      </w:r>
      <w:r>
        <w:rPr>
          <w:rFonts w:hint="eastAsia" w:eastAsia="仿宋_GB2312"/>
          <w:sz w:val="32"/>
          <w:szCs w:val="32"/>
          <w:highlight w:val="none"/>
          <w:u w:val="single"/>
          <w:lang w:val="en-US" w:eastAsia="zh-CN"/>
        </w:rPr>
        <w:t>1404.95</w:t>
      </w:r>
      <w:r>
        <w:rPr>
          <w:rFonts w:eastAsia="仿宋_GB2312"/>
          <w:sz w:val="32"/>
          <w:szCs w:val="32"/>
          <w:highlight w:val="none"/>
        </w:rPr>
        <w:t>万元，其中，一般公共服务支出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w:t>
      </w:r>
      <w:r>
        <w:rPr>
          <w:rFonts w:eastAsia="仿宋_GB2312"/>
          <w:sz w:val="32"/>
          <w:szCs w:val="32"/>
          <w:highlight w:val="none"/>
          <w:u w:val="single"/>
        </w:rPr>
        <w:t xml:space="preserve">  </w:t>
      </w:r>
      <w:r>
        <w:rPr>
          <w:rFonts w:eastAsia="仿宋_GB2312"/>
          <w:sz w:val="32"/>
          <w:szCs w:val="32"/>
          <w:highlight w:val="none"/>
        </w:rPr>
        <w:t>万元，占</w:t>
      </w:r>
      <w:r>
        <w:rPr>
          <w:rFonts w:hint="eastAsia" w:eastAsia="仿宋_GB2312"/>
          <w:sz w:val="32"/>
          <w:szCs w:val="32"/>
          <w:highlight w:val="none"/>
          <w:u w:val="single"/>
          <w:lang w:val="en-US" w:eastAsia="zh-CN"/>
        </w:rPr>
        <w:t>0.21</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rPr>
        <w:t>教育</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232.41</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16.54</w:t>
      </w:r>
      <w:r>
        <w:rPr>
          <w:rFonts w:eastAsia="仿宋_GB2312"/>
          <w:sz w:val="32"/>
          <w:szCs w:val="32"/>
          <w:highlight w:val="none"/>
          <w:u w:val="single"/>
        </w:rPr>
        <w:t xml:space="preserve"> </w:t>
      </w:r>
      <w:r>
        <w:rPr>
          <w:rFonts w:eastAsia="仿宋_GB2312"/>
          <w:sz w:val="32"/>
          <w:szCs w:val="32"/>
          <w:highlight w:val="none"/>
        </w:rPr>
        <w:t>%；</w:t>
      </w:r>
      <w:r>
        <w:rPr>
          <w:rFonts w:hint="eastAsia" w:eastAsia="仿宋_GB2312"/>
          <w:sz w:val="32"/>
          <w:szCs w:val="32"/>
          <w:highlight w:val="none"/>
        </w:rPr>
        <w:t>社会保障和就业</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71.67</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5.10</w:t>
      </w:r>
      <w:r>
        <w:rPr>
          <w:rFonts w:eastAsia="仿宋_GB2312"/>
          <w:sz w:val="32"/>
          <w:szCs w:val="32"/>
          <w:highlight w:val="none"/>
          <w:u w:val="single"/>
        </w:rPr>
        <w:t xml:space="preserve"> </w:t>
      </w:r>
      <w:r>
        <w:rPr>
          <w:rFonts w:eastAsia="仿宋_GB2312"/>
          <w:sz w:val="32"/>
          <w:szCs w:val="32"/>
          <w:highlight w:val="none"/>
        </w:rPr>
        <w:t>%；</w:t>
      </w:r>
      <w:r>
        <w:rPr>
          <w:rFonts w:hint="eastAsia" w:eastAsia="仿宋_GB2312"/>
          <w:sz w:val="32"/>
          <w:szCs w:val="32"/>
          <w:highlight w:val="none"/>
        </w:rPr>
        <w:t>卫生健康</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1066.13</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75.88</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rPr>
        <w:t>住房保障</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31.74</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2.27</w:t>
      </w:r>
      <w:r>
        <w:rPr>
          <w:rFonts w:eastAsia="仿宋_GB2312"/>
          <w:sz w:val="32"/>
          <w:szCs w:val="32"/>
          <w:highlight w:val="none"/>
        </w:rPr>
        <w:t xml:space="preserve"> %。具体安排情况如下：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559.22</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highlight w:val="none"/>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845.73</w:t>
      </w:r>
      <w:r>
        <w:rPr>
          <w:rFonts w:eastAsia="仿宋_GB2312"/>
          <w:sz w:val="32"/>
          <w:szCs w:val="32"/>
        </w:rPr>
        <w:t>万元，主要是部门为完成特定行政工作任务或事业发展目标而发生的支出，包括有关事业发展专项、专项业务费、基本建设支出等，</w:t>
      </w:r>
      <w:r>
        <w:rPr>
          <w:rFonts w:eastAsia="仿宋_GB2312"/>
          <w:sz w:val="32"/>
          <w:szCs w:val="32"/>
          <w:highlight w:val="none"/>
        </w:rPr>
        <w:t>其中：</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一</w:t>
      </w:r>
      <w:r>
        <w:rPr>
          <w:rFonts w:hint="eastAsia" w:eastAsia="仿宋_GB2312"/>
          <w:sz w:val="32"/>
          <w:szCs w:val="32"/>
          <w:highlight w:val="none"/>
          <w:u w:val="single"/>
        </w:rPr>
        <w:t>般公共服务</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3.00</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rPr>
        <w:t>招商引资</w:t>
      </w:r>
      <w:r>
        <w:rPr>
          <w:rFonts w:eastAsia="仿宋_GB2312"/>
          <w:sz w:val="32"/>
          <w:szCs w:val="32"/>
          <w:highlight w:val="none"/>
        </w:rPr>
        <w:t>等方面；</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教育</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16.13</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rPr>
        <w:t>教育管理事务</w:t>
      </w:r>
      <w:r>
        <w:rPr>
          <w:rFonts w:eastAsia="仿宋_GB2312"/>
          <w:sz w:val="32"/>
          <w:szCs w:val="32"/>
          <w:highlight w:val="none"/>
        </w:rPr>
        <w:t>等方面；</w:t>
      </w:r>
      <w:r>
        <w:rPr>
          <w:rFonts w:hint="eastAsia" w:eastAsia="仿宋_GB2312"/>
          <w:sz w:val="32"/>
          <w:szCs w:val="32"/>
          <w:highlight w:val="none"/>
          <w:u w:val="single"/>
        </w:rPr>
        <w:t>社会保障和就业支出</w:t>
      </w:r>
      <w:r>
        <w:rPr>
          <w:rFonts w:eastAsia="仿宋_GB2312"/>
          <w:sz w:val="32"/>
          <w:szCs w:val="32"/>
          <w:highlight w:val="none"/>
          <w:u w:val="single"/>
        </w:rPr>
        <w:t xml:space="preserve"> </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4.50</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lang w:val="en-US" w:eastAsia="zh-CN"/>
        </w:rPr>
        <w:t>红十字事业</w:t>
      </w:r>
      <w:r>
        <w:rPr>
          <w:rFonts w:eastAsia="仿宋_GB2312"/>
          <w:sz w:val="32"/>
          <w:szCs w:val="32"/>
          <w:highlight w:val="none"/>
        </w:rPr>
        <w:t>等方面；</w:t>
      </w:r>
      <w:r>
        <w:rPr>
          <w:rFonts w:eastAsia="仿宋_GB2312"/>
          <w:sz w:val="32"/>
          <w:szCs w:val="32"/>
          <w:highlight w:val="none"/>
          <w:u w:val="single"/>
        </w:rPr>
        <w:t xml:space="preserve"> </w:t>
      </w:r>
      <w:r>
        <w:rPr>
          <w:rFonts w:hint="eastAsia" w:eastAsia="仿宋_GB2312"/>
          <w:sz w:val="32"/>
          <w:szCs w:val="32"/>
          <w:highlight w:val="none"/>
          <w:u w:val="single"/>
        </w:rPr>
        <w:t>卫生健康</w:t>
      </w:r>
      <w:r>
        <w:rPr>
          <w:rFonts w:eastAsia="仿宋_GB2312"/>
          <w:sz w:val="32"/>
          <w:szCs w:val="32"/>
          <w:highlight w:val="none"/>
          <w:u w:val="single"/>
        </w:rPr>
        <w:t xml:space="preserve">  </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822.10</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lang w:val="en-US" w:eastAsia="zh-CN"/>
        </w:rPr>
        <w:t>计划生育专项及基本公共卫生服务</w:t>
      </w:r>
      <w:r>
        <w:rPr>
          <w:rFonts w:eastAsia="仿宋_GB2312"/>
          <w:sz w:val="32"/>
          <w:szCs w:val="32"/>
          <w:highlight w:val="none"/>
        </w:rPr>
        <w:t>等方面。</w:t>
      </w:r>
    </w:p>
    <w:p>
      <w:pPr>
        <w:widowControl/>
        <w:spacing w:line="600" w:lineRule="exact"/>
        <w:ind w:firstLine="660"/>
        <w:jc w:val="left"/>
        <w:rPr>
          <w:rFonts w:eastAsia="黑体"/>
          <w:sz w:val="32"/>
          <w:szCs w:val="32"/>
          <w:highlight w:val="none"/>
        </w:rPr>
      </w:pPr>
      <w:r>
        <w:rPr>
          <w:rFonts w:eastAsia="黑体"/>
          <w:sz w:val="32"/>
          <w:szCs w:val="32"/>
          <w:highlight w:val="none"/>
        </w:rPr>
        <w:t>五、政府性基金预算支出</w:t>
      </w:r>
    </w:p>
    <w:p>
      <w:pPr>
        <w:widowControl/>
        <w:spacing w:line="600" w:lineRule="exact"/>
        <w:ind w:firstLine="660"/>
        <w:jc w:val="left"/>
        <w:rPr>
          <w:rFonts w:eastAsia="仿宋_GB2312"/>
          <w:b/>
          <w:color w:val="auto"/>
          <w:sz w:val="32"/>
          <w:szCs w:val="32"/>
        </w:rPr>
      </w:pPr>
      <w:r>
        <w:rPr>
          <w:rFonts w:eastAsia="仿宋_GB2312"/>
          <w:b/>
          <w:color w:val="auto"/>
          <w:sz w:val="32"/>
          <w:szCs w:val="32"/>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rPr>
        <w:t>67.83</w:t>
      </w:r>
      <w:r>
        <w:rPr>
          <w:rFonts w:eastAsia="仿宋_GB2312"/>
          <w:sz w:val="32"/>
          <w:szCs w:val="32"/>
        </w:rPr>
        <w:t>万元，</w:t>
      </w:r>
      <w:r>
        <w:rPr>
          <w:rFonts w:eastAsia="仿宋_GB2312"/>
          <w:sz w:val="32"/>
          <w:szCs w:val="32"/>
          <w:highlight w:val="none"/>
        </w:rPr>
        <w:t>比上年预算增加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43.83</w:t>
      </w:r>
      <w:r>
        <w:rPr>
          <w:rFonts w:eastAsia="仿宋_GB2312"/>
          <w:sz w:val="32"/>
          <w:szCs w:val="32"/>
          <w:highlight w:val="none"/>
        </w:rPr>
        <w:t>万元，上升</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182.625</w:t>
      </w:r>
      <w:r>
        <w:rPr>
          <w:rFonts w:eastAsia="仿宋_GB2312"/>
          <w:sz w:val="32"/>
          <w:szCs w:val="32"/>
          <w:highlight w:val="none"/>
          <w:u w:val="single"/>
        </w:rPr>
        <w:t xml:space="preserve"> </w:t>
      </w:r>
      <w:r>
        <w:rPr>
          <w:rFonts w:eastAsia="仿宋_GB2312"/>
          <w:sz w:val="32"/>
          <w:szCs w:val="32"/>
          <w:highlight w:val="none"/>
        </w:rPr>
        <w:t>%，主要是</w:t>
      </w:r>
      <w:r>
        <w:rPr>
          <w:rFonts w:hint="eastAsia" w:eastAsia="仿宋_GB2312"/>
          <w:sz w:val="32"/>
          <w:szCs w:val="32"/>
          <w:highlight w:val="none"/>
          <w:lang w:val="en-US" w:eastAsia="zh-CN"/>
        </w:rPr>
        <w:t>机构改革，支出结构调整</w:t>
      </w:r>
      <w:r>
        <w:rPr>
          <w:rFonts w:eastAsia="仿宋_GB2312"/>
          <w:sz w:val="32"/>
          <w:szCs w:val="32"/>
          <w:highlight w:val="none"/>
        </w:rPr>
        <w:t>。</w:t>
      </w:r>
    </w:p>
    <w:p>
      <w:pPr>
        <w:widowControl/>
        <w:spacing w:line="600" w:lineRule="exact"/>
        <w:ind w:firstLine="660"/>
        <w:rPr>
          <w:rFonts w:eastAsia="仿宋_GB2312"/>
          <w:b/>
          <w:bCs/>
          <w:color w:val="FF0000"/>
          <w:sz w:val="32"/>
          <w:szCs w:val="32"/>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14.1</w:t>
      </w:r>
      <w:r>
        <w:rPr>
          <w:rFonts w:eastAsia="仿宋_GB2312"/>
          <w:sz w:val="32"/>
          <w:szCs w:val="32"/>
        </w:rPr>
        <w:t>万元，其中，公务接待费</w:t>
      </w:r>
      <w:r>
        <w:rPr>
          <w:rFonts w:hint="eastAsia" w:eastAsia="仿宋_GB2312"/>
          <w:sz w:val="32"/>
          <w:szCs w:val="32"/>
          <w:u w:val="single"/>
          <w:lang w:val="en-US" w:eastAsia="zh-CN"/>
        </w:rPr>
        <w:t>10</w:t>
      </w:r>
      <w:r>
        <w:rPr>
          <w:rFonts w:eastAsia="仿宋_GB2312"/>
          <w:sz w:val="32"/>
          <w:szCs w:val="32"/>
        </w:rPr>
        <w:t>万元，</w:t>
      </w:r>
      <w:r>
        <w:rPr>
          <w:rFonts w:hint="eastAsia" w:eastAsia="仿宋_GB2312"/>
          <w:sz w:val="32"/>
          <w:szCs w:val="32"/>
        </w:rPr>
        <w:t>公务用车购置及运行维护费4.1万元（其中，公务用车购置费 0万元，公务用车运行费维护费4.1万元），因公出国（境）费0 万元。2022年“三公”经费预算较2021年减少9.9万元，降幅41.25%。主要原因是继续贯彻厉行节约减少开支，压减“三公”经费，公务接待费、公务用车运行维护费。</w:t>
      </w:r>
    </w:p>
    <w:p>
      <w:pPr>
        <w:widowControl/>
        <w:spacing w:line="600" w:lineRule="exact"/>
        <w:ind w:firstLine="660"/>
        <w:rPr>
          <w:rFonts w:eastAsia="仿宋_GB2312"/>
          <w:kern w:val="0"/>
          <w:sz w:val="32"/>
          <w:szCs w:val="32"/>
        </w:rPr>
      </w:pPr>
      <w:r>
        <w:rPr>
          <w:rFonts w:eastAsia="楷体_GB2312"/>
          <w:b/>
          <w:sz w:val="32"/>
          <w:szCs w:val="32"/>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万元，拟召开</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次</w:t>
      </w:r>
      <w:r>
        <w:rPr>
          <w:rFonts w:eastAsia="仿宋_GB2312"/>
          <w:kern w:val="0"/>
          <w:sz w:val="32"/>
          <w:szCs w:val="32"/>
          <w:highlight w:val="none"/>
        </w:rPr>
        <w:t>会议，人数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人，</w:t>
      </w:r>
      <w:r>
        <w:rPr>
          <w:rFonts w:hint="eastAsia" w:eastAsia="仿宋_GB2312"/>
          <w:kern w:val="0"/>
          <w:sz w:val="32"/>
          <w:szCs w:val="32"/>
          <w:highlight w:val="none"/>
          <w:lang w:val="en-US" w:eastAsia="zh-CN"/>
        </w:rPr>
        <w:t>无内容</w:t>
      </w:r>
      <w:r>
        <w:rPr>
          <w:rFonts w:eastAsia="仿宋_GB2312"/>
          <w:kern w:val="0"/>
          <w:sz w:val="32"/>
          <w:szCs w:val="32"/>
          <w:highlight w:val="none"/>
        </w:rPr>
        <w:t>；培训费预算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万元，拟开展</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次</w:t>
      </w:r>
      <w:r>
        <w:rPr>
          <w:rFonts w:eastAsia="仿宋_GB2312"/>
          <w:kern w:val="0"/>
          <w:sz w:val="32"/>
          <w:szCs w:val="32"/>
          <w:highlight w:val="none"/>
        </w:rPr>
        <w:t>培训，人数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人，</w:t>
      </w:r>
      <w:r>
        <w:rPr>
          <w:rFonts w:hint="eastAsia" w:eastAsia="仿宋_GB2312"/>
          <w:kern w:val="0"/>
          <w:sz w:val="32"/>
          <w:szCs w:val="32"/>
          <w:highlight w:val="none"/>
          <w:lang w:val="en-US" w:eastAsia="zh-CN"/>
        </w:rPr>
        <w:t>无内容</w:t>
      </w:r>
      <w:r>
        <w:rPr>
          <w:rFonts w:eastAsia="仿宋_GB2312"/>
          <w:kern w:val="0"/>
          <w:sz w:val="32"/>
          <w:szCs w:val="32"/>
          <w:highlight w:val="none"/>
        </w:rPr>
        <w:t>；拟举办</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次</w:t>
      </w:r>
      <w:r>
        <w:rPr>
          <w:rFonts w:eastAsia="仿宋_GB2312"/>
          <w:kern w:val="0"/>
          <w:sz w:val="32"/>
          <w:szCs w:val="32"/>
          <w:highlight w:val="none"/>
        </w:rPr>
        <w:t xml:space="preserve">等节庆、晚会、论坛、赛事活动，经费预算 </w:t>
      </w:r>
      <w:r>
        <w:rPr>
          <w:rFonts w:hint="eastAsia" w:eastAsia="仿宋_GB2312"/>
          <w:kern w:val="0"/>
          <w:sz w:val="32"/>
          <w:szCs w:val="32"/>
          <w:highlight w:val="none"/>
          <w:lang w:val="en-US" w:eastAsia="zh-CN"/>
        </w:rPr>
        <w:t>0</w:t>
      </w:r>
      <w:r>
        <w:rPr>
          <w:rFonts w:eastAsia="仿宋_GB2312"/>
          <w:kern w:val="0"/>
          <w:sz w:val="32"/>
          <w:szCs w:val="32"/>
          <w:highlight w:val="none"/>
        </w:rPr>
        <w:t>万元。</w:t>
      </w:r>
    </w:p>
    <w:p>
      <w:pPr>
        <w:widowControl/>
        <w:spacing w:line="600" w:lineRule="exact"/>
        <w:ind w:firstLine="660"/>
        <w:rPr>
          <w:rFonts w:eastAsia="仿宋_GB2312"/>
          <w:color w:val="FF0000"/>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w:t>
      </w:r>
      <w:r>
        <w:rPr>
          <w:rFonts w:hint="eastAsia" w:eastAsia="仿宋_GB2312"/>
          <w:sz w:val="32"/>
          <w:szCs w:val="32"/>
        </w:rPr>
        <w:t>预算总额0万元，其中，货物类采购预算0万元；工程类采购预算0万元；服务类采购预算0万元。</w:t>
      </w:r>
    </w:p>
    <w:p>
      <w:pPr>
        <w:widowControl/>
        <w:spacing w:line="600" w:lineRule="exact"/>
        <w:ind w:firstLine="643" w:firstLineChars="200"/>
        <w:jc w:val="left"/>
        <w:rPr>
          <w:rFonts w:hint="eastAsia" w:eastAsia="仿宋_GB2312"/>
          <w:color w:val="FF0000"/>
          <w:sz w:val="32"/>
          <w:szCs w:val="32"/>
        </w:rPr>
      </w:pPr>
      <w:r>
        <w:rPr>
          <w:rFonts w:eastAsia="楷体_GB2312"/>
          <w:b/>
          <w:sz w:val="32"/>
          <w:szCs w:val="32"/>
        </w:rPr>
        <w:t>（五）国有资产占用使用及新增资产配置情况：</w:t>
      </w:r>
      <w:r>
        <w:rPr>
          <w:rFonts w:hint="eastAsia" w:eastAsia="仿宋_GB2312"/>
          <w:sz w:val="32"/>
          <w:szCs w:val="32"/>
        </w:rPr>
        <w:t>截至2021年12月底，本部门共有公务用车</w:t>
      </w:r>
      <w:r>
        <w:rPr>
          <w:rFonts w:hint="eastAsia" w:eastAsia="仿宋_GB2312"/>
          <w:sz w:val="32"/>
          <w:szCs w:val="32"/>
          <w:lang w:val="en-US" w:eastAsia="zh-CN"/>
        </w:rPr>
        <w:t>2</w:t>
      </w:r>
      <w:r>
        <w:rPr>
          <w:rFonts w:hint="eastAsia" w:eastAsia="仿宋_GB2312"/>
          <w:sz w:val="32"/>
          <w:szCs w:val="32"/>
        </w:rPr>
        <w:t>辆，其中，机要通信用车1辆，应急保障用车1辆，执法执勤用车0辆，特种专业技术用车0辆，其他按照规定配备的公务用车0辆；单位价值50万元以上通用设备0台，单位价值100万元以上专用设备0台。2022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widowControl/>
        <w:spacing w:line="600" w:lineRule="exact"/>
        <w:ind w:firstLine="660"/>
        <w:jc w:val="left"/>
        <w:rPr>
          <w:rFonts w:hint="eastAsia" w:eastAsia="楷体_GB2312"/>
          <w:b/>
          <w:bCs/>
          <w:kern w:val="0"/>
          <w:sz w:val="32"/>
          <w:szCs w:val="32"/>
          <w:highlight w:val="none"/>
        </w:rPr>
      </w:pPr>
      <w:r>
        <w:rPr>
          <w:rFonts w:eastAsia="楷体_GB2312"/>
          <w:b/>
          <w:bCs/>
          <w:kern w:val="0"/>
          <w:sz w:val="32"/>
          <w:szCs w:val="32"/>
        </w:rPr>
        <w:t>（六）</w:t>
      </w:r>
      <w:r>
        <w:rPr>
          <w:rFonts w:hint="eastAsia" w:eastAsia="楷体_GB2312"/>
          <w:b/>
          <w:bCs/>
          <w:kern w:val="0"/>
          <w:sz w:val="32"/>
          <w:szCs w:val="32"/>
        </w:rPr>
        <w:t>部门整体支出、单位项目支出、重点（专项）项目支出</w:t>
      </w:r>
      <w:r>
        <w:rPr>
          <w:rFonts w:hint="eastAsia" w:eastAsia="楷体_GB2312"/>
          <w:b/>
          <w:bCs/>
          <w:kern w:val="0"/>
          <w:sz w:val="32"/>
          <w:szCs w:val="32"/>
          <w:highlight w:val="none"/>
        </w:rPr>
        <w:t>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2"/>
          <w:szCs w:val="32"/>
          <w:highlight w:val="none"/>
        </w:rPr>
        <w:t>本部门所有支出实行绩效目标管理，纳入2022年部门整体支出绩效目标的金额为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1404.95</w:t>
      </w:r>
      <w:r>
        <w:rPr>
          <w:rFonts w:eastAsia="仿宋_GB2312"/>
          <w:bCs/>
          <w:kern w:val="0"/>
          <w:sz w:val="32"/>
          <w:szCs w:val="32"/>
          <w:highlight w:val="none"/>
          <w:u w:val="single"/>
        </w:rPr>
        <w:t xml:space="preserve"> </w:t>
      </w:r>
      <w:r>
        <w:rPr>
          <w:rFonts w:hint="eastAsia" w:eastAsia="仿宋_GB2312"/>
          <w:bCs/>
          <w:kern w:val="0"/>
          <w:sz w:val="32"/>
          <w:szCs w:val="32"/>
          <w:highlight w:val="none"/>
        </w:rPr>
        <w:t>万元，其中，基本支出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559.22</w:t>
      </w:r>
      <w:r>
        <w:rPr>
          <w:rFonts w:eastAsia="仿宋_GB2312"/>
          <w:bCs/>
          <w:kern w:val="0"/>
          <w:sz w:val="32"/>
          <w:szCs w:val="32"/>
          <w:highlight w:val="none"/>
          <w:u w:val="single"/>
        </w:rPr>
        <w:t xml:space="preserve">  </w:t>
      </w:r>
      <w:r>
        <w:rPr>
          <w:rFonts w:hint="eastAsia" w:eastAsia="仿宋_GB2312"/>
          <w:bCs/>
          <w:kern w:val="0"/>
          <w:sz w:val="32"/>
          <w:szCs w:val="32"/>
          <w:highlight w:val="none"/>
        </w:rPr>
        <w:t>万元，单位项目支出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845.73</w:t>
      </w:r>
      <w:r>
        <w:rPr>
          <w:rFonts w:eastAsia="仿宋_GB2312"/>
          <w:bCs/>
          <w:kern w:val="0"/>
          <w:sz w:val="32"/>
          <w:szCs w:val="32"/>
          <w:highlight w:val="none"/>
          <w:u w:val="single"/>
        </w:rPr>
        <w:t xml:space="preserve"> </w:t>
      </w:r>
      <w:r>
        <w:rPr>
          <w:rFonts w:hint="eastAsia" w:eastAsia="仿宋_GB2312"/>
          <w:bCs/>
          <w:kern w:val="0"/>
          <w:sz w:val="32"/>
          <w:szCs w:val="32"/>
          <w:highlight w:val="none"/>
        </w:rPr>
        <w:t>万元，重点项目（专项）支出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2"/>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C8EE25"/>
    <w:multiLevelType w:val="singleLevel"/>
    <w:tmpl w:val="58C8EE25"/>
    <w:lvl w:ilvl="0" w:tentative="0">
      <w:start w:val="1"/>
      <w:numFmt w:val="decimal"/>
      <w:lvlText w:val="%1."/>
      <w:lvlJc w:val="left"/>
      <w:pPr>
        <w:ind w:left="425" w:hanging="425"/>
      </w:pPr>
      <w:rPr>
        <w:rFonts w:hint="default"/>
      </w:rPr>
    </w:lvl>
  </w:abstractNum>
  <w:abstractNum w:abstractNumId="1">
    <w:nsid w:val="706EE0CC"/>
    <w:multiLevelType w:val="singleLevel"/>
    <w:tmpl w:val="706EE0C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yYzQ5NDIwNWRkYWFmNmEwMTI0MDJlNmZmYTk0YmI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6EA27D9"/>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DB4564"/>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B03FC3"/>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EFC5C89"/>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2C5799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link w:val="11"/>
    <w:uiPriority w:val="0"/>
    <w:pPr>
      <w:spacing w:after="120" w:afterLines="0"/>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36</TotalTime>
  <ScaleCrop>false</ScaleCrop>
  <LinksUpToDate>false</LinksUpToDate>
  <CharactersWithSpaces>4480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1</cp:lastModifiedBy>
  <cp:lastPrinted>2021-05-16T11:47:00Z</cp:lastPrinted>
  <dcterms:modified xsi:type="dcterms:W3CDTF">2023-10-04T08:26:22Z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4FCC8ABF55644D10ACB9C8250C221108_13</vt:lpwstr>
  </property>
</Properties>
</file>