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益阳市大通湖区教育和卫生健康局教育核算中心</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jc w:val="center"/>
        <w:rPr>
          <w:rFonts w:eastAsia="黑体"/>
          <w:bCs/>
          <w:kern w:val="0"/>
          <w:sz w:val="32"/>
          <w:szCs w:val="32"/>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27" w:firstLineChars="196"/>
        <w:rPr>
          <w:rFonts w:hint="eastAsia" w:eastAsia="仿宋_GB2312"/>
          <w:sz w:val="32"/>
          <w:szCs w:val="32"/>
          <w:u w:val="none"/>
          <w:lang w:eastAsia="zh-CN"/>
        </w:rPr>
      </w:pPr>
      <w:r>
        <w:rPr>
          <w:rFonts w:hint="eastAsia" w:eastAsia="仿宋_GB2312"/>
          <w:sz w:val="32"/>
          <w:szCs w:val="32"/>
          <w:u w:val="none"/>
        </w:rPr>
        <w:t>（一）职能职责</w:t>
      </w:r>
      <w:r>
        <w:rPr>
          <w:rFonts w:hint="eastAsia" w:eastAsia="仿宋_GB2312"/>
          <w:sz w:val="32"/>
          <w:szCs w:val="32"/>
          <w:u w:val="none"/>
          <w:lang w:eastAsia="zh-CN"/>
        </w:rPr>
        <w:t>：</w:t>
      </w:r>
    </w:p>
    <w:p>
      <w:pPr>
        <w:widowControl/>
        <w:spacing w:line="600" w:lineRule="exact"/>
        <w:ind w:firstLine="627" w:firstLineChars="196"/>
        <w:rPr>
          <w:rFonts w:hint="eastAsia" w:eastAsia="仿宋_GB2312"/>
          <w:sz w:val="32"/>
          <w:szCs w:val="32"/>
          <w:u w:val="none"/>
          <w:lang w:eastAsia="zh-CN"/>
        </w:rPr>
      </w:pPr>
      <w:r>
        <w:rPr>
          <w:rFonts w:hint="eastAsia" w:eastAsia="仿宋_GB2312"/>
          <w:sz w:val="32"/>
          <w:szCs w:val="32"/>
          <w:u w:val="none"/>
          <w:lang w:eastAsia="zh-CN"/>
        </w:rPr>
        <w:t>(1)做好日常各个中小学校（公办幼儿园）报账工作，严格执行会计法律法规及各项规章制度；把好原始凭证审核关，全面履行会计监督职能；</w:t>
      </w:r>
    </w:p>
    <w:p>
      <w:pPr>
        <w:widowControl/>
        <w:spacing w:line="600" w:lineRule="exact"/>
        <w:ind w:firstLine="627" w:firstLineChars="196"/>
        <w:rPr>
          <w:rFonts w:hint="eastAsia" w:eastAsia="仿宋_GB2312"/>
          <w:sz w:val="32"/>
          <w:szCs w:val="32"/>
          <w:u w:val="none"/>
          <w:lang w:eastAsia="zh-CN"/>
        </w:rPr>
      </w:pPr>
      <w:r>
        <w:rPr>
          <w:rFonts w:hint="eastAsia" w:eastAsia="仿宋_GB2312"/>
          <w:sz w:val="32"/>
          <w:szCs w:val="32"/>
          <w:u w:val="none"/>
          <w:lang w:eastAsia="zh-CN"/>
        </w:rPr>
        <w:t>(2)做好日常财务核算，及时、准确进行凭证处理、审核、记账、出具财务报表，并配合各个核算学校做好财务统计工作，满足单位的财务信息需求。</w:t>
      </w:r>
    </w:p>
    <w:p>
      <w:pPr>
        <w:widowControl/>
        <w:spacing w:line="600" w:lineRule="exact"/>
        <w:ind w:firstLine="627" w:firstLineChars="196"/>
        <w:rPr>
          <w:rFonts w:hint="eastAsia" w:eastAsia="仿宋_GB2312"/>
          <w:sz w:val="32"/>
          <w:szCs w:val="32"/>
          <w:u w:val="none"/>
          <w:lang w:eastAsia="zh-CN"/>
        </w:rPr>
      </w:pPr>
      <w:r>
        <w:rPr>
          <w:rFonts w:hint="eastAsia" w:eastAsia="仿宋_GB2312"/>
          <w:sz w:val="32"/>
          <w:szCs w:val="32"/>
          <w:u w:val="none"/>
          <w:lang w:eastAsia="zh-CN"/>
        </w:rPr>
        <w:t>(3)严格执行专项资金专款专用制度，严防出现挪作它用或挤占专项资金的情况发生，充分发挥资金的使用效益；</w:t>
      </w:r>
    </w:p>
    <w:p>
      <w:pPr>
        <w:widowControl/>
        <w:spacing w:line="600" w:lineRule="exact"/>
        <w:ind w:firstLine="627" w:firstLineChars="196"/>
        <w:rPr>
          <w:rFonts w:hint="eastAsia" w:eastAsia="仿宋_GB2312"/>
          <w:sz w:val="32"/>
          <w:szCs w:val="32"/>
          <w:u w:val="none"/>
          <w:lang w:eastAsia="zh-CN"/>
        </w:rPr>
      </w:pPr>
      <w:r>
        <w:rPr>
          <w:rFonts w:hint="eastAsia" w:eastAsia="仿宋_GB2312"/>
          <w:sz w:val="32"/>
          <w:szCs w:val="32"/>
          <w:u w:val="none"/>
          <w:lang w:eastAsia="zh-CN"/>
        </w:rPr>
        <w:t>(4)建立健全各学校（公办幼儿园）财务内控制度，强化财务管理与监督;</w:t>
      </w:r>
    </w:p>
    <w:p>
      <w:pPr>
        <w:widowControl/>
        <w:spacing w:line="600" w:lineRule="exact"/>
        <w:ind w:firstLine="627" w:firstLineChars="196"/>
        <w:rPr>
          <w:rFonts w:hint="eastAsia" w:eastAsia="仿宋_GB2312"/>
          <w:sz w:val="32"/>
          <w:szCs w:val="32"/>
          <w:u w:val="none"/>
          <w:lang w:eastAsia="zh-CN"/>
        </w:rPr>
      </w:pPr>
      <w:r>
        <w:rPr>
          <w:rFonts w:hint="eastAsia" w:eastAsia="仿宋_GB2312"/>
          <w:sz w:val="32"/>
          <w:szCs w:val="32"/>
          <w:u w:val="none"/>
          <w:lang w:eastAsia="zh-CN"/>
        </w:rPr>
        <w:t>(5)做好财务核算中心软件升级工作，提高中心核算水平;</w:t>
      </w:r>
    </w:p>
    <w:p>
      <w:pPr>
        <w:widowControl/>
        <w:spacing w:line="600" w:lineRule="exact"/>
        <w:ind w:firstLine="627" w:firstLineChars="196"/>
        <w:rPr>
          <w:rFonts w:hint="eastAsia" w:eastAsia="仿宋_GB2312"/>
          <w:sz w:val="32"/>
          <w:szCs w:val="32"/>
          <w:u w:val="none"/>
          <w:lang w:eastAsia="zh-CN"/>
        </w:rPr>
      </w:pPr>
      <w:r>
        <w:rPr>
          <w:rFonts w:hint="eastAsia" w:eastAsia="仿宋_GB2312"/>
          <w:sz w:val="32"/>
          <w:szCs w:val="32"/>
          <w:u w:val="none"/>
          <w:lang w:eastAsia="zh-CN"/>
        </w:rPr>
        <w:t>(6)更新观念，提高资金支付效率，充分发挥国库集中支付大平台作用，创新管理模式，加强对财政资金使用的过程管理，确保资金安全、高效;</w:t>
      </w:r>
    </w:p>
    <w:p>
      <w:pPr>
        <w:widowControl/>
        <w:spacing w:line="600" w:lineRule="exact"/>
        <w:ind w:firstLine="627" w:firstLineChars="196"/>
        <w:rPr>
          <w:rFonts w:hint="eastAsia" w:eastAsia="仿宋_GB2312"/>
          <w:sz w:val="32"/>
          <w:szCs w:val="32"/>
          <w:u w:val="none"/>
          <w:lang w:eastAsia="zh-CN"/>
        </w:rPr>
      </w:pPr>
      <w:r>
        <w:rPr>
          <w:rFonts w:hint="eastAsia" w:eastAsia="仿宋_GB2312"/>
          <w:sz w:val="32"/>
          <w:szCs w:val="32"/>
          <w:u w:val="none"/>
          <w:lang w:eastAsia="zh-CN"/>
        </w:rPr>
        <w:t>(7)指导各学校（公办幼儿园）合理编制预决算，监督学校预算执行，协助编制各报账学校年度决算报表。加强财务管理，明确各项资金使用范围及费用报销标准，提高资金使用效益;</w:t>
      </w:r>
    </w:p>
    <w:p>
      <w:pPr>
        <w:widowControl/>
        <w:spacing w:line="600" w:lineRule="exact"/>
        <w:ind w:firstLine="627" w:firstLineChars="196"/>
        <w:rPr>
          <w:rFonts w:hint="eastAsia" w:eastAsia="仿宋_GB2312"/>
          <w:sz w:val="32"/>
          <w:szCs w:val="32"/>
          <w:u w:val="none"/>
          <w:lang w:eastAsia="zh-CN"/>
        </w:rPr>
      </w:pPr>
      <w:r>
        <w:rPr>
          <w:rFonts w:hint="eastAsia" w:eastAsia="仿宋_GB2312"/>
          <w:sz w:val="32"/>
          <w:szCs w:val="32"/>
          <w:u w:val="none"/>
          <w:lang w:eastAsia="zh-CN"/>
        </w:rPr>
        <w:t>(8)加强财务人员业务培训，提高财务人员的业务能力;</w:t>
      </w:r>
    </w:p>
    <w:p>
      <w:pPr>
        <w:widowControl/>
        <w:spacing w:line="600" w:lineRule="exact"/>
        <w:ind w:firstLine="627" w:firstLineChars="196"/>
        <w:rPr>
          <w:rFonts w:hint="eastAsia" w:eastAsia="仿宋_GB2312"/>
          <w:sz w:val="32"/>
          <w:szCs w:val="32"/>
          <w:u w:val="none"/>
          <w:lang w:eastAsia="zh-CN"/>
        </w:rPr>
      </w:pPr>
      <w:r>
        <w:rPr>
          <w:rFonts w:hint="eastAsia" w:eastAsia="仿宋_GB2312"/>
          <w:sz w:val="32"/>
          <w:szCs w:val="32"/>
          <w:u w:val="none"/>
          <w:lang w:eastAsia="zh-CN"/>
        </w:rPr>
        <w:t>(9)承办区委、区管委及本局交办的其他事项。</w:t>
      </w:r>
    </w:p>
    <w:p>
      <w:pPr>
        <w:widowControl/>
        <w:spacing w:line="600" w:lineRule="exact"/>
        <w:ind w:firstLine="627" w:firstLineChars="196"/>
        <w:rPr>
          <w:rFonts w:hint="eastAsia" w:eastAsia="仿宋_GB2312"/>
          <w:sz w:val="32"/>
          <w:szCs w:val="32"/>
          <w:u w:val="none"/>
          <w:lang w:eastAsia="zh-CN"/>
        </w:rPr>
      </w:pPr>
      <w:r>
        <w:rPr>
          <w:rFonts w:hint="eastAsia" w:eastAsia="仿宋_GB2312"/>
          <w:sz w:val="32"/>
          <w:szCs w:val="32"/>
          <w:u w:val="none"/>
        </w:rPr>
        <w:t>（二）机构设置</w:t>
      </w:r>
      <w:r>
        <w:rPr>
          <w:rFonts w:hint="eastAsia" w:eastAsia="仿宋_GB2312"/>
          <w:sz w:val="32"/>
          <w:szCs w:val="32"/>
          <w:u w:val="none"/>
          <w:lang w:eastAsia="zh-CN"/>
        </w:rPr>
        <w:t>：益阳市大通湖区教育和卫生健康局教育核算办原名益阳市大通湖区社会发展局教育核算中心。辖区内含4所初级中学（包括区一中普通高中），12所完全小学,5所公办幼儿园，承办全区所有中小学校及公办幼儿园财务核算、监督和管理工作。</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rPr>
          <w:rFonts w:hint="eastAsia" w:eastAsia="仿宋_GB2312"/>
          <w:color w:val="auto"/>
          <w:sz w:val="32"/>
          <w:szCs w:val="32"/>
        </w:rPr>
      </w:pPr>
      <w:r>
        <w:rPr>
          <w:rFonts w:hint="eastAsia" w:eastAsia="仿宋_GB2312"/>
          <w:sz w:val="32"/>
          <w:szCs w:val="32"/>
          <w:u w:val="none"/>
          <w:lang w:eastAsia="zh-CN"/>
        </w:rPr>
        <w:t>益阳市大通湖区教育和卫生健康局教育核算中心负责全区教育系统行政运行等经费开支。涵盖教育系统内设机构：教育股（含学生资助中心、学前教育、教育史志办）、安管基建股（综治办、校车管理办）、教师医师工作股（区招生办、区电大办）、青少年体育卫生艺术发展中心、党建人事股、大通湖区教育教学研室、大通湖区教育核算办等股室和21所中小学校及公办幼儿园。</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hint="eastAsia" w:eastAsia="仿宋_GB2312"/>
          <w:sz w:val="32"/>
          <w:szCs w:val="32"/>
          <w:u w:val="none"/>
          <w:lang w:eastAsia="zh-CN"/>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rPr>
        <w:t>10434.54</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rPr>
        <w:t>8217.35</w:t>
      </w:r>
      <w:r>
        <w:rPr>
          <w:rFonts w:eastAsia="仿宋_GB2312"/>
          <w:sz w:val="32"/>
          <w:szCs w:val="32"/>
        </w:rPr>
        <w:t>万元，</w:t>
      </w:r>
      <w:r>
        <w:rPr>
          <w:rFonts w:hint="eastAsia" w:eastAsia="仿宋_GB2312"/>
          <w:sz w:val="32"/>
          <w:szCs w:val="32"/>
        </w:rPr>
        <w:t>纳入预算管理的非税收入拨款</w:t>
      </w:r>
      <w:r>
        <w:rPr>
          <w:rFonts w:hint="eastAsia" w:eastAsia="仿宋_GB2312"/>
          <w:sz w:val="32"/>
          <w:szCs w:val="32"/>
          <w:u w:val="none"/>
        </w:rPr>
        <w:t>1276.95万元,财政专户拔款273.10万元，上级部门补助收入667.14万元。收入较去年增加544.55万元，主要是在编在岗教职工待遇提升，乡镇工作津贴、乡村人才津贴、绩效奖金及13%工资等。</w:t>
      </w:r>
    </w:p>
    <w:p>
      <w:pPr>
        <w:widowControl/>
        <w:spacing w:line="600" w:lineRule="exact"/>
        <w:ind w:firstLine="630" w:firstLineChars="196"/>
        <w:rPr>
          <w:rFonts w:eastAsia="仿宋_GB2312"/>
          <w:b/>
          <w:sz w:val="32"/>
          <w:szCs w:val="32"/>
        </w:rPr>
      </w:pPr>
    </w:p>
    <w:p>
      <w:pPr>
        <w:widowControl/>
        <w:spacing w:line="600" w:lineRule="exact"/>
        <w:ind w:firstLine="630" w:firstLineChars="196"/>
        <w:rPr>
          <w:rFonts w:eastAsia="仿宋_GB2312"/>
          <w:b/>
          <w:sz w:val="32"/>
          <w:szCs w:val="32"/>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rPr>
        <w:t>10434.54</w:t>
      </w:r>
      <w:r>
        <w:rPr>
          <w:rFonts w:eastAsia="仿宋_GB2312"/>
          <w:sz w:val="32"/>
          <w:szCs w:val="32"/>
        </w:rPr>
        <w:t>万元，其中，教育</w:t>
      </w:r>
      <w:r>
        <w:rPr>
          <w:rFonts w:hint="eastAsia" w:eastAsia="仿宋_GB2312"/>
          <w:sz w:val="32"/>
          <w:szCs w:val="32"/>
          <w:u w:val="single"/>
          <w:lang w:val="en-US" w:eastAsia="zh-CN"/>
        </w:rPr>
        <w:t>10434.51</w:t>
      </w:r>
      <w:r>
        <w:rPr>
          <w:rFonts w:eastAsia="仿宋_GB2312"/>
          <w:sz w:val="32"/>
          <w:szCs w:val="32"/>
        </w:rPr>
        <w:t>万元。</w:t>
      </w:r>
      <w:r>
        <w:rPr>
          <w:rFonts w:hint="eastAsia" w:eastAsia="仿宋_GB2312"/>
          <w:sz w:val="32"/>
          <w:szCs w:val="32"/>
          <w:lang w:eastAsia="zh-CN"/>
        </w:rPr>
        <w:t>支出</w:t>
      </w:r>
      <w:r>
        <w:rPr>
          <w:rFonts w:hint="eastAsia" w:eastAsia="仿宋_GB2312"/>
          <w:sz w:val="32"/>
          <w:szCs w:val="32"/>
          <w:u w:val="none"/>
        </w:rPr>
        <w:t>较去年增加544.55万元，主要是在编在岗教职工待遇提升，乡镇工作津贴、乡村人才津贴、绩效奖金及13%工资等</w:t>
      </w:r>
      <w:r>
        <w:rPr>
          <w:rFonts w:hint="eastAsia" w:eastAsia="仿宋_GB2312"/>
          <w:sz w:val="32"/>
          <w:szCs w:val="32"/>
          <w:u w:val="none"/>
          <w:lang w:eastAsia="zh-CN"/>
        </w:rPr>
        <w:t>支出</w:t>
      </w:r>
      <w:r>
        <w:rPr>
          <w:rFonts w:hint="eastAsia" w:eastAsia="仿宋_GB2312"/>
          <w:sz w:val="32"/>
          <w:szCs w:val="32"/>
          <w:u w:val="none"/>
        </w:rPr>
        <w:t>。</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sz w:val="32"/>
          <w:szCs w:val="32"/>
          <w:highlight w:val="red"/>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lang w:val="en-US" w:eastAsia="zh-CN"/>
        </w:rPr>
        <w:t>10434.54</w:t>
      </w:r>
      <w:r>
        <w:rPr>
          <w:rFonts w:eastAsia="仿宋_GB2312"/>
          <w:sz w:val="32"/>
          <w:szCs w:val="32"/>
        </w:rPr>
        <w:t>万元，</w:t>
      </w:r>
      <w:r>
        <w:rPr>
          <w:rFonts w:hint="eastAsia" w:eastAsia="仿宋_GB2312"/>
          <w:sz w:val="32"/>
          <w:szCs w:val="32"/>
        </w:rPr>
        <w:t>其中，教育支出10434.54万元，占100 %。具体安排情况如下：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rPr>
        <w:t>9032.37</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rPr>
        <w:t>1402.17</w:t>
      </w:r>
      <w:r>
        <w:rPr>
          <w:rFonts w:eastAsia="仿宋_GB2312"/>
          <w:sz w:val="32"/>
          <w:szCs w:val="32"/>
        </w:rPr>
        <w:t>万元，主要是部门为完成特定行政工作任务或事业发展目标而发生的支出，包括有关事业发展专项、专项业务费、基本建设支出等，</w:t>
      </w:r>
      <w:r>
        <w:rPr>
          <w:rFonts w:hint="eastAsia" w:eastAsia="仿宋_GB2312"/>
          <w:sz w:val="32"/>
          <w:szCs w:val="32"/>
        </w:rPr>
        <w:t>其中： 项目工资福利支出163.36万元，主要用于教师代课工资、乡村教师人才津贴等方面；项目商品和服务支出1028.8万元，主要用于教师培训费支出、校车专项、工会经费、学校保安人员经费、农村教师公费定向培养等方面；项目对个人和家庭的补助73万元，主要用于独生子女父母家庭奖励等方面；资本性支出137.01万元，主要用于高中教室多媒体改造、设备添置等方面。</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hint="eastAsia" w:eastAsia="仿宋_GB2312"/>
          <w:sz w:val="32"/>
          <w:szCs w:val="32"/>
          <w:lang w:eastAsia="zh-CN"/>
        </w:rPr>
      </w:pPr>
      <w:r>
        <w:rPr>
          <w:rFonts w:hint="eastAsia" w:eastAsia="仿宋_GB2312"/>
          <w:sz w:val="32"/>
          <w:szCs w:val="32"/>
          <w:lang w:eastAsia="zh-CN"/>
        </w:rPr>
        <w:t>益阳市大通湖区教育和卫生健康局教育核算中心</w:t>
      </w:r>
      <w:r>
        <w:rPr>
          <w:rFonts w:hint="eastAsia" w:eastAsia="仿宋_GB2312"/>
          <w:sz w:val="32"/>
          <w:szCs w:val="32"/>
        </w:rPr>
        <w:t>没有政府性基金收入，也没有使用政府性基金安排的支出</w:t>
      </w:r>
      <w:r>
        <w:rPr>
          <w:rFonts w:hint="eastAsia" w:eastAsia="仿宋_GB2312"/>
          <w:sz w:val="32"/>
          <w:szCs w:val="32"/>
          <w:lang w:eastAsia="zh-CN"/>
        </w:rPr>
        <w:t>。</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rPr>
        <w:t>8217.35</w:t>
      </w:r>
      <w:r>
        <w:rPr>
          <w:rFonts w:eastAsia="仿宋_GB2312"/>
          <w:sz w:val="32"/>
          <w:szCs w:val="32"/>
        </w:rPr>
        <w:t>万元，比上年预算减少</w:t>
      </w:r>
      <w:r>
        <w:rPr>
          <w:rFonts w:hint="eastAsia" w:eastAsia="仿宋_GB2312"/>
          <w:sz w:val="32"/>
          <w:szCs w:val="32"/>
        </w:rPr>
        <w:t>259.37</w:t>
      </w:r>
      <w:r>
        <w:rPr>
          <w:rFonts w:eastAsia="仿宋_GB2312"/>
          <w:sz w:val="32"/>
          <w:szCs w:val="32"/>
        </w:rPr>
        <w:t>万元，下降</w:t>
      </w:r>
      <w:r>
        <w:rPr>
          <w:rFonts w:hint="eastAsia" w:eastAsia="仿宋_GB2312"/>
          <w:sz w:val="32"/>
          <w:szCs w:val="32"/>
        </w:rPr>
        <w:t>3.06</w:t>
      </w:r>
      <w:r>
        <w:rPr>
          <w:rFonts w:eastAsia="仿宋_GB2312"/>
          <w:sz w:val="32"/>
          <w:szCs w:val="32"/>
        </w:rPr>
        <w:t>%，主要是</w:t>
      </w:r>
      <w:r>
        <w:rPr>
          <w:rFonts w:hint="eastAsia" w:eastAsia="仿宋_GB2312"/>
          <w:sz w:val="32"/>
          <w:szCs w:val="32"/>
        </w:rPr>
        <w:t>全区学生（幼儿）人数减少，公用经费减少等。</w:t>
      </w:r>
    </w:p>
    <w:p>
      <w:pPr>
        <w:widowControl/>
        <w:spacing w:line="600" w:lineRule="exact"/>
        <w:ind w:firstLine="660"/>
        <w:rPr>
          <w:rFonts w:hint="eastAsia" w:eastAsia="仿宋_GB2312"/>
          <w:sz w:val="32"/>
          <w:szCs w:val="32"/>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lang w:val="en-US" w:eastAsia="zh-CN"/>
        </w:rPr>
        <w:t>15.43</w:t>
      </w:r>
      <w:r>
        <w:rPr>
          <w:rFonts w:eastAsia="仿宋_GB2312"/>
          <w:sz w:val="32"/>
          <w:szCs w:val="32"/>
        </w:rPr>
        <w:t>万元，其中，公务接待费</w:t>
      </w:r>
      <w:r>
        <w:rPr>
          <w:rFonts w:hint="eastAsia" w:eastAsia="仿宋_GB2312"/>
          <w:sz w:val="32"/>
          <w:szCs w:val="32"/>
          <w:u w:val="single"/>
          <w:lang w:val="en-US" w:eastAsia="zh-CN"/>
        </w:rPr>
        <w:t>0.2</w:t>
      </w:r>
      <w:r>
        <w:rPr>
          <w:rFonts w:eastAsia="仿宋_GB2312"/>
          <w:sz w:val="32"/>
          <w:szCs w:val="32"/>
        </w:rPr>
        <w:t>万元，公务用车购置及运行费</w:t>
      </w:r>
      <w:r>
        <w:rPr>
          <w:rFonts w:hint="eastAsia" w:eastAsia="仿宋_GB2312"/>
          <w:sz w:val="32"/>
          <w:szCs w:val="32"/>
          <w:u w:val="single"/>
          <w:lang w:val="en-US" w:eastAsia="zh-CN"/>
        </w:rPr>
        <w:t>15.23</w:t>
      </w:r>
      <w:r>
        <w:rPr>
          <w:rFonts w:eastAsia="仿宋_GB2312"/>
          <w:sz w:val="32"/>
          <w:szCs w:val="32"/>
        </w:rPr>
        <w:t>万元</w:t>
      </w:r>
      <w:r>
        <w:rPr>
          <w:rFonts w:hint="eastAsia" w:eastAsia="仿宋_GB2312"/>
          <w:sz w:val="32"/>
          <w:szCs w:val="32"/>
        </w:rPr>
        <w:t>（其中，公务用车购置费0万元，公务用车运行费15.23万元）。比2021年增加0.35万元，增幅2.32%。主要原因是乡村学校公务用车运行维护费增加。</w:t>
      </w:r>
    </w:p>
    <w:p>
      <w:pPr>
        <w:widowControl/>
        <w:spacing w:line="600" w:lineRule="exact"/>
        <w:ind w:firstLine="660"/>
        <w:rPr>
          <w:rFonts w:hint="eastAsia" w:eastAsia="仿宋_GB2312"/>
          <w:sz w:val="32"/>
          <w:szCs w:val="32"/>
        </w:rPr>
      </w:pPr>
      <w:r>
        <w:rPr>
          <w:rFonts w:eastAsia="楷体_GB2312"/>
          <w:b/>
          <w:sz w:val="32"/>
          <w:szCs w:val="32"/>
        </w:rPr>
        <w:t>（三）一般性支出情况</w:t>
      </w:r>
      <w:r>
        <w:rPr>
          <w:rFonts w:hint="eastAsia" w:eastAsia="仿宋_GB2312"/>
          <w:sz w:val="32"/>
          <w:szCs w:val="32"/>
        </w:rPr>
        <w:t>：2022年本部门会议费预算0.5万元，拟召开12次会议，人数625人，内容为开学工作动员会等；培训费预算9.3万元，拟开展30项培训，人数625人，内容为中小学校及公办幼</w:t>
      </w:r>
      <w:bookmarkStart w:id="0" w:name="_GoBack"/>
      <w:bookmarkEnd w:id="0"/>
      <w:r>
        <w:rPr>
          <w:rFonts w:hint="eastAsia" w:eastAsia="仿宋_GB2312"/>
          <w:sz w:val="32"/>
          <w:szCs w:val="32"/>
        </w:rPr>
        <w:t>儿园在岗教师参加国家级、省级、市级和区级各类培训费用；拟举办4次节庆、晚会、论坛、赛事活动，</w:t>
      </w:r>
      <w:r>
        <w:rPr>
          <w:rFonts w:hint="eastAsia" w:eastAsia="仿宋_GB2312"/>
          <w:sz w:val="32"/>
          <w:szCs w:val="32"/>
          <w:lang w:eastAsia="zh-CN"/>
        </w:rPr>
        <w:t>人数</w:t>
      </w:r>
      <w:r>
        <w:rPr>
          <w:rFonts w:hint="eastAsia" w:eastAsia="仿宋_GB2312"/>
          <w:sz w:val="32"/>
          <w:szCs w:val="32"/>
          <w:lang w:val="en-US" w:eastAsia="zh-CN"/>
        </w:rPr>
        <w:t>2400人，</w:t>
      </w:r>
      <w:r>
        <w:rPr>
          <w:rFonts w:hint="eastAsia" w:eastAsia="仿宋_GB2312"/>
          <w:sz w:val="32"/>
          <w:szCs w:val="32"/>
        </w:rPr>
        <w:t>经费预算26万元。</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18.53</w:t>
      </w:r>
      <w:r>
        <w:rPr>
          <w:rFonts w:eastAsia="仿宋_GB2312"/>
          <w:sz w:val="32"/>
          <w:szCs w:val="32"/>
        </w:rPr>
        <w:t>万元，</w:t>
      </w:r>
      <w:r>
        <w:rPr>
          <w:rFonts w:hint="eastAsia" w:eastAsia="仿宋_GB2312"/>
          <w:sz w:val="32"/>
          <w:szCs w:val="32"/>
        </w:rPr>
        <w:t>其中，货物类采购预算18.53万元；工程类采购预算0万元；服务类采购预算0万元。</w:t>
      </w:r>
    </w:p>
    <w:p>
      <w:pPr>
        <w:widowControl/>
        <w:spacing w:line="600" w:lineRule="exact"/>
        <w:ind w:firstLine="643" w:firstLineChars="200"/>
        <w:jc w:val="left"/>
        <w:rPr>
          <w:rFonts w:hint="eastAsia" w:eastAsia="仿宋_GB2312"/>
          <w:color w:val="FF0000"/>
          <w:sz w:val="32"/>
          <w:szCs w:val="32"/>
          <w:lang w:eastAsia="zh-CN"/>
        </w:rPr>
      </w:pPr>
      <w:r>
        <w:rPr>
          <w:rFonts w:eastAsia="楷体_GB2312"/>
          <w:b/>
          <w:sz w:val="32"/>
          <w:szCs w:val="32"/>
        </w:rPr>
        <w:t>（五）国有资产占用使用及新增资产配置情况：</w:t>
      </w:r>
      <w:r>
        <w:rPr>
          <w:rFonts w:hint="eastAsia" w:eastAsia="仿宋_GB2312"/>
          <w:sz w:val="32"/>
          <w:szCs w:val="32"/>
        </w:rPr>
        <w:t>截至2021年12月底，本部门共有公务用车0辆，其中，机要通信用车0辆，应急保障用车0辆，执法执勤用车0辆，特种专业技术用车0辆，其他按照规定配备的公务用车0辆；单位价值50万元以上通用设备0台，单位价值100万元以上专用设备0台。2022年拟新增配置公务用车0辆，其中，机要通信用车0辆，应急保障用车0辆，执法执勤用车0辆，特种专业技术用车0辆，其他按照规定配备的公务用车0辆；新增配备单位价值50万元以上通用设备0台，单位价值100万元以上专用设备0台。单位车辆合计0辆</w:t>
      </w:r>
      <w:r>
        <w:rPr>
          <w:rFonts w:hint="eastAsia" w:eastAsia="仿宋_GB2312"/>
          <w:sz w:val="32"/>
          <w:szCs w:val="32"/>
          <w:lang w:eastAsia="zh-CN"/>
        </w:rPr>
        <w:t>。</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red"/>
        </w:rPr>
      </w:pPr>
      <w:r>
        <w:rPr>
          <w:rFonts w:hint="eastAsia" w:eastAsia="仿宋_GB2312"/>
          <w:sz w:val="32"/>
          <w:szCs w:val="32"/>
        </w:rPr>
        <w:t>本部门所有支出实行绩效目标管理，纳入2022年部门整体支出绩效目标的金额为10434.54万元，其中，基本支出9032.37万元，单位项目支出1402.17万元，重点项目（专项）支出0万元，具体绩效目标见附表。</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4NTA5ZmNiMGUyNTAwZjdlMzY2NzA4MTI4ODAxYjA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A445EC"/>
    <w:rsid w:val="12DF5990"/>
    <w:rsid w:val="12FD797B"/>
    <w:rsid w:val="131D659F"/>
    <w:rsid w:val="139B3968"/>
    <w:rsid w:val="14011A1D"/>
    <w:rsid w:val="14AE01CA"/>
    <w:rsid w:val="14BE790E"/>
    <w:rsid w:val="15FE79D5"/>
    <w:rsid w:val="16350C1E"/>
    <w:rsid w:val="16D50F3F"/>
    <w:rsid w:val="177C13BA"/>
    <w:rsid w:val="17A403CF"/>
    <w:rsid w:val="17DD62FD"/>
    <w:rsid w:val="18207B7E"/>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0FE152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8F3E56"/>
    <w:rsid w:val="6EED7D49"/>
    <w:rsid w:val="6FF05370"/>
    <w:rsid w:val="70333E81"/>
    <w:rsid w:val="71412EFE"/>
    <w:rsid w:val="7216423E"/>
    <w:rsid w:val="72873462"/>
    <w:rsid w:val="72B03567"/>
    <w:rsid w:val="72B56B9E"/>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6B0DAD"/>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2</TotalTime>
  <ScaleCrop>false</ScaleCrop>
  <LinksUpToDate>false</LinksUpToDate>
  <CharactersWithSpaces>4480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快乐大使</cp:lastModifiedBy>
  <cp:lastPrinted>2021-05-16T11:47:00Z</cp:lastPrinted>
  <dcterms:modified xsi:type="dcterms:W3CDTF">2023-10-05T01:40:46Z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243D1424B78D4D8E9CDA0825C1FD2E0C_13</vt:lpwstr>
  </property>
</Properties>
</file>