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益阳市大通湖区科技和工业信息化局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eastAsia="zh-CN"/>
        </w:rPr>
        <w:t>益阳市大通湖区投资促进事务中心为区科技工信局所属正股级公益二级机构，核定全额事业编制6名，设主任1名。主要职责是：负责招商引资工作规划的制定，指导协调区直部门和乡镇开展招商引资工作。负责宣传推介招商项目，建立招商引资项目库、人员库、信息库，统一对外发布招商项目和信息；协调组织重大招商引资活动。负责投资项目的开发论证、包装、对外发布；负责区本级重点招商引资项目的咨询、跟踪调度和协调推进；负责外商投资项目合同、章程的审核及其变更备案；协调外商投资项目的联络和项目落户跟踪工作；负责全区利用内、外资的统计工作。负责为境外、境内区域外落户我区的招商引资项目提供办理项目行政审批所需的咨询服务，为投资者代办区级政府权限内有关行政审批事项和服务性事项。负责全区招商引资目标任务的考核和督促检查工作。</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益阳市大通湖区科技和工业信息化局为独立核算单位，局机关内设4个股室，分别是办公室、商务股、工业和信息化股、科技和科协股。</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rPr>
      </w:pPr>
      <w:r>
        <w:rPr>
          <w:rFonts w:eastAsia="仿宋_GB2312"/>
          <w:sz w:val="32"/>
          <w:szCs w:val="32"/>
        </w:rPr>
        <w:t>本部门预算为汇总预算，纳入编制范围的预算单位包括：</w:t>
      </w:r>
    </w:p>
    <w:p>
      <w:pPr>
        <w:widowControl/>
        <w:spacing w:line="600" w:lineRule="exact"/>
        <w:ind w:firstLine="627" w:firstLineChars="196"/>
        <w:jc w:val="left"/>
        <w:rPr>
          <w:rFonts w:eastAsia="仿宋_GB2312"/>
          <w:sz w:val="32"/>
          <w:szCs w:val="32"/>
        </w:rPr>
      </w:pPr>
      <w:r>
        <w:rPr>
          <w:rFonts w:eastAsia="仿宋_GB2312"/>
          <w:sz w:val="32"/>
          <w:szCs w:val="32"/>
        </w:rPr>
        <w:t>1、</w:t>
      </w:r>
      <w:r>
        <w:rPr>
          <w:rFonts w:hint="eastAsia" w:eastAsia="仿宋_GB2312"/>
          <w:sz w:val="32"/>
          <w:szCs w:val="32"/>
        </w:rPr>
        <w:t>益阳市财政局</w:t>
      </w:r>
      <w:r>
        <w:rPr>
          <w:rFonts w:eastAsia="仿宋_GB2312"/>
          <w:sz w:val="32"/>
          <w:szCs w:val="32"/>
        </w:rPr>
        <w:t>本级</w:t>
      </w:r>
    </w:p>
    <w:p>
      <w:pPr>
        <w:widowControl/>
        <w:spacing w:line="600" w:lineRule="exact"/>
        <w:ind w:firstLine="627" w:firstLineChars="196"/>
        <w:jc w:val="left"/>
        <w:rPr>
          <w:rFonts w:hint="eastAsia" w:eastAsia="仿宋_GB2312"/>
          <w:sz w:val="32"/>
          <w:szCs w:val="32"/>
        </w:rPr>
      </w:pPr>
      <w:r>
        <w:rPr>
          <w:rFonts w:eastAsia="仿宋_GB2312"/>
          <w:sz w:val="32"/>
          <w:szCs w:val="32"/>
        </w:rPr>
        <w:t>2、</w:t>
      </w:r>
      <w:r>
        <w:rPr>
          <w:rFonts w:hint="eastAsia" w:eastAsia="仿宋_GB2312"/>
          <w:sz w:val="32"/>
          <w:szCs w:val="32"/>
        </w:rPr>
        <w:t>益阳市国库集中支付核算中心、益阳市财政事务中心。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196.56</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196.56</w:t>
      </w:r>
      <w:r>
        <w:rPr>
          <w:rFonts w:eastAsia="仿宋_GB2312"/>
          <w:sz w:val="32"/>
          <w:szCs w:val="32"/>
        </w:rPr>
        <w:t>万元。</w:t>
      </w:r>
      <w:r>
        <w:rPr>
          <w:rFonts w:eastAsia="仿宋_GB2312"/>
          <w:b/>
          <w:sz w:val="32"/>
          <w:szCs w:val="32"/>
        </w:rPr>
        <w:t>收入较去年增加（减少）</w:t>
      </w:r>
      <w:r>
        <w:rPr>
          <w:rFonts w:hint="eastAsia" w:eastAsia="仿宋_GB2312"/>
          <w:b/>
          <w:sz w:val="32"/>
          <w:szCs w:val="32"/>
          <w:u w:val="single"/>
          <w:lang w:val="en-US" w:eastAsia="zh-CN"/>
        </w:rPr>
        <w:t>4.87</w:t>
      </w:r>
      <w:r>
        <w:rPr>
          <w:rFonts w:eastAsia="仿宋_GB2312"/>
          <w:b/>
          <w:sz w:val="32"/>
          <w:szCs w:val="32"/>
        </w:rPr>
        <w:t>万元，主要</w:t>
      </w:r>
      <w:r>
        <w:rPr>
          <w:rFonts w:hint="eastAsia" w:eastAsia="仿宋_GB2312"/>
          <w:b/>
          <w:sz w:val="32"/>
          <w:szCs w:val="32"/>
        </w:rPr>
        <w:t>是财政压减财政项目支出预算。</w:t>
      </w:r>
    </w:p>
    <w:p>
      <w:pPr>
        <w:widowControl/>
        <w:spacing w:line="600" w:lineRule="exact"/>
        <w:ind w:firstLine="630" w:firstLineChars="196"/>
        <w:jc w:val="left"/>
        <w:rPr>
          <w:rFonts w:eastAsia="仿宋_GB2312"/>
          <w:b w:val="0"/>
          <w:bCs/>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196.56</w:t>
      </w:r>
      <w:r>
        <w:rPr>
          <w:rFonts w:eastAsia="仿宋_GB2312"/>
          <w:sz w:val="32"/>
          <w:szCs w:val="32"/>
        </w:rPr>
        <w:t>万元，其中，一般公共服务</w:t>
      </w:r>
      <w:r>
        <w:rPr>
          <w:rFonts w:hint="eastAsia" w:eastAsia="仿宋_GB2312"/>
          <w:sz w:val="32"/>
          <w:szCs w:val="32"/>
          <w:u w:val="single"/>
          <w:lang w:val="en-US" w:eastAsia="zh-CN"/>
        </w:rPr>
        <w:t>15</w:t>
      </w:r>
      <w:r>
        <w:rPr>
          <w:rFonts w:eastAsia="仿宋_GB2312"/>
          <w:sz w:val="32"/>
          <w:szCs w:val="32"/>
        </w:rPr>
        <w:t>万元，</w:t>
      </w:r>
      <w:r>
        <w:rPr>
          <w:rFonts w:hint="eastAsia" w:eastAsia="仿宋_GB2312"/>
          <w:sz w:val="32"/>
          <w:szCs w:val="32"/>
          <w:lang w:val="en-US" w:eastAsia="zh-CN"/>
        </w:rPr>
        <w:t>科学技术</w:t>
      </w:r>
      <w:r>
        <w:rPr>
          <w:rFonts w:hint="eastAsia" w:eastAsia="仿宋_GB2312"/>
          <w:sz w:val="32"/>
          <w:szCs w:val="32"/>
          <w:u w:val="single"/>
          <w:lang w:val="en-US" w:eastAsia="zh-CN"/>
        </w:rPr>
        <w:t>13</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21.8</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13.45</w:t>
      </w:r>
      <w:r>
        <w:rPr>
          <w:rFonts w:eastAsia="仿宋_GB2312"/>
          <w:sz w:val="32"/>
          <w:szCs w:val="32"/>
        </w:rPr>
        <w:t>万元，</w:t>
      </w:r>
      <w:r>
        <w:rPr>
          <w:rFonts w:hint="eastAsia" w:eastAsia="仿宋_GB2312"/>
          <w:sz w:val="32"/>
          <w:szCs w:val="32"/>
          <w:lang w:val="en-US" w:eastAsia="zh-CN"/>
        </w:rPr>
        <w:t>资源勘探信息等支出119.32万元，商业服务业等支出5万元，住房保障8.98万元</w:t>
      </w:r>
      <w:r>
        <w:rPr>
          <w:rFonts w:eastAsia="仿宋_GB2312"/>
          <w:sz w:val="32"/>
          <w:szCs w:val="32"/>
        </w:rPr>
        <w:t>。</w:t>
      </w:r>
      <w:r>
        <w:rPr>
          <w:rFonts w:eastAsia="仿宋_GB2312"/>
          <w:b w:val="0"/>
          <w:bCs/>
          <w:sz w:val="32"/>
          <w:szCs w:val="32"/>
        </w:rPr>
        <w:t>支出较去年减少</w:t>
      </w:r>
      <w:r>
        <w:rPr>
          <w:rFonts w:hint="eastAsia" w:eastAsia="仿宋_GB2312"/>
          <w:b w:val="0"/>
          <w:bCs/>
          <w:sz w:val="32"/>
          <w:szCs w:val="32"/>
          <w:lang w:val="en-US" w:eastAsia="zh-CN"/>
        </w:rPr>
        <w:t>4.87</w:t>
      </w:r>
      <w:r>
        <w:rPr>
          <w:rFonts w:eastAsia="仿宋_GB2312"/>
          <w:b w:val="0"/>
          <w:bCs/>
          <w:sz w:val="32"/>
          <w:szCs w:val="32"/>
        </w:rPr>
        <w:t>万元，主要</w:t>
      </w:r>
      <w:r>
        <w:rPr>
          <w:rFonts w:hint="eastAsia" w:eastAsia="仿宋_GB2312"/>
          <w:b w:val="0"/>
          <w:bCs/>
          <w:sz w:val="32"/>
          <w:szCs w:val="32"/>
        </w:rPr>
        <w:t>原因</w:t>
      </w:r>
      <w:r>
        <w:rPr>
          <w:rFonts w:eastAsia="仿宋_GB2312"/>
          <w:b w:val="0"/>
          <w:bCs/>
          <w:sz w:val="32"/>
          <w:szCs w:val="32"/>
        </w:rPr>
        <w:t>是</w:t>
      </w:r>
      <w:r>
        <w:rPr>
          <w:rFonts w:hint="eastAsia" w:eastAsia="仿宋_GB2312"/>
          <w:b w:val="0"/>
          <w:bCs/>
          <w:sz w:val="32"/>
          <w:szCs w:val="32"/>
        </w:rPr>
        <w:t>财政压减财政项目支出预算；认真全面贯彻过“紧日子”相关政策要求，严格压减一般性支出。</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hint="eastAsia" w:eastAsia="仿宋_GB2312"/>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196.56</w:t>
      </w:r>
      <w:r>
        <w:rPr>
          <w:rFonts w:eastAsia="仿宋_GB2312"/>
          <w:sz w:val="32"/>
          <w:szCs w:val="32"/>
        </w:rPr>
        <w:t>万元，</w:t>
      </w:r>
      <w:r>
        <w:rPr>
          <w:rFonts w:hint="eastAsia" w:eastAsia="仿宋_GB2312"/>
          <w:sz w:val="32"/>
          <w:szCs w:val="32"/>
        </w:rPr>
        <w:t>其中，一般公共服务支出15万元，占7.63%；科学技术支出13万元，占6.61%；社会保障和就业支出21.8万元，占11.09%；医疗健康支出13.45万元，占6.84%；资源勘探工业信息等支出119.32万元，占60.7%；商业服务业等支出5万元，占2.54%；住房保障支出8.98万元，占4.57%。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155.56</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41</w:t>
      </w:r>
      <w:r>
        <w:rPr>
          <w:rFonts w:eastAsia="仿宋_GB2312"/>
          <w:sz w:val="32"/>
          <w:szCs w:val="32"/>
        </w:rPr>
        <w:t>万元，主要是部门为完成特定行政工作任务或事业发展目标而发生的支出，包括有关事业发展专项、专项业务费、基本建设支出等，</w:t>
      </w:r>
      <w:r>
        <w:rPr>
          <w:rFonts w:hint="eastAsia" w:eastAsia="仿宋_GB2312"/>
          <w:sz w:val="32"/>
          <w:szCs w:val="32"/>
        </w:rPr>
        <w:t>其中：项目商品和服务支出38万元，主要用于商贸事务（招商引资）、科普活动、科技奖励、中小企业发展专项、商业流通事务等方面； 项目对个人和家庭的补助支出3万元，主要用于抚恤等方面。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lang w:eastAsia="zh-CN"/>
        </w:rPr>
      </w:pPr>
      <w:r>
        <w:rPr>
          <w:rFonts w:hint="eastAsia" w:eastAsia="仿宋_GB2312"/>
          <w:sz w:val="32"/>
          <w:szCs w:val="32"/>
        </w:rPr>
        <w:t>益阳市大通湖区科技和工业信息化局没有政府性基金收入，也没有使用政府性基金安排的支出</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w:t>
      </w:r>
      <w:r>
        <w:rPr>
          <w:rFonts w:hint="eastAsia" w:eastAsia="仿宋_GB2312"/>
          <w:sz w:val="32"/>
          <w:szCs w:val="32"/>
        </w:rPr>
        <w:t>市国库集中支付核算中心、市财政事务中心等3家行政事业单位的机关运行经费</w:t>
      </w:r>
      <w:r>
        <w:rPr>
          <w:rFonts w:hint="eastAsia" w:eastAsia="仿宋_GB2312"/>
          <w:sz w:val="32"/>
          <w:szCs w:val="32"/>
          <w:u w:val="single"/>
          <w:lang w:val="en-US" w:eastAsia="zh-CN"/>
        </w:rPr>
        <w:t>155.56</w:t>
      </w:r>
      <w:r>
        <w:rPr>
          <w:rFonts w:eastAsia="仿宋_GB2312"/>
          <w:sz w:val="32"/>
          <w:szCs w:val="32"/>
        </w:rPr>
        <w:t>万元，比上年预算减少</w:t>
      </w:r>
      <w:r>
        <w:rPr>
          <w:rFonts w:hint="eastAsia" w:eastAsia="仿宋_GB2312"/>
          <w:sz w:val="32"/>
          <w:szCs w:val="32"/>
          <w:lang w:val="en-US" w:eastAsia="zh-CN"/>
        </w:rPr>
        <w:t>6.87</w:t>
      </w:r>
      <w:r>
        <w:rPr>
          <w:rFonts w:eastAsia="仿宋_GB2312"/>
          <w:sz w:val="32"/>
          <w:szCs w:val="32"/>
        </w:rPr>
        <w:t>万元，下降</w:t>
      </w:r>
      <w:r>
        <w:rPr>
          <w:rFonts w:hint="eastAsia" w:eastAsia="仿宋_GB2312"/>
          <w:sz w:val="32"/>
          <w:szCs w:val="32"/>
          <w:lang w:val="en-US" w:eastAsia="zh-CN"/>
        </w:rPr>
        <w:t>4.23</w:t>
      </w:r>
      <w:r>
        <w:rPr>
          <w:rFonts w:eastAsia="仿宋_GB2312"/>
          <w:sz w:val="32"/>
          <w:szCs w:val="32"/>
        </w:rPr>
        <w:t>%，主要是</w:t>
      </w:r>
      <w:r>
        <w:rPr>
          <w:rFonts w:hint="eastAsia" w:eastAsia="仿宋_GB2312"/>
          <w:sz w:val="32"/>
          <w:szCs w:val="32"/>
        </w:rPr>
        <w:t>主要原因是部门预算编制改革，调整支出结构，相应减少项目支出预算。</w:t>
      </w:r>
    </w:p>
    <w:p>
      <w:pPr>
        <w:widowControl/>
        <w:spacing w:line="600" w:lineRule="exact"/>
        <w:ind w:firstLine="660"/>
        <w:rPr>
          <w:rFonts w:eastAsia="仿宋_GB2312"/>
          <w:sz w:val="32"/>
          <w:szCs w:val="32"/>
          <w:highlight w:val="red"/>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w:t>
      </w:r>
      <w:r>
        <w:rPr>
          <w:rFonts w:hint="eastAsia" w:eastAsia="仿宋_GB2312"/>
          <w:sz w:val="32"/>
          <w:szCs w:val="32"/>
        </w:rPr>
        <w:t>市国库集中支付核算中心、市财政事务中心等3家行政事业</w:t>
      </w:r>
      <w:r>
        <w:rPr>
          <w:rFonts w:eastAsia="仿宋_GB2312"/>
          <w:sz w:val="32"/>
          <w:szCs w:val="32"/>
        </w:rPr>
        <w:t>单位“三公”经费预算数为</w:t>
      </w:r>
      <w:r>
        <w:rPr>
          <w:rFonts w:hint="eastAsia" w:eastAsia="仿宋_GB2312"/>
          <w:sz w:val="32"/>
          <w:szCs w:val="32"/>
          <w:u w:val="single"/>
          <w:lang w:val="en-US" w:eastAsia="zh-CN"/>
        </w:rPr>
        <w:t>32</w:t>
      </w:r>
      <w:r>
        <w:rPr>
          <w:rFonts w:eastAsia="仿宋_GB2312"/>
          <w:sz w:val="32"/>
          <w:szCs w:val="32"/>
        </w:rPr>
        <w:t>万元，其中，公务接待费</w:t>
      </w:r>
      <w:r>
        <w:rPr>
          <w:rFonts w:hint="eastAsia" w:eastAsia="仿宋_GB2312"/>
          <w:sz w:val="32"/>
          <w:szCs w:val="32"/>
          <w:u w:val="single"/>
          <w:lang w:val="en-US" w:eastAsia="zh-CN"/>
        </w:rPr>
        <w:t>18</w:t>
      </w:r>
      <w:r>
        <w:rPr>
          <w:rFonts w:eastAsia="仿宋_GB2312"/>
          <w:sz w:val="32"/>
          <w:szCs w:val="32"/>
        </w:rPr>
        <w:t>万元，公务用车购置及运行费</w:t>
      </w:r>
      <w:r>
        <w:rPr>
          <w:rFonts w:hint="eastAsia" w:eastAsia="仿宋_GB2312"/>
          <w:sz w:val="32"/>
          <w:szCs w:val="32"/>
          <w:u w:val="single"/>
          <w:lang w:val="en-US" w:eastAsia="zh-CN"/>
        </w:rPr>
        <w:t>14</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14</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hint="eastAsia" w:eastAsia="仿宋_GB2312"/>
          <w:sz w:val="32"/>
          <w:szCs w:val="32"/>
          <w:lang w:eastAsia="zh-CN"/>
        </w:rPr>
        <w:t>主要原因是本单位工作业务未发生变化，厉行节约，严格执行预算管理。</w:t>
      </w:r>
    </w:p>
    <w:p>
      <w:pPr>
        <w:spacing w:line="600" w:lineRule="exact"/>
        <w:ind w:firstLine="643" w:firstLineChars="200"/>
        <w:rPr>
          <w:rFonts w:hint="eastAsia" w:eastAsia="仿宋_GB2312"/>
          <w:b/>
          <w:color w:val="FF0000"/>
          <w:sz w:val="32"/>
          <w:szCs w:val="32"/>
          <w:lang w:eastAsia="zh-CN"/>
        </w:rPr>
      </w:pPr>
      <w:r>
        <w:rPr>
          <w:rFonts w:eastAsia="楷体_GB2312"/>
          <w:b/>
          <w:sz w:val="32"/>
          <w:szCs w:val="32"/>
        </w:rPr>
        <w:t>（三）</w:t>
      </w:r>
      <w:r>
        <w:rPr>
          <w:rFonts w:hint="eastAsia" w:eastAsia="楷体_GB2312"/>
          <w:b/>
          <w:sz w:val="32"/>
          <w:szCs w:val="32"/>
          <w:lang w:eastAsia="zh-CN"/>
        </w:rPr>
        <w:t>一般性支出情况：</w:t>
      </w:r>
      <w:r>
        <w:rPr>
          <w:rFonts w:hint="eastAsia" w:eastAsia="仿宋_GB2312"/>
          <w:sz w:val="32"/>
          <w:szCs w:val="32"/>
          <w:lang w:eastAsia="zh-CN"/>
        </w:rPr>
        <w:t>2022年本部门会议费预算0万元；培训费预算0万元。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eastAsia="仿宋_GB2312"/>
          <w:bCs/>
          <w:kern w:val="0"/>
          <w:sz w:val="32"/>
          <w:szCs w:val="32"/>
          <w:u w:val="single"/>
        </w:rPr>
        <w:t xml:space="preserve">  </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rPr>
      </w:pPr>
      <w:r>
        <w:rPr>
          <w:rFonts w:hint="eastAsia" w:eastAsia="仿宋_GB2312"/>
          <w:bCs/>
          <w:kern w:val="0"/>
          <w:sz w:val="32"/>
          <w:szCs w:val="32"/>
        </w:rPr>
        <w:t>本部门所有支出实行绩效目标管理，纳入2022年部门整体支出绩效目标的金额为196.56万元，其中，基本支出155.56万元，单位项目支出41万元，重点项目（专项）支出</w:t>
      </w:r>
      <w:r>
        <w:rPr>
          <w:rFonts w:hint="eastAsia" w:eastAsia="仿宋_GB2312"/>
          <w:bCs/>
          <w:kern w:val="0"/>
          <w:sz w:val="32"/>
          <w:szCs w:val="32"/>
          <w:lang w:val="en-US" w:eastAsia="zh-CN"/>
        </w:rPr>
        <w:t>0</w:t>
      </w:r>
      <w:r>
        <w:rPr>
          <w:rFonts w:hint="eastAsia" w:eastAsia="仿宋_GB2312"/>
          <w:bCs/>
          <w:kern w:val="0"/>
          <w:sz w:val="32"/>
          <w:szCs w:val="32"/>
        </w:rPr>
        <w:t>万元，具体绩效目标见附表。</w:t>
      </w:r>
    </w:p>
    <w:tbl>
      <w:tblPr>
        <w:tblW w:w="94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45"/>
        <w:gridCol w:w="450"/>
        <w:gridCol w:w="450"/>
        <w:gridCol w:w="756"/>
        <w:gridCol w:w="756"/>
        <w:gridCol w:w="585"/>
        <w:gridCol w:w="585"/>
        <w:gridCol w:w="585"/>
        <w:gridCol w:w="585"/>
        <w:gridCol w:w="756"/>
        <w:gridCol w:w="636"/>
        <w:gridCol w:w="1236"/>
        <w:gridCol w:w="705"/>
        <w:gridCol w:w="705"/>
        <w:gridCol w:w="3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9495" w:type="dxa"/>
            <w:gridSpan w:val="1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32"/>
                <w:szCs w:val="32"/>
                <w:u w:val="none"/>
              </w:rPr>
            </w:pPr>
            <w:r>
              <w:rPr>
                <w:rFonts w:hint="eastAsia" w:ascii="宋体" w:hAnsi="宋体" w:eastAsia="宋体" w:cs="宋体"/>
                <w:i w:val="0"/>
                <w:iCs w:val="0"/>
                <w:color w:val="000000"/>
                <w:kern w:val="0"/>
                <w:sz w:val="32"/>
                <w:szCs w:val="32"/>
                <w:u w:val="none"/>
                <w:bdr w:val="none" w:color="auto" w:sz="0" w:space="0"/>
                <w:lang w:val="en-US" w:eastAsia="zh-CN" w:bidi="ar"/>
              </w:rPr>
              <w:t>部门整体支出绩效目标申报表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0" w:type="auto"/>
            <w:gridSpan w:val="15"/>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区科技和工业信息化局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345"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排序序号</w:t>
            </w:r>
          </w:p>
        </w:tc>
        <w:tc>
          <w:tcPr>
            <w:tcW w:w="45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项目主管单位</w:t>
            </w:r>
          </w:p>
        </w:tc>
        <w:tc>
          <w:tcPr>
            <w:tcW w:w="45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包含预算单位明细</w:t>
            </w:r>
          </w:p>
        </w:tc>
        <w:tc>
          <w:tcPr>
            <w:tcW w:w="4680"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年度预算申请金额（元）</w:t>
            </w:r>
          </w:p>
        </w:tc>
        <w:tc>
          <w:tcPr>
            <w:tcW w:w="1800" w:type="dxa"/>
            <w:vMerge w:val="restar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部门职能职责概述</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部门整体支出年度绩效指标</w:t>
            </w:r>
          </w:p>
        </w:tc>
        <w:tc>
          <w:tcPr>
            <w:tcW w:w="3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5" w:hRule="atLeast"/>
        </w:trPr>
        <w:tc>
          <w:tcPr>
            <w:tcW w:w="3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5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5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585" w:type="dxa"/>
            <w:vMerge w:val="restart"/>
            <w:tcBorders>
              <w:top w:val="nil"/>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总计</w:t>
            </w:r>
          </w:p>
        </w:tc>
        <w:tc>
          <w:tcPr>
            <w:tcW w:w="2925" w:type="dxa"/>
            <w:gridSpan w:val="5"/>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按收入资金来源</w:t>
            </w:r>
          </w:p>
        </w:tc>
        <w:tc>
          <w:tcPr>
            <w:tcW w:w="1170" w:type="dxa"/>
            <w:gridSpan w:val="2"/>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按支出性质</w:t>
            </w:r>
          </w:p>
        </w:tc>
        <w:tc>
          <w:tcPr>
            <w:tcW w:w="180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705" w:type="dxa"/>
            <w:vMerge w:val="restart"/>
            <w:tcBorders>
              <w:top w:val="nil"/>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产出指标</w:t>
            </w:r>
          </w:p>
        </w:tc>
        <w:tc>
          <w:tcPr>
            <w:tcW w:w="705" w:type="dxa"/>
            <w:vMerge w:val="restart"/>
            <w:tcBorders>
              <w:top w:val="nil"/>
              <w:left w:val="single" w:color="000000" w:sz="4" w:space="0"/>
              <w:bottom w:val="single" w:color="000000" w:sz="4"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效益指标</w:t>
            </w: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60" w:hRule="atLeast"/>
        </w:trPr>
        <w:tc>
          <w:tcPr>
            <w:tcW w:w="345"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5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45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585" w:type="dxa"/>
            <w:vMerge w:val="continue"/>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公共财政拨款</w:t>
            </w: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纳入预算管理的非税收入拨款</w:t>
            </w: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政府性基金拨款</w:t>
            </w: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纳入专户管理的非税收入拨款</w:t>
            </w: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其他资金</w:t>
            </w: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基本支出</w:t>
            </w:r>
          </w:p>
        </w:tc>
        <w:tc>
          <w:tcPr>
            <w:tcW w:w="585" w:type="dxa"/>
            <w:tcBorders>
              <w:top w:val="nil"/>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项目支出</w:t>
            </w:r>
          </w:p>
        </w:tc>
        <w:tc>
          <w:tcPr>
            <w:tcW w:w="1800" w:type="dxa"/>
            <w:vMerge w:val="continue"/>
            <w:tcBorders>
              <w:top w:val="single" w:color="000000" w:sz="4" w:space="0"/>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705" w:type="dxa"/>
            <w:vMerge w:val="continue"/>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705" w:type="dxa"/>
            <w:vMerge w:val="continue"/>
            <w:tcBorders>
              <w:top w:val="nil"/>
              <w:left w:val="single" w:color="000000" w:sz="4" w:space="0"/>
              <w:bottom w:val="single" w:color="000000" w:sz="4" w:space="0"/>
              <w:right w:val="nil"/>
            </w:tcBorders>
            <w:shd w:val="clear" w:color="auto" w:fill="FFFFFF"/>
            <w:vAlign w:val="center"/>
          </w:tcPr>
          <w:p>
            <w:pPr>
              <w:jc w:val="center"/>
              <w:rPr>
                <w:rFonts w:hint="eastAsia" w:ascii="宋体" w:hAnsi="宋体" w:eastAsia="宋体" w:cs="宋体"/>
                <w:i w:val="0"/>
                <w:iCs w:val="0"/>
                <w:color w:val="000000"/>
                <w:sz w:val="12"/>
                <w:szCs w:val="12"/>
                <w:u w:val="none"/>
              </w:rPr>
            </w:pPr>
          </w:p>
        </w:tc>
        <w:tc>
          <w:tcPr>
            <w:tcW w:w="3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540" w:hRule="atLeast"/>
        </w:trPr>
        <w:tc>
          <w:tcPr>
            <w:tcW w:w="34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w:t>
            </w:r>
          </w:p>
        </w:tc>
        <w:tc>
          <w:tcPr>
            <w:tcW w:w="45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区科技和工业信息化局</w:t>
            </w:r>
          </w:p>
        </w:tc>
        <w:tc>
          <w:tcPr>
            <w:tcW w:w="45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区科技和工业信息化局</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1,965,585</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1,965,585</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0</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1,555,585</w:t>
            </w:r>
          </w:p>
        </w:tc>
        <w:tc>
          <w:tcPr>
            <w:tcW w:w="58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410,000</w:t>
            </w:r>
          </w:p>
        </w:tc>
        <w:tc>
          <w:tcPr>
            <w:tcW w:w="1800"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益阳市大通湖区科技和工业化信息局为独立核算单位，局机关内设置4个股室，分别是办公室、商务股、工业和信息化股、科技和科协股。是大通湖投资促进事务中心，为区科技工信局所属正股级公益一类事业单位，核定全额事业编制6名，设主任1名。主要职责是：负责招商引资工作规划的制定，指导协调区直部门和乡镇开展招商引资工作。负责宣传推介招商项目，建立招商引资项目库、人员库、信息库，统一对外发布招商项目和信息； 协调组织重大招商引资活动。负责投资项目的开发认证、包装、对外发布； 负责区本级重点招商外资项目的咨询、跟踪调度和协调推进； 负责外商投资项目合同、章程的审核及其变更备案； 协调外商投资项目的联络和项目落户跟踪工作； 负责全区利用内、外资的统计工作。负责为境外、境内区域外落户我区的招商外资项目提供办理项目行政审批所需的咨询服务，为投资者代为区级政府权限内有关行政审批事项和服务性事项。负责全区招商引资目标任务的考核和督促检查工作。</w:t>
            </w:r>
          </w:p>
        </w:tc>
        <w:tc>
          <w:tcPr>
            <w:tcW w:w="7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全局工作人员数量12人；2、全局机构设置数量3个；3、全年三公经费金额32万元；4、局机构运行率100%；5、三公经费控制率100%;6、部门整体支出使用率100%；7、人员支出完成率100%；8、预算执行情况100%；9、资金使用时间2022年1月-12月； 10、资金拨付时效2022年1月-12月；11、全年平均人员支出金额6.7万元/人；12、全年项目支出总金额41万元。</w:t>
            </w:r>
          </w:p>
        </w:tc>
        <w:tc>
          <w:tcPr>
            <w:tcW w:w="705" w:type="dxa"/>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color w:val="000000"/>
                <w:kern w:val="0"/>
                <w:sz w:val="12"/>
                <w:szCs w:val="12"/>
                <w:u w:val="none"/>
                <w:bdr w:val="none" w:color="auto" w:sz="0" w:space="0"/>
                <w:lang w:val="en-US" w:eastAsia="zh-CN" w:bidi="ar"/>
              </w:rPr>
              <w:t>1、带动全区人员政治、经济、文化、社会、生态文明的建设和有效发展100%；2、保证全区人员的社会治理治安100%；3、保障全区人员的生命财产安全100%；4、维护全区人员的生产生活环境100%； 5、促进经济文化可持续发展长期有效；6、促进生态文明环境可持续发展长期有效；7、公共服务满意率100%；8、政府机构人员满意率100%。</w:t>
            </w:r>
          </w:p>
        </w:tc>
        <w:tc>
          <w:tcPr>
            <w:tcW w:w="3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12"/>
                <w:szCs w:val="12"/>
                <w:u w:val="none"/>
              </w:rPr>
            </w:pPr>
          </w:p>
        </w:tc>
      </w:tr>
    </w:tbl>
    <w:p>
      <w:pPr>
        <w:widowControl/>
        <w:spacing w:line="600" w:lineRule="exact"/>
        <w:jc w:val="left"/>
        <w:rPr>
          <w:rFonts w:hint="eastAsia" w:eastAsia="仿宋_GB2312"/>
          <w:bCs/>
          <w:kern w:val="0"/>
          <w:sz w:val="32"/>
          <w:szCs w:val="32"/>
        </w:rPr>
      </w:pPr>
      <w:bookmarkStart w:id="0" w:name="_GoBack"/>
      <w:bookmarkEnd w:id="0"/>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4NTA5ZmNiMGUyNTAwZjdlMzY2NzA4MTI4ODAxYjA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250CBC"/>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2EC2C9F"/>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D7E765F"/>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55242E"/>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12</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快乐大使</cp:lastModifiedBy>
  <cp:lastPrinted>2021-05-16T11:47:00Z</cp:lastPrinted>
  <dcterms:modified xsi:type="dcterms:W3CDTF">2023-10-05T03:07:28Z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2AB3E61E43D84BA08BE8696AD5C39132_13</vt:lpwstr>
  </property>
</Properties>
</file>