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eastAsia="方正小标宋_GBK"/>
          <w:bCs/>
          <w:kern w:val="0"/>
          <w:sz w:val="44"/>
          <w:szCs w:val="44"/>
        </w:rPr>
      </w:pPr>
      <w:r>
        <w:rPr>
          <w:rFonts w:eastAsia="黑体"/>
          <w:sz w:val="32"/>
          <w:szCs w:val="32"/>
        </w:rPr>
        <w:t xml:space="preserve"> </w:t>
      </w:r>
      <w:r>
        <w:rPr>
          <w:rFonts w:hint="eastAsia" w:eastAsia="方正小标宋_GBK"/>
          <w:bCs/>
          <w:kern w:val="0"/>
          <w:sz w:val="44"/>
          <w:szCs w:val="44"/>
        </w:rPr>
        <w:t>2022年度</w:t>
      </w:r>
    </w:p>
    <w:p>
      <w:pPr>
        <w:widowControl/>
        <w:spacing w:line="600" w:lineRule="exact"/>
        <w:jc w:val="center"/>
        <w:rPr>
          <w:rFonts w:eastAsia="方正小标宋_GBK"/>
          <w:bCs/>
          <w:kern w:val="0"/>
          <w:sz w:val="44"/>
          <w:szCs w:val="44"/>
        </w:rPr>
      </w:pPr>
      <w:r>
        <w:rPr>
          <w:rFonts w:hint="eastAsia" w:eastAsia="方正小标宋_GBK"/>
          <w:bCs/>
          <w:kern w:val="0"/>
          <w:sz w:val="44"/>
          <w:szCs w:val="44"/>
        </w:rPr>
        <w:t>南湾湖</w:t>
      </w:r>
      <w:r>
        <w:rPr>
          <w:rFonts w:eastAsia="方正小标宋_GBK"/>
          <w:bCs/>
          <w:kern w:val="0"/>
          <w:sz w:val="44"/>
          <w:szCs w:val="44"/>
        </w:rPr>
        <w:t>部门</w:t>
      </w:r>
      <w:r>
        <w:rPr>
          <w:rFonts w:hint="eastAsia" w:eastAsia="方正小标宋_GBK"/>
          <w:bCs/>
          <w:kern w:val="0"/>
          <w:sz w:val="44"/>
          <w:szCs w:val="44"/>
        </w:rPr>
        <w:t>（单位）</w:t>
      </w:r>
      <w:r>
        <w:rPr>
          <w:rFonts w:eastAsia="方正小标宋_GBK"/>
          <w:bCs/>
          <w:kern w:val="0"/>
          <w:sz w:val="44"/>
          <w:szCs w:val="44"/>
        </w:rPr>
        <w:t>预算</w:t>
      </w: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rPr>
          <w:rFonts w:eastAsia="仿宋_GB2312"/>
          <w:b/>
          <w:bCs/>
          <w:kern w:val="0"/>
          <w:sz w:val="32"/>
          <w:szCs w:val="32"/>
        </w:rPr>
      </w:pPr>
      <w:r>
        <w:rPr>
          <w:rFonts w:eastAsia="仿宋_GB2312"/>
          <w:b/>
          <w:bCs/>
          <w:kern w:val="0"/>
          <w:sz w:val="32"/>
          <w:szCs w:val="32"/>
        </w:rPr>
        <w:t xml:space="preserve">第一部分 </w:t>
      </w:r>
      <w:r>
        <w:rPr>
          <w:rFonts w:hint="eastAsia" w:eastAsia="仿宋_GB2312"/>
          <w:b/>
          <w:bCs/>
          <w:kern w:val="0"/>
          <w:sz w:val="32"/>
          <w:szCs w:val="32"/>
        </w:rPr>
        <w:t>2022</w:t>
      </w:r>
      <w:r>
        <w:rPr>
          <w:rFonts w:eastAsia="仿宋_GB2312"/>
          <w:b/>
          <w:bCs/>
          <w:kern w:val="0"/>
          <w:sz w:val="32"/>
          <w:szCs w:val="32"/>
        </w:rPr>
        <w:t>年部门预算说明</w:t>
      </w:r>
    </w:p>
    <w:p>
      <w:pPr>
        <w:widowControl/>
        <w:spacing w:line="600" w:lineRule="exact"/>
        <w:ind w:firstLine="640" w:firstLineChars="200"/>
        <w:rPr>
          <w:rFonts w:hint="eastAsia" w:eastAsia="仿宋_GB2312"/>
          <w:sz w:val="32"/>
          <w:szCs w:val="32"/>
        </w:rPr>
      </w:pPr>
      <w:r>
        <w:rPr>
          <w:rFonts w:hint="eastAsia" w:eastAsia="仿宋_GB2312"/>
          <w:sz w:val="32"/>
          <w:szCs w:val="32"/>
        </w:rPr>
        <w:t>一、部门基本概况</w:t>
      </w:r>
    </w:p>
    <w:p>
      <w:pPr>
        <w:widowControl/>
        <w:spacing w:line="600" w:lineRule="exact"/>
        <w:ind w:firstLine="640" w:firstLineChars="200"/>
        <w:rPr>
          <w:rFonts w:hint="eastAsia" w:eastAsia="仿宋_GB2312"/>
          <w:sz w:val="32"/>
          <w:szCs w:val="32"/>
        </w:rPr>
      </w:pPr>
      <w:r>
        <w:rPr>
          <w:rFonts w:hint="eastAsia" w:eastAsia="仿宋_GB2312"/>
          <w:sz w:val="32"/>
          <w:szCs w:val="32"/>
        </w:rPr>
        <w:t>（一）职能职责</w:t>
      </w:r>
    </w:p>
    <w:p>
      <w:pPr>
        <w:widowControl/>
        <w:spacing w:line="600" w:lineRule="exact"/>
        <w:ind w:firstLine="640" w:firstLineChars="200"/>
        <w:rPr>
          <w:rFonts w:hint="eastAsia" w:eastAsia="仿宋_GB2312"/>
          <w:sz w:val="32"/>
          <w:szCs w:val="32"/>
        </w:rPr>
      </w:pPr>
      <w:r>
        <w:rPr>
          <w:rFonts w:hint="eastAsia" w:eastAsia="仿宋_GB2312"/>
          <w:sz w:val="32"/>
          <w:szCs w:val="32"/>
        </w:rPr>
        <w:t>（二）机构设置</w:t>
      </w:r>
    </w:p>
    <w:p>
      <w:pPr>
        <w:widowControl/>
        <w:spacing w:line="600" w:lineRule="exact"/>
        <w:ind w:firstLine="640" w:firstLineChars="200"/>
        <w:rPr>
          <w:rFonts w:hint="eastAsia" w:eastAsia="仿宋_GB2312"/>
          <w:sz w:val="32"/>
          <w:szCs w:val="32"/>
        </w:rPr>
      </w:pPr>
      <w:r>
        <w:rPr>
          <w:rFonts w:hint="eastAsia" w:eastAsia="仿宋_GB2312"/>
          <w:sz w:val="32"/>
          <w:szCs w:val="32"/>
        </w:rPr>
        <w:t>二、部门预算单位构成</w:t>
      </w:r>
    </w:p>
    <w:p>
      <w:pPr>
        <w:widowControl/>
        <w:spacing w:line="600" w:lineRule="exact"/>
        <w:ind w:firstLine="640" w:firstLineChars="200"/>
        <w:rPr>
          <w:rFonts w:hint="eastAsia" w:eastAsia="仿宋_GB2312"/>
          <w:sz w:val="32"/>
          <w:szCs w:val="32"/>
        </w:rPr>
      </w:pPr>
      <w:r>
        <w:rPr>
          <w:rFonts w:hint="eastAsia" w:eastAsia="仿宋_GB2312"/>
          <w:sz w:val="32"/>
          <w:szCs w:val="32"/>
        </w:rPr>
        <w:t>三、部门收支总体情况</w:t>
      </w:r>
    </w:p>
    <w:p>
      <w:pPr>
        <w:widowControl/>
        <w:spacing w:line="600" w:lineRule="exact"/>
        <w:ind w:firstLine="640" w:firstLineChars="200"/>
        <w:rPr>
          <w:rFonts w:hint="eastAsia" w:eastAsia="仿宋_GB2312"/>
          <w:sz w:val="32"/>
          <w:szCs w:val="32"/>
        </w:rPr>
      </w:pPr>
      <w:r>
        <w:rPr>
          <w:rFonts w:hint="eastAsia" w:eastAsia="仿宋_GB2312"/>
          <w:sz w:val="32"/>
          <w:szCs w:val="32"/>
        </w:rPr>
        <w:t>（一）收入预算</w:t>
      </w:r>
    </w:p>
    <w:p>
      <w:pPr>
        <w:widowControl/>
        <w:spacing w:line="600" w:lineRule="exact"/>
        <w:ind w:firstLine="640" w:firstLineChars="200"/>
        <w:rPr>
          <w:rFonts w:hint="eastAsia" w:eastAsia="仿宋_GB2312"/>
          <w:sz w:val="32"/>
          <w:szCs w:val="32"/>
        </w:rPr>
      </w:pPr>
      <w:r>
        <w:rPr>
          <w:rFonts w:hint="eastAsia" w:eastAsia="仿宋_GB2312"/>
          <w:sz w:val="32"/>
          <w:szCs w:val="32"/>
        </w:rPr>
        <w:t>（二）支出预算</w:t>
      </w:r>
    </w:p>
    <w:p>
      <w:pPr>
        <w:widowControl/>
        <w:spacing w:line="600" w:lineRule="exact"/>
        <w:ind w:firstLine="640" w:firstLineChars="200"/>
        <w:rPr>
          <w:rFonts w:hint="eastAsia" w:eastAsia="仿宋_GB2312"/>
          <w:sz w:val="32"/>
          <w:szCs w:val="32"/>
        </w:rPr>
      </w:pPr>
      <w:r>
        <w:rPr>
          <w:rFonts w:hint="eastAsia" w:eastAsia="仿宋_GB2312"/>
          <w:sz w:val="32"/>
          <w:szCs w:val="32"/>
        </w:rPr>
        <w:t>四、一般公共预算拨款支出</w:t>
      </w:r>
    </w:p>
    <w:p>
      <w:pPr>
        <w:widowControl/>
        <w:spacing w:line="600" w:lineRule="exact"/>
        <w:ind w:firstLine="640" w:firstLineChars="200"/>
        <w:rPr>
          <w:rFonts w:hint="eastAsia" w:eastAsia="仿宋_GB2312"/>
          <w:sz w:val="32"/>
          <w:szCs w:val="32"/>
        </w:rPr>
      </w:pPr>
      <w:r>
        <w:rPr>
          <w:rFonts w:hint="eastAsia" w:eastAsia="仿宋_GB2312"/>
          <w:sz w:val="32"/>
          <w:szCs w:val="32"/>
        </w:rPr>
        <w:t>（一）基本支出</w:t>
      </w:r>
    </w:p>
    <w:p>
      <w:pPr>
        <w:widowControl/>
        <w:spacing w:line="600" w:lineRule="exact"/>
        <w:ind w:firstLine="640" w:firstLineChars="200"/>
        <w:rPr>
          <w:rFonts w:hint="eastAsia" w:eastAsia="仿宋_GB2312"/>
          <w:sz w:val="32"/>
          <w:szCs w:val="32"/>
        </w:rPr>
      </w:pPr>
      <w:r>
        <w:rPr>
          <w:rFonts w:hint="eastAsia" w:eastAsia="仿宋_GB2312"/>
          <w:sz w:val="32"/>
          <w:szCs w:val="32"/>
        </w:rPr>
        <w:t>（二）项目支出</w:t>
      </w:r>
    </w:p>
    <w:p>
      <w:pPr>
        <w:widowControl/>
        <w:spacing w:line="600" w:lineRule="exact"/>
        <w:ind w:firstLine="640" w:firstLineChars="200"/>
        <w:rPr>
          <w:rFonts w:hint="eastAsia" w:eastAsia="仿宋_GB2312"/>
          <w:sz w:val="32"/>
          <w:szCs w:val="32"/>
        </w:rPr>
      </w:pPr>
      <w:r>
        <w:rPr>
          <w:rFonts w:hint="eastAsia" w:eastAsia="仿宋_GB2312"/>
          <w:sz w:val="32"/>
          <w:szCs w:val="32"/>
        </w:rPr>
        <w:t>五、政府性基金预算支出</w:t>
      </w:r>
    </w:p>
    <w:p>
      <w:pPr>
        <w:widowControl/>
        <w:spacing w:line="600" w:lineRule="exact"/>
        <w:ind w:firstLine="640" w:firstLineChars="200"/>
        <w:rPr>
          <w:rFonts w:hint="eastAsia" w:eastAsia="仿宋_GB2312"/>
          <w:sz w:val="32"/>
          <w:szCs w:val="32"/>
        </w:rPr>
      </w:pPr>
      <w:r>
        <w:rPr>
          <w:rFonts w:hint="eastAsia" w:eastAsia="仿宋_GB2312"/>
          <w:sz w:val="32"/>
          <w:szCs w:val="32"/>
        </w:rPr>
        <w:t>六、其他重要事项的情况说明</w:t>
      </w:r>
    </w:p>
    <w:p>
      <w:pPr>
        <w:widowControl/>
        <w:spacing w:line="600" w:lineRule="exact"/>
        <w:ind w:firstLine="640" w:firstLineChars="200"/>
        <w:rPr>
          <w:rFonts w:hint="eastAsia" w:eastAsia="仿宋_GB2312"/>
          <w:sz w:val="32"/>
          <w:szCs w:val="32"/>
        </w:rPr>
      </w:pPr>
      <w:r>
        <w:rPr>
          <w:rFonts w:hint="eastAsia" w:eastAsia="仿宋_GB2312"/>
          <w:sz w:val="32"/>
          <w:szCs w:val="32"/>
        </w:rPr>
        <w:t>（一）机关运行经费</w:t>
      </w:r>
    </w:p>
    <w:p>
      <w:pPr>
        <w:widowControl/>
        <w:spacing w:line="600" w:lineRule="exact"/>
        <w:ind w:firstLine="640" w:firstLineChars="200"/>
        <w:rPr>
          <w:rFonts w:hint="eastAsia" w:eastAsia="仿宋_GB2312"/>
          <w:sz w:val="32"/>
          <w:szCs w:val="32"/>
        </w:rPr>
      </w:pPr>
      <w:r>
        <w:rPr>
          <w:rFonts w:hint="eastAsia" w:eastAsia="仿宋_GB2312"/>
          <w:sz w:val="32"/>
          <w:szCs w:val="32"/>
        </w:rPr>
        <w:t>（二）“三公”经费预算</w:t>
      </w:r>
    </w:p>
    <w:p>
      <w:pPr>
        <w:widowControl/>
        <w:spacing w:line="600" w:lineRule="exact"/>
        <w:ind w:firstLine="640" w:firstLineChars="200"/>
        <w:rPr>
          <w:rFonts w:hint="eastAsia" w:eastAsia="仿宋_GB2312"/>
          <w:sz w:val="32"/>
          <w:szCs w:val="32"/>
        </w:rPr>
      </w:pPr>
      <w:r>
        <w:rPr>
          <w:rFonts w:hint="eastAsia" w:eastAsia="仿宋_GB2312"/>
          <w:sz w:val="32"/>
          <w:szCs w:val="32"/>
        </w:rPr>
        <w:t>（三）一般性支出情况</w:t>
      </w:r>
    </w:p>
    <w:p>
      <w:pPr>
        <w:widowControl/>
        <w:spacing w:line="600" w:lineRule="exact"/>
        <w:ind w:firstLine="640" w:firstLineChars="200"/>
        <w:rPr>
          <w:rFonts w:hint="eastAsia" w:eastAsia="仿宋_GB2312"/>
          <w:sz w:val="32"/>
          <w:szCs w:val="32"/>
        </w:rPr>
      </w:pPr>
      <w:r>
        <w:rPr>
          <w:rFonts w:hint="eastAsia" w:eastAsia="仿宋_GB2312"/>
          <w:sz w:val="32"/>
          <w:szCs w:val="32"/>
        </w:rPr>
        <w:t>（四）政府采购情况</w:t>
      </w:r>
    </w:p>
    <w:p>
      <w:pPr>
        <w:widowControl/>
        <w:spacing w:line="600" w:lineRule="exact"/>
        <w:ind w:firstLine="640" w:firstLineChars="200"/>
        <w:rPr>
          <w:rFonts w:hint="eastAsia" w:eastAsia="仿宋_GB2312"/>
          <w:sz w:val="32"/>
          <w:szCs w:val="32"/>
        </w:rPr>
      </w:pPr>
      <w:r>
        <w:rPr>
          <w:rFonts w:hint="eastAsia" w:eastAsia="仿宋_GB2312"/>
          <w:sz w:val="32"/>
          <w:szCs w:val="32"/>
        </w:rPr>
        <w:t>（五）国有资产占用使用及新增资产配置情况</w:t>
      </w:r>
    </w:p>
    <w:p>
      <w:pPr>
        <w:widowControl/>
        <w:spacing w:line="600" w:lineRule="exact"/>
        <w:ind w:firstLine="640" w:firstLineChars="200"/>
        <w:rPr>
          <w:rFonts w:hint="eastAsia" w:eastAsia="仿宋_GB2312"/>
          <w:sz w:val="32"/>
          <w:szCs w:val="32"/>
        </w:rPr>
      </w:pPr>
    </w:p>
    <w:p>
      <w:pPr>
        <w:widowControl/>
        <w:spacing w:line="600" w:lineRule="exact"/>
        <w:ind w:firstLine="640" w:firstLineChars="200"/>
        <w:rPr>
          <w:rFonts w:hint="eastAsia" w:eastAsia="仿宋_GB2312"/>
          <w:sz w:val="32"/>
          <w:szCs w:val="32"/>
        </w:rPr>
      </w:pPr>
      <w:r>
        <w:rPr>
          <w:rFonts w:hint="eastAsia" w:eastAsia="仿宋_GB2312"/>
          <w:sz w:val="32"/>
          <w:szCs w:val="32"/>
        </w:rPr>
        <w:t>（六）部门整体支出、单位项目支出、重点（专项）项目支出预算绩效目标情况说明</w:t>
      </w:r>
    </w:p>
    <w:p>
      <w:pPr>
        <w:widowControl/>
        <w:spacing w:line="600" w:lineRule="exact"/>
        <w:ind w:firstLine="640" w:firstLineChars="200"/>
        <w:rPr>
          <w:rFonts w:hint="eastAsia" w:eastAsia="仿宋_GB2312"/>
          <w:sz w:val="32"/>
          <w:szCs w:val="32"/>
        </w:rPr>
      </w:pPr>
      <w:r>
        <w:rPr>
          <w:rFonts w:hint="eastAsia" w:eastAsia="仿宋_GB2312"/>
          <w:sz w:val="32"/>
          <w:szCs w:val="32"/>
        </w:rPr>
        <w:t>七、名词解释</w:t>
      </w:r>
    </w:p>
    <w:p>
      <w:pPr>
        <w:widowControl/>
        <w:spacing w:line="600" w:lineRule="exact"/>
        <w:jc w:val="left"/>
        <w:rPr>
          <w:rFonts w:eastAsia="仿宋_GB2312"/>
          <w:b/>
          <w:bCs/>
          <w:color w:val="FF0000"/>
          <w:kern w:val="0"/>
          <w:sz w:val="32"/>
          <w:szCs w:val="32"/>
        </w:rPr>
      </w:pPr>
      <w:r>
        <w:rPr>
          <w:rFonts w:eastAsia="仿宋_GB2312"/>
          <w:b/>
          <w:bCs/>
          <w:kern w:val="0"/>
          <w:sz w:val="32"/>
          <w:szCs w:val="32"/>
        </w:rPr>
        <w:t xml:space="preserve">第二部分 </w:t>
      </w:r>
      <w:r>
        <w:rPr>
          <w:rFonts w:hint="eastAsia" w:eastAsia="仿宋_GB2312"/>
          <w:b/>
          <w:bCs/>
          <w:kern w:val="0"/>
          <w:sz w:val="32"/>
          <w:szCs w:val="32"/>
        </w:rPr>
        <w:t>2022</w:t>
      </w:r>
      <w:r>
        <w:rPr>
          <w:rFonts w:eastAsia="仿宋_GB2312"/>
          <w:b/>
          <w:bCs/>
          <w:kern w:val="0"/>
          <w:sz w:val="32"/>
          <w:szCs w:val="32"/>
        </w:rPr>
        <w:t>年部门预算表</w:t>
      </w:r>
    </w:p>
    <w:p>
      <w:pPr>
        <w:widowControl/>
        <w:spacing w:line="600" w:lineRule="exact"/>
        <w:rPr>
          <w:rFonts w:hint="eastAsia" w:eastAsia="仿宋_GB2312"/>
          <w:sz w:val="32"/>
          <w:szCs w:val="32"/>
        </w:rPr>
      </w:pPr>
      <w:r>
        <w:rPr>
          <w:rFonts w:hint="eastAsia" w:eastAsia="仿宋_GB2312"/>
          <w:sz w:val="32"/>
          <w:szCs w:val="32"/>
        </w:rPr>
        <w:t xml:space="preserve">  一、2022年部门收支总表</w:t>
      </w:r>
    </w:p>
    <w:p>
      <w:pPr>
        <w:widowControl/>
        <w:spacing w:line="600" w:lineRule="exact"/>
        <w:rPr>
          <w:rFonts w:hint="eastAsia" w:eastAsia="仿宋_GB2312"/>
          <w:sz w:val="32"/>
          <w:szCs w:val="32"/>
        </w:rPr>
      </w:pPr>
      <w:r>
        <w:rPr>
          <w:rFonts w:hint="eastAsia" w:eastAsia="仿宋_GB2312"/>
          <w:sz w:val="32"/>
          <w:szCs w:val="32"/>
        </w:rPr>
        <w:t xml:space="preserve">  二、2022年部门收入总表</w:t>
      </w:r>
    </w:p>
    <w:p>
      <w:pPr>
        <w:widowControl/>
        <w:spacing w:line="600" w:lineRule="exact"/>
        <w:rPr>
          <w:rFonts w:hint="eastAsia" w:eastAsia="仿宋_GB2312"/>
          <w:sz w:val="32"/>
          <w:szCs w:val="32"/>
        </w:rPr>
      </w:pPr>
      <w:r>
        <w:rPr>
          <w:rFonts w:hint="eastAsia" w:eastAsia="仿宋_GB2312"/>
          <w:sz w:val="32"/>
          <w:szCs w:val="32"/>
        </w:rPr>
        <w:t xml:space="preserve">  三、2022年部门支出总表（按部门经济科目）</w:t>
      </w:r>
    </w:p>
    <w:p>
      <w:pPr>
        <w:widowControl/>
        <w:spacing w:line="600" w:lineRule="exact"/>
        <w:rPr>
          <w:rFonts w:hint="eastAsia" w:eastAsia="仿宋_GB2312"/>
          <w:sz w:val="32"/>
          <w:szCs w:val="32"/>
        </w:rPr>
      </w:pPr>
      <w:r>
        <w:rPr>
          <w:rFonts w:hint="eastAsia" w:eastAsia="仿宋_GB2312"/>
          <w:sz w:val="32"/>
          <w:szCs w:val="32"/>
        </w:rPr>
        <w:t xml:space="preserve">  四、2022年部门支出总表（按政府预算科目）</w:t>
      </w:r>
    </w:p>
    <w:p>
      <w:pPr>
        <w:widowControl/>
        <w:spacing w:line="600" w:lineRule="exact"/>
        <w:rPr>
          <w:rFonts w:hint="eastAsia" w:eastAsia="仿宋_GB2312"/>
          <w:sz w:val="32"/>
          <w:szCs w:val="32"/>
        </w:rPr>
      </w:pPr>
      <w:r>
        <w:rPr>
          <w:rFonts w:hint="eastAsia" w:eastAsia="仿宋_GB2312"/>
          <w:sz w:val="32"/>
          <w:szCs w:val="32"/>
        </w:rPr>
        <w:t xml:space="preserve">  五、2022年部门财政拨款收支总表</w:t>
      </w:r>
    </w:p>
    <w:p>
      <w:pPr>
        <w:widowControl/>
        <w:spacing w:line="600" w:lineRule="exact"/>
        <w:rPr>
          <w:rFonts w:hint="eastAsia" w:eastAsia="仿宋_GB2312"/>
          <w:sz w:val="32"/>
          <w:szCs w:val="32"/>
        </w:rPr>
      </w:pPr>
      <w:r>
        <w:rPr>
          <w:rFonts w:hint="eastAsia" w:eastAsia="仿宋_GB2312"/>
          <w:sz w:val="32"/>
          <w:szCs w:val="32"/>
        </w:rPr>
        <w:t xml:space="preserve">  六、2022年部门一般公共预算支出表</w:t>
      </w:r>
    </w:p>
    <w:p>
      <w:pPr>
        <w:widowControl/>
        <w:spacing w:line="600" w:lineRule="exact"/>
        <w:rPr>
          <w:rFonts w:hint="eastAsia" w:eastAsia="仿宋_GB2312"/>
          <w:sz w:val="32"/>
          <w:szCs w:val="32"/>
        </w:rPr>
      </w:pPr>
      <w:r>
        <w:rPr>
          <w:rFonts w:hint="eastAsia" w:eastAsia="仿宋_GB2312"/>
          <w:sz w:val="32"/>
          <w:szCs w:val="32"/>
        </w:rPr>
        <w:t xml:space="preserve">  七、2022年部门一般公共预算基本支出表（纵向）</w:t>
      </w:r>
    </w:p>
    <w:p>
      <w:pPr>
        <w:widowControl/>
        <w:spacing w:line="600" w:lineRule="exact"/>
        <w:rPr>
          <w:rFonts w:hint="eastAsia" w:eastAsia="仿宋_GB2312"/>
          <w:sz w:val="32"/>
          <w:szCs w:val="32"/>
        </w:rPr>
      </w:pPr>
      <w:r>
        <w:rPr>
          <w:rFonts w:hint="eastAsia" w:eastAsia="仿宋_GB2312"/>
          <w:sz w:val="32"/>
          <w:szCs w:val="32"/>
        </w:rPr>
        <w:t xml:space="preserve">  八、2022年部门一般公共预算基本支出表（横向）</w:t>
      </w:r>
    </w:p>
    <w:p>
      <w:pPr>
        <w:widowControl/>
        <w:spacing w:line="600" w:lineRule="exact"/>
        <w:rPr>
          <w:rFonts w:hint="eastAsia" w:eastAsia="仿宋_GB2312"/>
          <w:sz w:val="32"/>
          <w:szCs w:val="32"/>
        </w:rPr>
      </w:pPr>
      <w:r>
        <w:rPr>
          <w:rFonts w:hint="eastAsia" w:eastAsia="仿宋_GB2312"/>
          <w:sz w:val="32"/>
          <w:szCs w:val="32"/>
        </w:rPr>
        <w:t xml:space="preserve">  九、2022年部门政府性基金预算支出表（按部门经济科目）</w:t>
      </w:r>
    </w:p>
    <w:p>
      <w:pPr>
        <w:widowControl/>
        <w:spacing w:line="600" w:lineRule="exact"/>
        <w:rPr>
          <w:rFonts w:hint="eastAsia" w:eastAsia="仿宋_GB2312"/>
          <w:sz w:val="32"/>
          <w:szCs w:val="32"/>
        </w:rPr>
      </w:pPr>
      <w:r>
        <w:rPr>
          <w:rFonts w:hint="eastAsia" w:eastAsia="仿宋_GB2312"/>
          <w:sz w:val="32"/>
          <w:szCs w:val="32"/>
        </w:rPr>
        <w:t xml:space="preserve">  十、2022年部门政府性基金预算支出表（按政府预算科目）</w:t>
      </w:r>
    </w:p>
    <w:p>
      <w:pPr>
        <w:widowControl/>
        <w:spacing w:line="600" w:lineRule="exact"/>
        <w:rPr>
          <w:rFonts w:hint="eastAsia" w:eastAsia="仿宋_GB2312"/>
          <w:sz w:val="32"/>
          <w:szCs w:val="32"/>
        </w:rPr>
      </w:pPr>
      <w:r>
        <w:rPr>
          <w:rFonts w:hint="eastAsia" w:eastAsia="仿宋_GB2312"/>
          <w:sz w:val="32"/>
          <w:szCs w:val="32"/>
        </w:rPr>
        <w:t xml:space="preserve">  十一、2022年部门“三公”经费支出表</w:t>
      </w:r>
    </w:p>
    <w:p>
      <w:pPr>
        <w:widowControl/>
        <w:spacing w:line="600" w:lineRule="exact"/>
        <w:rPr>
          <w:rFonts w:hint="eastAsia" w:eastAsia="仿宋_GB2312"/>
          <w:sz w:val="32"/>
          <w:szCs w:val="32"/>
        </w:rPr>
      </w:pPr>
      <w:r>
        <w:rPr>
          <w:rFonts w:hint="eastAsia" w:eastAsia="仿宋_GB2312"/>
          <w:sz w:val="32"/>
          <w:szCs w:val="32"/>
        </w:rPr>
        <w:t xml:space="preserve">  十二、2022年部门政府采购预算表</w:t>
      </w:r>
    </w:p>
    <w:p>
      <w:pPr>
        <w:widowControl/>
        <w:spacing w:line="600" w:lineRule="exact"/>
        <w:rPr>
          <w:rFonts w:hint="eastAsia" w:eastAsia="仿宋_GB2312"/>
          <w:sz w:val="32"/>
          <w:szCs w:val="32"/>
        </w:rPr>
      </w:pPr>
      <w:r>
        <w:rPr>
          <w:rFonts w:hint="eastAsia" w:eastAsia="仿宋_GB2312"/>
          <w:sz w:val="32"/>
          <w:szCs w:val="32"/>
        </w:rPr>
        <w:t xml:space="preserve">  十三、2022年部门非税收入征收计划表</w:t>
      </w:r>
    </w:p>
    <w:p>
      <w:pPr>
        <w:widowControl/>
        <w:spacing w:line="600" w:lineRule="exact"/>
        <w:rPr>
          <w:rFonts w:hint="eastAsia" w:eastAsia="仿宋_GB2312"/>
          <w:sz w:val="32"/>
          <w:szCs w:val="32"/>
        </w:rPr>
      </w:pPr>
      <w:r>
        <w:rPr>
          <w:rFonts w:hint="eastAsia" w:eastAsia="仿宋_GB2312"/>
          <w:sz w:val="32"/>
          <w:szCs w:val="32"/>
        </w:rPr>
        <w:t>注：以上部门预算报表中，空表表示本部门无相关收支情况。</w:t>
      </w:r>
    </w:p>
    <w:p>
      <w:pPr>
        <w:widowControl/>
        <w:spacing w:line="600" w:lineRule="exact"/>
        <w:rPr>
          <w:rFonts w:eastAsia="方正小标宋_GBK"/>
          <w:bCs/>
          <w:kern w:val="0"/>
          <w:sz w:val="36"/>
          <w:szCs w:val="36"/>
        </w:rPr>
      </w:pPr>
    </w:p>
    <w:p>
      <w:pPr>
        <w:widowControl/>
        <w:spacing w:line="600" w:lineRule="exact"/>
        <w:rPr>
          <w:rFonts w:eastAsia="方正小标宋_GBK"/>
          <w:bCs/>
          <w:kern w:val="0"/>
          <w:sz w:val="36"/>
          <w:szCs w:val="36"/>
        </w:rPr>
      </w:pPr>
    </w:p>
    <w:p>
      <w:pPr>
        <w:widowControl/>
        <w:spacing w:line="600" w:lineRule="exact"/>
        <w:rPr>
          <w:rFonts w:eastAsia="方正小标宋_GBK"/>
          <w:bCs/>
          <w:kern w:val="0"/>
          <w:sz w:val="36"/>
          <w:szCs w:val="36"/>
        </w:rPr>
      </w:pPr>
    </w:p>
    <w:p>
      <w:pPr>
        <w:widowControl/>
        <w:spacing w:line="600" w:lineRule="exact"/>
        <w:rPr>
          <w:rFonts w:eastAsia="方正小标宋_GBK"/>
          <w:bCs/>
          <w:kern w:val="0"/>
          <w:sz w:val="36"/>
          <w:szCs w:val="36"/>
        </w:rPr>
      </w:pPr>
    </w:p>
    <w:p>
      <w:pPr>
        <w:widowControl/>
        <w:spacing w:line="600" w:lineRule="exact"/>
        <w:rPr>
          <w:rFonts w:eastAsia="方正小标宋_GBK"/>
          <w:bCs/>
          <w:kern w:val="0"/>
          <w:sz w:val="36"/>
          <w:szCs w:val="36"/>
        </w:rPr>
      </w:pPr>
      <w:r>
        <w:rPr>
          <w:rFonts w:eastAsia="方正小标宋_GBK"/>
          <w:bCs/>
          <w:kern w:val="0"/>
          <w:sz w:val="36"/>
          <w:szCs w:val="36"/>
        </w:rPr>
        <w:t>第一部分 部门预算说明</w:t>
      </w:r>
    </w:p>
    <w:p>
      <w:pPr>
        <w:widowControl/>
        <w:spacing w:line="600" w:lineRule="exact"/>
        <w:ind w:firstLine="627" w:firstLineChars="196"/>
        <w:jc w:val="left"/>
        <w:rPr>
          <w:rFonts w:eastAsia="黑体"/>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val="0"/>
          <w:bCs/>
          <w:sz w:val="32"/>
          <w:szCs w:val="32"/>
        </w:rPr>
      </w:pPr>
      <w:r>
        <w:rPr>
          <w:rFonts w:eastAsia="楷体_GB2312"/>
          <w:b/>
          <w:sz w:val="32"/>
          <w:szCs w:val="32"/>
        </w:rPr>
        <w:t>（一）职能职责</w:t>
      </w:r>
      <w:r>
        <w:rPr>
          <w:rFonts w:hint="eastAsia" w:eastAsia="楷体_GB2312"/>
          <w:b/>
          <w:sz w:val="32"/>
          <w:szCs w:val="32"/>
          <w:lang w:eastAsia="zh-CN"/>
        </w:rPr>
        <w:t>：</w:t>
      </w:r>
      <w:r>
        <w:rPr>
          <w:rFonts w:hint="eastAsia" w:eastAsia="楷体_GB2312"/>
          <w:b w:val="0"/>
          <w:bCs/>
          <w:sz w:val="32"/>
          <w:szCs w:val="32"/>
        </w:rPr>
        <w:t>贯彻落实国家政策，严格依法行政；实施社会公共管理，提供社会公共服务；发展区域经济、文化和社会公益事业；建立和完善更加密切型军地联系机制；加强军地联系，认真做好为基地服务的各项工作；维护社会秩序，确保社会稳定。</w:t>
      </w:r>
    </w:p>
    <w:p>
      <w:pPr>
        <w:widowControl/>
        <w:spacing w:line="600" w:lineRule="exact"/>
        <w:ind w:firstLine="630" w:firstLineChars="196"/>
        <w:jc w:val="left"/>
        <w:rPr>
          <w:rFonts w:hint="eastAsia" w:eastAsia="仿宋_GB2312"/>
          <w:color w:val="000000" w:themeColor="text1"/>
          <w:sz w:val="32"/>
          <w:szCs w:val="32"/>
          <w:highlight w:val="none"/>
          <w:lang w:val="en-US" w:eastAsia="zh-CN"/>
          <w14:textFill>
            <w14:solidFill>
              <w14:schemeClr w14:val="tx1"/>
            </w14:solidFill>
          </w14:textFill>
        </w:rPr>
      </w:pPr>
      <w:r>
        <w:rPr>
          <w:rFonts w:eastAsia="楷体_GB2312"/>
          <w:b/>
          <w:color w:val="000000" w:themeColor="text1"/>
          <w:sz w:val="32"/>
          <w:szCs w:val="32"/>
          <w:highlight w:val="none"/>
          <w14:textFill>
            <w14:solidFill>
              <w14:schemeClr w14:val="tx1"/>
            </w14:solidFill>
          </w14:textFill>
        </w:rPr>
        <w:t>（二）机构设置</w:t>
      </w:r>
      <w:r>
        <w:rPr>
          <w:rFonts w:hint="eastAsia" w:eastAsia="楷体_GB2312"/>
          <w:b/>
          <w:color w:val="000000" w:themeColor="text1"/>
          <w:sz w:val="32"/>
          <w:szCs w:val="32"/>
          <w:highlight w:val="none"/>
          <w:lang w:eastAsia="zh-CN"/>
          <w14:textFill>
            <w14:solidFill>
              <w14:schemeClr w14:val="tx1"/>
            </w14:solidFill>
          </w14:textFill>
        </w:rPr>
        <w:t>：</w:t>
      </w:r>
      <w:r>
        <w:rPr>
          <w:rFonts w:hint="eastAsia" w:asciiTheme="minorEastAsia" w:hAnsiTheme="minorEastAsia"/>
          <w:bCs/>
          <w:color w:val="000000" w:themeColor="text1"/>
          <w:kern w:val="0"/>
          <w:sz w:val="32"/>
          <w:szCs w:val="32"/>
          <w:highlight w:val="none"/>
          <w:lang w:eastAsia="zh-CN"/>
          <w14:textFill>
            <w14:solidFill>
              <w14:schemeClr w14:val="tx1"/>
            </w14:solidFill>
          </w14:textFill>
        </w:rPr>
        <w:t>大通湖区南湾湖办事处内设机构：</w:t>
      </w:r>
      <w:r>
        <w:rPr>
          <w:rFonts w:hint="eastAsia" w:eastAsia="仿宋_GB2312"/>
          <w:color w:val="000000" w:themeColor="text1"/>
          <w:sz w:val="32"/>
          <w:szCs w:val="32"/>
          <w:highlight w:val="none"/>
          <w:lang w:val="en-US" w:eastAsia="zh-CN"/>
          <w14:textFill>
            <w14:solidFill>
              <w14:schemeClr w14:val="tx1"/>
            </w14:solidFill>
          </w14:textFill>
        </w:rPr>
        <w:t>社会综合管理办公室（党建、社会治安管理、退役军人、应急管理、民政人社等相关工作）。</w:t>
      </w:r>
    </w:p>
    <w:p>
      <w:pPr>
        <w:widowControl/>
        <w:spacing w:line="600" w:lineRule="exact"/>
        <w:ind w:firstLine="640" w:firstLineChars="200"/>
        <w:jc w:val="left"/>
        <w:rPr>
          <w:rFonts w:eastAsia="黑体"/>
          <w:color w:val="000000" w:themeColor="text1"/>
          <w:kern w:val="0"/>
          <w:sz w:val="32"/>
          <w:szCs w:val="32"/>
          <w:highlight w:val="none"/>
          <w14:textFill>
            <w14:solidFill>
              <w14:schemeClr w14:val="tx1"/>
            </w14:solidFill>
          </w14:textFill>
        </w:rPr>
      </w:pPr>
      <w:r>
        <w:rPr>
          <w:rFonts w:eastAsia="黑体"/>
          <w:color w:val="000000" w:themeColor="text1"/>
          <w:kern w:val="0"/>
          <w:sz w:val="32"/>
          <w:szCs w:val="32"/>
          <w:highlight w:val="none"/>
          <w14:textFill>
            <w14:solidFill>
              <w14:schemeClr w14:val="tx1"/>
            </w14:solidFill>
          </w14:textFill>
        </w:rPr>
        <w:t>二、部门预算单位构成</w:t>
      </w:r>
    </w:p>
    <w:p>
      <w:pPr>
        <w:widowControl/>
        <w:spacing w:line="600" w:lineRule="exact"/>
        <w:ind w:firstLine="627" w:firstLineChars="196"/>
        <w:jc w:val="left"/>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本部门预算为汇总预算，纳入编制范围的预算单位包括：</w:t>
      </w:r>
    </w:p>
    <w:p>
      <w:pPr>
        <w:widowControl/>
        <w:spacing w:line="600" w:lineRule="exact"/>
        <w:ind w:firstLine="627" w:firstLineChars="196"/>
        <w:jc w:val="left"/>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益阳市财政局</w:t>
      </w:r>
      <w:r>
        <w:rPr>
          <w:rFonts w:eastAsia="仿宋_GB2312"/>
          <w:color w:val="000000" w:themeColor="text1"/>
          <w:sz w:val="32"/>
          <w:szCs w:val="32"/>
          <w:highlight w:val="none"/>
          <w14:textFill>
            <w14:solidFill>
              <w14:schemeClr w14:val="tx1"/>
            </w14:solidFill>
          </w14:textFill>
        </w:rPr>
        <w:t>本级</w:t>
      </w:r>
    </w:p>
    <w:p>
      <w:pPr>
        <w:widowControl/>
        <w:spacing w:line="600" w:lineRule="exact"/>
        <w:ind w:firstLine="627" w:firstLineChars="196"/>
        <w:rPr>
          <w:rFonts w:hint="eastAsia" w:eastAsia="仿宋_GB2312"/>
          <w:color w:val="000000" w:themeColor="text1"/>
          <w:sz w:val="32"/>
          <w:szCs w:val="32"/>
          <w:highlight w:val="red"/>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益阳市国库集中支付核算中心、益阳市财政事务中心。</w:t>
      </w: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三、部门收支总体情况</w:t>
      </w:r>
    </w:p>
    <w:p>
      <w:pPr>
        <w:widowControl/>
        <w:spacing w:line="600" w:lineRule="exact"/>
        <w:ind w:firstLine="630" w:firstLineChars="196"/>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eastAsia="楷体_GB2312"/>
          <w:b/>
          <w:sz w:val="32"/>
          <w:szCs w:val="32"/>
        </w:rPr>
        <w:t>（一）收入预算：</w:t>
      </w:r>
      <w:r>
        <w:rPr>
          <w:rFonts w:eastAsia="仿宋_GB2312"/>
          <w:sz w:val="32"/>
          <w:szCs w:val="32"/>
        </w:rPr>
        <w:t>包括</w:t>
      </w:r>
      <w:r>
        <w:rPr>
          <w:rFonts w:hint="eastAsia" w:eastAsia="仿宋_GB2312"/>
          <w:sz w:val="32"/>
          <w:szCs w:val="32"/>
        </w:rPr>
        <w:t>公共财政预算拨款</w:t>
      </w:r>
      <w:r>
        <w:rPr>
          <w:rFonts w:eastAsia="仿宋_GB2312"/>
          <w:sz w:val="32"/>
          <w:szCs w:val="32"/>
        </w:rPr>
        <w:t>、政府性基金、国有资本经营预算等财政拨款收入，以及经营收入、事业收入等单位资金。</w:t>
      </w:r>
      <w:r>
        <w:rPr>
          <w:rFonts w:hint="eastAsia" w:eastAsia="仿宋_GB2312"/>
          <w:sz w:val="32"/>
          <w:szCs w:val="32"/>
        </w:rPr>
        <w:t>2022</w:t>
      </w:r>
      <w:r>
        <w:rPr>
          <w:rFonts w:eastAsia="仿宋_GB2312"/>
          <w:sz w:val="32"/>
          <w:szCs w:val="32"/>
        </w:rPr>
        <w:t>年本部门收入预算</w:t>
      </w:r>
      <w:r>
        <w:rPr>
          <w:rFonts w:hint="eastAsia" w:eastAsia="仿宋_GB2312"/>
          <w:sz w:val="32"/>
          <w:szCs w:val="32"/>
          <w:u w:val="single"/>
        </w:rPr>
        <w:t>84.82</w:t>
      </w:r>
      <w:r>
        <w:rPr>
          <w:rFonts w:eastAsia="仿宋_GB2312"/>
          <w:sz w:val="32"/>
          <w:szCs w:val="32"/>
        </w:rPr>
        <w:t>万元，其中，</w:t>
      </w:r>
      <w:r>
        <w:rPr>
          <w:rFonts w:hint="eastAsia" w:eastAsia="仿宋_GB2312"/>
          <w:sz w:val="32"/>
          <w:szCs w:val="32"/>
        </w:rPr>
        <w:t>公共财政预算拨款</w:t>
      </w:r>
      <w:r>
        <w:rPr>
          <w:rFonts w:hint="eastAsia" w:eastAsia="仿宋_GB2312"/>
          <w:sz w:val="32"/>
          <w:szCs w:val="32"/>
          <w:u w:val="single"/>
        </w:rPr>
        <w:t>84.82</w:t>
      </w:r>
      <w:r>
        <w:rPr>
          <w:rFonts w:eastAsia="仿宋_GB2312"/>
          <w:sz w:val="32"/>
          <w:szCs w:val="32"/>
        </w:rPr>
        <w:t>万元。</w:t>
      </w:r>
      <w:r>
        <w:rPr>
          <w:rFonts w:eastAsia="仿宋_GB2312"/>
          <w:b/>
          <w:color w:val="000000" w:themeColor="text1"/>
          <w:sz w:val="32"/>
          <w:szCs w:val="32"/>
          <w:highlight w:val="none"/>
          <w14:textFill>
            <w14:solidFill>
              <w14:schemeClr w14:val="tx1"/>
            </w14:solidFill>
          </w14:textFill>
        </w:rPr>
        <w:t>收入较去年减少</w:t>
      </w:r>
      <w:r>
        <w:rPr>
          <w:rFonts w:eastAsia="仿宋_GB2312"/>
          <w:b/>
          <w:color w:val="000000" w:themeColor="text1"/>
          <w:sz w:val="32"/>
          <w:szCs w:val="32"/>
          <w:highlight w:val="none"/>
          <w:u w:val="single"/>
          <w14:textFill>
            <w14:solidFill>
              <w14:schemeClr w14:val="tx1"/>
            </w14:solidFill>
          </w14:textFill>
        </w:rPr>
        <w:t xml:space="preserve"> </w:t>
      </w:r>
      <w:r>
        <w:rPr>
          <w:rFonts w:hint="eastAsia" w:eastAsia="仿宋_GB2312"/>
          <w:b/>
          <w:color w:val="000000" w:themeColor="text1"/>
          <w:sz w:val="32"/>
          <w:szCs w:val="32"/>
          <w:highlight w:val="none"/>
          <w:u w:val="single"/>
          <w:lang w:val="en-US" w:eastAsia="zh-CN"/>
          <w14:textFill>
            <w14:solidFill>
              <w14:schemeClr w14:val="tx1"/>
            </w14:solidFill>
          </w14:textFill>
        </w:rPr>
        <w:t>9.51</w:t>
      </w:r>
      <w:r>
        <w:rPr>
          <w:rFonts w:eastAsia="仿宋_GB2312"/>
          <w:b/>
          <w:color w:val="000000" w:themeColor="text1"/>
          <w:sz w:val="32"/>
          <w:szCs w:val="32"/>
          <w:highlight w:val="none"/>
          <w:u w:val="single"/>
          <w14:textFill>
            <w14:solidFill>
              <w14:schemeClr w14:val="tx1"/>
            </w14:solidFill>
          </w14:textFill>
        </w:rPr>
        <w:t xml:space="preserve">  </w:t>
      </w:r>
      <w:r>
        <w:rPr>
          <w:rFonts w:eastAsia="仿宋_GB2312"/>
          <w:b/>
          <w:color w:val="000000" w:themeColor="text1"/>
          <w:sz w:val="32"/>
          <w:szCs w:val="32"/>
          <w:highlight w:val="none"/>
          <w14:textFill>
            <w14:solidFill>
              <w14:schemeClr w14:val="tx1"/>
            </w14:solidFill>
          </w14:textFill>
        </w:rPr>
        <w:t>万元，主</w:t>
      </w:r>
      <w:r>
        <w:rPr>
          <w:rFonts w:ascii="Times New Roman" w:hAnsi="Times New Roman" w:eastAsia="仿宋_GB2312" w:cs="Times New Roman"/>
          <w:b/>
          <w:color w:val="000000" w:themeColor="text1"/>
          <w:sz w:val="32"/>
          <w:szCs w:val="32"/>
          <w:highlight w:val="none"/>
          <w14:textFill>
            <w14:solidFill>
              <w14:schemeClr w14:val="tx1"/>
            </w14:solidFill>
          </w14:textFill>
        </w:rPr>
        <w:t>要是</w:t>
      </w:r>
      <w:r>
        <w:rPr>
          <w:rFonts w:hint="eastAsia" w:ascii="Times New Roman" w:hAnsi="Times New Roman" w:eastAsia="仿宋_GB2312" w:cs="Times New Roman"/>
          <w:b/>
          <w:color w:val="000000" w:themeColor="text1"/>
          <w:sz w:val="32"/>
          <w:szCs w:val="32"/>
          <w:highlight w:val="none"/>
          <w14:textFill>
            <w14:solidFill>
              <w14:schemeClr w14:val="tx1"/>
            </w14:solidFill>
          </w14:textFill>
        </w:rPr>
        <w:t>财政压减财政项目支出预算</w:t>
      </w:r>
      <w:r>
        <w:rPr>
          <w:rFonts w:ascii="Times New Roman" w:hAnsi="Times New Roman" w:eastAsia="仿宋_GB2312" w:cs="Times New Roman"/>
          <w:b/>
          <w:color w:val="000000" w:themeColor="text1"/>
          <w:sz w:val="32"/>
          <w:szCs w:val="32"/>
          <w:highlight w:val="none"/>
          <w14:textFill>
            <w14:solidFill>
              <w14:schemeClr w14:val="tx1"/>
            </w14:solidFill>
          </w14:textFill>
        </w:rPr>
        <w:t>。</w:t>
      </w:r>
    </w:p>
    <w:p>
      <w:pPr>
        <w:widowControl/>
        <w:spacing w:line="600" w:lineRule="exact"/>
        <w:ind w:firstLine="630" w:firstLineChars="196"/>
        <w:jc w:val="left"/>
        <w:rPr>
          <w:rFonts w:eastAsia="仿宋_GB2312"/>
          <w:b/>
          <w:color w:val="auto"/>
          <w:sz w:val="32"/>
          <w:szCs w:val="32"/>
          <w:highlight w:val="none"/>
        </w:rPr>
      </w:pPr>
      <w:r>
        <w:rPr>
          <w:rFonts w:eastAsia="楷体_GB2312"/>
          <w:b/>
          <w:sz w:val="32"/>
          <w:szCs w:val="32"/>
        </w:rPr>
        <w:t>（二）支出预算：</w:t>
      </w:r>
      <w:r>
        <w:rPr>
          <w:rFonts w:hint="eastAsia" w:eastAsia="仿宋_GB2312"/>
          <w:sz w:val="32"/>
          <w:szCs w:val="32"/>
        </w:rPr>
        <w:t>2022</w:t>
      </w:r>
      <w:r>
        <w:rPr>
          <w:rFonts w:eastAsia="仿宋_GB2312"/>
          <w:sz w:val="32"/>
          <w:szCs w:val="32"/>
        </w:rPr>
        <w:t>年本部门支出预算</w:t>
      </w:r>
      <w:r>
        <w:rPr>
          <w:rFonts w:hint="eastAsia" w:eastAsia="仿宋_GB2312"/>
          <w:sz w:val="32"/>
          <w:szCs w:val="32"/>
          <w:u w:val="single"/>
        </w:rPr>
        <w:t>84.82</w:t>
      </w:r>
      <w:r>
        <w:rPr>
          <w:rFonts w:eastAsia="仿宋_GB2312"/>
          <w:sz w:val="32"/>
          <w:szCs w:val="32"/>
        </w:rPr>
        <w:t>万元，其中，一般公共服务</w:t>
      </w:r>
      <w:r>
        <w:rPr>
          <w:rFonts w:hint="eastAsia" w:eastAsia="仿宋_GB2312"/>
          <w:sz w:val="32"/>
          <w:szCs w:val="32"/>
          <w:u w:val="single"/>
          <w:lang w:val="en-US" w:eastAsia="zh-CN"/>
        </w:rPr>
        <w:t>65.75</w:t>
      </w:r>
      <w:r>
        <w:rPr>
          <w:rFonts w:eastAsia="仿宋_GB2312"/>
          <w:sz w:val="32"/>
          <w:szCs w:val="32"/>
        </w:rPr>
        <w:t>万元，</w:t>
      </w:r>
      <w:r>
        <w:rPr>
          <w:rFonts w:hint="eastAsia" w:eastAsia="仿宋_GB2312"/>
          <w:sz w:val="32"/>
          <w:szCs w:val="32"/>
        </w:rPr>
        <w:t>教育支出0万元，社会保障和就业支出8.91万元，卫生健康支出 5.88万元，住房保障支出4.28万元</w:t>
      </w:r>
      <w:r>
        <w:rPr>
          <w:rFonts w:eastAsia="仿宋_GB2312"/>
          <w:sz w:val="32"/>
          <w:szCs w:val="32"/>
        </w:rPr>
        <w:t>。</w:t>
      </w:r>
      <w:r>
        <w:rPr>
          <w:rFonts w:eastAsia="仿宋_GB2312"/>
          <w:b/>
          <w:sz w:val="32"/>
          <w:szCs w:val="32"/>
          <w:highlight w:val="none"/>
        </w:rPr>
        <w:t>支</w:t>
      </w:r>
      <w:r>
        <w:rPr>
          <w:rFonts w:eastAsia="仿宋_GB2312"/>
          <w:b/>
          <w:color w:val="auto"/>
          <w:sz w:val="32"/>
          <w:szCs w:val="32"/>
          <w:highlight w:val="none"/>
        </w:rPr>
        <w:t>出较去年减少</w:t>
      </w:r>
      <w:r>
        <w:rPr>
          <w:rFonts w:eastAsia="仿宋_GB2312"/>
          <w:b/>
          <w:color w:val="auto"/>
          <w:sz w:val="32"/>
          <w:szCs w:val="32"/>
          <w:highlight w:val="none"/>
          <w:u w:val="single"/>
        </w:rPr>
        <w:t xml:space="preserve"> </w:t>
      </w:r>
      <w:r>
        <w:rPr>
          <w:rFonts w:hint="eastAsia" w:eastAsia="仿宋_GB2312"/>
          <w:b/>
          <w:color w:val="auto"/>
          <w:sz w:val="32"/>
          <w:szCs w:val="32"/>
          <w:highlight w:val="none"/>
          <w:u w:val="single"/>
          <w:lang w:val="en-US" w:eastAsia="zh-CN"/>
        </w:rPr>
        <w:t>9.51</w:t>
      </w:r>
      <w:r>
        <w:rPr>
          <w:rFonts w:eastAsia="仿宋_GB2312"/>
          <w:b/>
          <w:color w:val="auto"/>
          <w:sz w:val="32"/>
          <w:szCs w:val="32"/>
          <w:highlight w:val="none"/>
          <w:u w:val="single"/>
        </w:rPr>
        <w:t xml:space="preserve"> </w:t>
      </w:r>
      <w:r>
        <w:rPr>
          <w:rFonts w:eastAsia="仿宋_GB2312"/>
          <w:b/>
          <w:color w:val="auto"/>
          <w:sz w:val="32"/>
          <w:szCs w:val="32"/>
          <w:highlight w:val="none"/>
        </w:rPr>
        <w:t>万元，主要</w:t>
      </w:r>
      <w:r>
        <w:rPr>
          <w:rFonts w:hint="eastAsia" w:eastAsia="仿宋_GB2312"/>
          <w:b/>
          <w:color w:val="auto"/>
          <w:sz w:val="32"/>
          <w:szCs w:val="32"/>
          <w:highlight w:val="none"/>
        </w:rPr>
        <w:t>原因</w:t>
      </w:r>
      <w:r>
        <w:rPr>
          <w:rFonts w:eastAsia="仿宋_GB2312"/>
          <w:b/>
          <w:color w:val="auto"/>
          <w:sz w:val="32"/>
          <w:szCs w:val="32"/>
          <w:highlight w:val="none"/>
        </w:rPr>
        <w:t>是</w:t>
      </w:r>
      <w:r>
        <w:rPr>
          <w:rFonts w:eastAsia="仿宋_GB2312"/>
          <w:b w:val="0"/>
          <w:bCs/>
          <w:color w:val="auto"/>
          <w:sz w:val="32"/>
          <w:szCs w:val="32"/>
          <w:highlight w:val="none"/>
        </w:rPr>
        <w:t>主要</w:t>
      </w:r>
      <w:r>
        <w:rPr>
          <w:rFonts w:hint="eastAsia" w:eastAsia="仿宋_GB2312"/>
          <w:b w:val="0"/>
          <w:bCs/>
          <w:color w:val="auto"/>
          <w:sz w:val="32"/>
          <w:szCs w:val="32"/>
          <w:highlight w:val="none"/>
        </w:rPr>
        <w:t>原因</w:t>
      </w:r>
      <w:r>
        <w:rPr>
          <w:rFonts w:eastAsia="仿宋_GB2312"/>
          <w:b w:val="0"/>
          <w:bCs/>
          <w:color w:val="auto"/>
          <w:sz w:val="32"/>
          <w:szCs w:val="32"/>
          <w:highlight w:val="none"/>
        </w:rPr>
        <w:t>是</w:t>
      </w:r>
      <w:r>
        <w:rPr>
          <w:rFonts w:hint="eastAsia" w:eastAsia="仿宋_GB2312"/>
          <w:b w:val="0"/>
          <w:bCs/>
          <w:color w:val="auto"/>
          <w:sz w:val="32"/>
          <w:szCs w:val="32"/>
          <w:highlight w:val="none"/>
        </w:rPr>
        <w:t>财政压减财政项目支出预算；认真全面贯彻过“紧日子”相关政策要求，严格压减一般性支出。</w:t>
      </w:r>
    </w:p>
    <w:p>
      <w:pPr>
        <w:widowControl/>
        <w:spacing w:line="600" w:lineRule="exact"/>
        <w:ind w:firstLine="660"/>
        <w:jc w:val="left"/>
        <w:rPr>
          <w:rFonts w:eastAsia="黑体"/>
          <w:sz w:val="32"/>
          <w:szCs w:val="32"/>
        </w:rPr>
      </w:pPr>
      <w:r>
        <w:rPr>
          <w:rFonts w:eastAsia="黑体"/>
          <w:sz w:val="32"/>
          <w:szCs w:val="32"/>
        </w:rPr>
        <w:t>四、一般公共预算拨款支出</w:t>
      </w:r>
    </w:p>
    <w:p>
      <w:pPr>
        <w:widowControl/>
        <w:spacing w:line="600" w:lineRule="exact"/>
        <w:ind w:firstLine="660"/>
        <w:jc w:val="left"/>
        <w:rPr>
          <w:rFonts w:hint="default" w:eastAsia="仿宋_GB2312"/>
          <w:color w:val="FFFFFF" w:themeColor="background1"/>
          <w:sz w:val="32"/>
          <w:szCs w:val="32"/>
          <w:highlight w:val="none"/>
          <w:lang w:val="en-US" w:eastAsia="zh-CN"/>
          <w14:textFill>
            <w14:solidFill>
              <w14:schemeClr w14:val="bg1"/>
            </w14:solidFill>
          </w14:textFill>
        </w:rPr>
      </w:pPr>
      <w:r>
        <w:rPr>
          <w:rFonts w:hint="eastAsia" w:eastAsia="仿宋_GB2312"/>
          <w:sz w:val="32"/>
          <w:szCs w:val="32"/>
        </w:rPr>
        <w:t>2022</w:t>
      </w:r>
      <w:r>
        <w:rPr>
          <w:rFonts w:eastAsia="仿宋_GB2312"/>
          <w:sz w:val="32"/>
          <w:szCs w:val="32"/>
        </w:rPr>
        <w:t>年本部门一般公共预算拨款支出预算</w:t>
      </w:r>
      <w:r>
        <w:rPr>
          <w:rFonts w:hint="eastAsia" w:eastAsia="仿宋_GB2312"/>
          <w:sz w:val="32"/>
          <w:szCs w:val="32"/>
          <w:u w:val="single"/>
        </w:rPr>
        <w:t>84.82</w:t>
      </w:r>
      <w:r>
        <w:rPr>
          <w:rFonts w:eastAsia="仿宋_GB2312"/>
          <w:sz w:val="32"/>
          <w:szCs w:val="32"/>
        </w:rPr>
        <w:t>万元，其中，一般公共服务支出</w:t>
      </w:r>
      <w:r>
        <w:rPr>
          <w:rFonts w:hint="eastAsia" w:eastAsia="仿宋_GB2312"/>
          <w:sz w:val="32"/>
          <w:szCs w:val="32"/>
          <w:u w:val="single"/>
          <w:lang w:val="en-US" w:eastAsia="zh-CN"/>
        </w:rPr>
        <w:t>65.75</w:t>
      </w:r>
      <w:r>
        <w:rPr>
          <w:rFonts w:eastAsia="仿宋_GB2312"/>
          <w:sz w:val="32"/>
          <w:szCs w:val="32"/>
        </w:rPr>
        <w:t>万元，</w:t>
      </w:r>
      <w:r>
        <w:rPr>
          <w:rFonts w:eastAsia="仿宋_GB2312"/>
          <w:color w:val="auto"/>
          <w:sz w:val="32"/>
          <w:szCs w:val="32"/>
          <w:highlight w:val="none"/>
        </w:rPr>
        <w:t>占</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77.52</w:t>
      </w:r>
      <w:r>
        <w:rPr>
          <w:rFonts w:eastAsia="仿宋_GB2312"/>
          <w:color w:val="auto"/>
          <w:sz w:val="32"/>
          <w:szCs w:val="32"/>
          <w:highlight w:val="none"/>
          <w:u w:val="single"/>
        </w:rPr>
        <w:t xml:space="preserve"> </w:t>
      </w:r>
      <w:r>
        <w:rPr>
          <w:rFonts w:eastAsia="仿宋_GB2312"/>
          <w:color w:val="auto"/>
          <w:sz w:val="32"/>
          <w:szCs w:val="32"/>
          <w:highlight w:val="none"/>
        </w:rPr>
        <w:t xml:space="preserve"> %；</w:t>
      </w:r>
      <w:r>
        <w:rPr>
          <w:rFonts w:hint="eastAsia" w:eastAsia="仿宋_GB2312"/>
          <w:color w:val="auto"/>
          <w:sz w:val="32"/>
          <w:szCs w:val="32"/>
          <w:highlight w:val="none"/>
        </w:rPr>
        <w:t>社会保障和就业支出</w:t>
      </w:r>
      <w:r>
        <w:rPr>
          <w:rFonts w:hint="eastAsia" w:eastAsia="仿宋_GB2312"/>
          <w:color w:val="auto"/>
          <w:sz w:val="32"/>
          <w:szCs w:val="32"/>
          <w:highlight w:val="none"/>
          <w:u w:val="single"/>
          <w:lang w:val="en-US" w:eastAsia="zh-CN"/>
        </w:rPr>
        <w:t>8.91</w:t>
      </w:r>
      <w:r>
        <w:rPr>
          <w:rFonts w:hint="eastAsia" w:eastAsia="仿宋_GB2312"/>
          <w:color w:val="auto"/>
          <w:sz w:val="32"/>
          <w:szCs w:val="32"/>
          <w:highlight w:val="none"/>
          <w:u w:val="none"/>
          <w:lang w:val="en-US" w:eastAsia="zh-CN"/>
        </w:rPr>
        <w:t>万元，占</w:t>
      </w:r>
      <w:r>
        <w:rPr>
          <w:rFonts w:hint="eastAsia" w:eastAsia="仿宋_GB2312"/>
          <w:color w:val="auto"/>
          <w:sz w:val="32"/>
          <w:szCs w:val="32"/>
          <w:highlight w:val="none"/>
          <w:u w:val="single"/>
          <w:lang w:val="en-US" w:eastAsia="zh-CN"/>
        </w:rPr>
        <w:t xml:space="preserve"> 10.5</w:t>
      </w:r>
      <w:r>
        <w:rPr>
          <w:rFonts w:hint="eastAsia" w:eastAsia="仿宋_GB2312"/>
          <w:color w:val="auto"/>
          <w:sz w:val="32"/>
          <w:szCs w:val="32"/>
          <w:highlight w:val="none"/>
          <w:u w:val="none"/>
          <w:lang w:val="en-US" w:eastAsia="zh-CN"/>
        </w:rPr>
        <w:t>%;</w:t>
      </w:r>
      <w:r>
        <w:rPr>
          <w:rFonts w:hint="eastAsia" w:eastAsia="仿宋_GB2312"/>
          <w:color w:val="auto"/>
          <w:sz w:val="32"/>
          <w:szCs w:val="32"/>
          <w:highlight w:val="none"/>
        </w:rPr>
        <w:t>卫生健康支出</w:t>
      </w:r>
      <w:r>
        <w:rPr>
          <w:rFonts w:hint="eastAsia" w:eastAsia="仿宋_GB2312"/>
          <w:color w:val="auto"/>
          <w:sz w:val="32"/>
          <w:szCs w:val="32"/>
          <w:highlight w:val="none"/>
          <w:u w:val="single"/>
          <w:lang w:val="en-US" w:eastAsia="zh-CN"/>
        </w:rPr>
        <w:t xml:space="preserve"> 5.88 </w:t>
      </w:r>
      <w:r>
        <w:rPr>
          <w:rFonts w:hint="eastAsia" w:eastAsia="仿宋_GB2312"/>
          <w:color w:val="auto"/>
          <w:sz w:val="32"/>
          <w:szCs w:val="32"/>
          <w:highlight w:val="none"/>
          <w:u w:val="none"/>
          <w:lang w:val="en-US" w:eastAsia="zh-CN"/>
        </w:rPr>
        <w:t>万元，占</w:t>
      </w:r>
      <w:r>
        <w:rPr>
          <w:rFonts w:hint="eastAsia" w:eastAsia="仿宋_GB2312"/>
          <w:color w:val="auto"/>
          <w:sz w:val="32"/>
          <w:szCs w:val="32"/>
          <w:highlight w:val="none"/>
          <w:u w:val="single"/>
          <w:lang w:val="en-US" w:eastAsia="zh-CN"/>
        </w:rPr>
        <w:t xml:space="preserve"> 6.93 </w:t>
      </w:r>
      <w:r>
        <w:rPr>
          <w:rFonts w:hint="eastAsia" w:eastAsia="仿宋_GB2312"/>
          <w:color w:val="auto"/>
          <w:sz w:val="32"/>
          <w:szCs w:val="32"/>
          <w:highlight w:val="none"/>
          <w:u w:val="none"/>
          <w:lang w:val="en-US" w:eastAsia="zh-CN"/>
        </w:rPr>
        <w:t>%；住房保障支出</w:t>
      </w:r>
      <w:r>
        <w:rPr>
          <w:rFonts w:hint="eastAsia" w:eastAsia="仿宋_GB2312"/>
          <w:color w:val="auto"/>
          <w:sz w:val="32"/>
          <w:szCs w:val="32"/>
          <w:highlight w:val="none"/>
          <w:u w:val="single"/>
          <w:lang w:val="en-US" w:eastAsia="zh-CN"/>
        </w:rPr>
        <w:t xml:space="preserve"> 4.28</w:t>
      </w:r>
      <w:r>
        <w:rPr>
          <w:rFonts w:hint="eastAsia" w:eastAsia="仿宋_GB2312"/>
          <w:color w:val="auto"/>
          <w:sz w:val="32"/>
          <w:szCs w:val="32"/>
          <w:highlight w:val="none"/>
          <w:u w:val="none"/>
          <w:lang w:val="en-US" w:eastAsia="zh-CN"/>
        </w:rPr>
        <w:t>万元，占</w:t>
      </w:r>
      <w:r>
        <w:rPr>
          <w:rFonts w:hint="eastAsia" w:eastAsia="仿宋_GB2312"/>
          <w:color w:val="auto"/>
          <w:sz w:val="32"/>
          <w:szCs w:val="32"/>
          <w:highlight w:val="none"/>
          <w:u w:val="single"/>
          <w:lang w:val="en-US" w:eastAsia="zh-CN"/>
        </w:rPr>
        <w:t xml:space="preserve"> 5.05 </w:t>
      </w:r>
      <w:r>
        <w:rPr>
          <w:rFonts w:hint="eastAsia" w:eastAsia="仿宋_GB2312"/>
          <w:color w:val="auto"/>
          <w:sz w:val="32"/>
          <w:szCs w:val="32"/>
          <w:highlight w:val="none"/>
          <w:u w:val="none"/>
          <w:lang w:val="en-US" w:eastAsia="zh-CN"/>
        </w:rPr>
        <w:t>%</w:t>
      </w:r>
      <w:r>
        <w:rPr>
          <w:rFonts w:eastAsia="仿宋_GB2312"/>
          <w:color w:val="auto"/>
          <w:sz w:val="32"/>
          <w:szCs w:val="32"/>
          <w:highlight w:val="none"/>
        </w:rPr>
        <w:t>。具体安排情况如下：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hint="eastAsia" w:eastAsia="仿宋_GB2312"/>
          <w:sz w:val="32"/>
          <w:szCs w:val="32"/>
        </w:rPr>
        <w:t>2022</w:t>
      </w:r>
      <w:r>
        <w:rPr>
          <w:rFonts w:eastAsia="仿宋_GB2312"/>
          <w:sz w:val="32"/>
          <w:szCs w:val="32"/>
        </w:rPr>
        <w:t>年本部门基本支出预算数</w:t>
      </w:r>
      <w:r>
        <w:rPr>
          <w:rFonts w:hint="eastAsia" w:eastAsia="仿宋_GB2312"/>
          <w:sz w:val="32"/>
          <w:szCs w:val="32"/>
          <w:u w:val="single"/>
        </w:rPr>
        <w:t>73.82</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楷体_GB2312"/>
          <w:b/>
          <w:sz w:val="32"/>
          <w:szCs w:val="32"/>
        </w:rPr>
        <w:t>（二）项目支出：</w:t>
      </w:r>
      <w:r>
        <w:rPr>
          <w:rFonts w:hint="eastAsia" w:eastAsia="仿宋_GB2312"/>
          <w:sz w:val="32"/>
          <w:szCs w:val="32"/>
        </w:rPr>
        <w:t>2022</w:t>
      </w:r>
      <w:r>
        <w:rPr>
          <w:rFonts w:eastAsia="仿宋_GB2312"/>
          <w:sz w:val="32"/>
          <w:szCs w:val="32"/>
        </w:rPr>
        <w:t>年本部门项目支出预算</w:t>
      </w:r>
      <w:r>
        <w:rPr>
          <w:rFonts w:hint="eastAsia" w:eastAsia="仿宋_GB2312"/>
          <w:sz w:val="32"/>
          <w:szCs w:val="32"/>
          <w:u w:val="single"/>
        </w:rPr>
        <w:t>11.00</w:t>
      </w:r>
      <w:r>
        <w:rPr>
          <w:rFonts w:eastAsia="仿宋_GB2312"/>
          <w:sz w:val="32"/>
          <w:szCs w:val="32"/>
        </w:rPr>
        <w:t>万元，主要是部门为完成特定行政工作任务或事业发展目标而发生的支出，包括有关事业发展专项、专项业务费、基本建设支出等，其中：</w:t>
      </w:r>
      <w:r>
        <w:rPr>
          <w:rFonts w:eastAsia="仿宋_GB2312"/>
          <w:sz w:val="32"/>
          <w:szCs w:val="32"/>
          <w:highlight w:val="none"/>
          <w:u w:val="single"/>
        </w:rPr>
        <w:t xml:space="preserve">  </w:t>
      </w:r>
      <w:r>
        <w:rPr>
          <w:rFonts w:hint="eastAsia" w:eastAsia="仿宋_GB2312"/>
          <w:sz w:val="32"/>
          <w:szCs w:val="32"/>
          <w:highlight w:val="none"/>
          <w:u w:val="single"/>
          <w:lang w:eastAsia="zh-CN"/>
        </w:rPr>
        <w:t>公共服一般务支出</w:t>
      </w:r>
      <w:r>
        <w:rPr>
          <w:rFonts w:eastAsia="仿宋_GB2312"/>
          <w:sz w:val="32"/>
          <w:szCs w:val="32"/>
          <w:highlight w:val="none"/>
          <w:u w:val="single"/>
        </w:rPr>
        <w:t xml:space="preserve"> </w:t>
      </w:r>
      <w:r>
        <w:rPr>
          <w:rFonts w:eastAsia="仿宋_GB2312"/>
          <w:sz w:val="32"/>
          <w:szCs w:val="32"/>
          <w:highlight w:val="none"/>
        </w:rPr>
        <w:t>支出</w:t>
      </w:r>
      <w:r>
        <w:rPr>
          <w:rFonts w:hint="eastAsia" w:eastAsia="仿宋_GB2312"/>
          <w:sz w:val="32"/>
          <w:szCs w:val="32"/>
          <w:highlight w:val="none"/>
          <w:u w:val="single"/>
          <w:lang w:val="en-US" w:eastAsia="zh-CN"/>
        </w:rPr>
        <w:t>11</w:t>
      </w:r>
      <w:r>
        <w:rPr>
          <w:rFonts w:eastAsia="仿宋_GB2312"/>
          <w:sz w:val="32"/>
          <w:szCs w:val="32"/>
          <w:highlight w:val="none"/>
        </w:rPr>
        <w:t>万元，主要用于</w:t>
      </w:r>
      <w:r>
        <w:rPr>
          <w:rFonts w:hint="eastAsia" w:eastAsia="仿宋_GB2312"/>
          <w:sz w:val="32"/>
          <w:szCs w:val="32"/>
          <w:highlight w:val="none"/>
          <w:lang w:eastAsia="zh-CN"/>
        </w:rPr>
        <w:t>招商引资、 一般行政管理事务（政府办公厅（室）及相关机构事务）</w:t>
      </w:r>
      <w:r>
        <w:rPr>
          <w:rFonts w:eastAsia="仿宋_GB2312"/>
          <w:sz w:val="32"/>
          <w:szCs w:val="32"/>
          <w:highlight w:val="none"/>
        </w:rPr>
        <w:t>。</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spacing w:line="600" w:lineRule="exact"/>
        <w:ind w:firstLine="660"/>
        <w:jc w:val="left"/>
        <w:rPr>
          <w:rFonts w:eastAsia="仿宋_GB2312"/>
          <w:b/>
          <w:color w:val="auto"/>
          <w:sz w:val="32"/>
          <w:szCs w:val="32"/>
        </w:rPr>
      </w:pPr>
      <w:r>
        <w:rPr>
          <w:rFonts w:eastAsia="仿宋_GB2312"/>
          <w:b/>
          <w:color w:val="auto"/>
          <w:sz w:val="32"/>
          <w:szCs w:val="32"/>
        </w:rPr>
        <w:t>本部门无政府性基金安排的支出</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eastAsia="仿宋_GB2312"/>
          <w:b/>
          <w:color w:val="FF0000"/>
          <w:sz w:val="32"/>
          <w:szCs w:val="32"/>
        </w:rPr>
      </w:pPr>
      <w:r>
        <w:rPr>
          <w:rFonts w:eastAsia="楷体_GB2312"/>
          <w:b/>
          <w:sz w:val="32"/>
          <w:szCs w:val="32"/>
        </w:rPr>
        <w:t>（一）机关运行经费：</w:t>
      </w:r>
      <w:r>
        <w:rPr>
          <w:rFonts w:hint="eastAsia" w:eastAsia="仿宋_GB2312"/>
          <w:sz w:val="32"/>
          <w:szCs w:val="32"/>
        </w:rPr>
        <w:t>2022</w:t>
      </w:r>
      <w:r>
        <w:rPr>
          <w:rFonts w:eastAsia="仿宋_GB2312"/>
          <w:sz w:val="32"/>
          <w:szCs w:val="32"/>
        </w:rPr>
        <w:t>年本部门机关本级机关运行经费</w:t>
      </w:r>
      <w:r>
        <w:rPr>
          <w:rFonts w:hint="eastAsia" w:eastAsia="仿宋_GB2312"/>
          <w:sz w:val="32"/>
          <w:szCs w:val="32"/>
          <w:u w:val="single"/>
          <w:lang w:val="en-US" w:eastAsia="zh-CN"/>
        </w:rPr>
        <w:t>84.82</w:t>
      </w:r>
      <w:r>
        <w:rPr>
          <w:rFonts w:eastAsia="仿宋_GB2312"/>
          <w:sz w:val="32"/>
          <w:szCs w:val="32"/>
        </w:rPr>
        <w:t>万元，</w:t>
      </w:r>
      <w:r>
        <w:rPr>
          <w:rFonts w:hint="eastAsia" w:eastAsia="仿宋_GB2312"/>
          <w:sz w:val="32"/>
          <w:szCs w:val="32"/>
        </w:rPr>
        <w:t>比2021年预算减少</w:t>
      </w:r>
      <w:r>
        <w:rPr>
          <w:rFonts w:hint="eastAsia" w:eastAsia="仿宋_GB2312"/>
          <w:sz w:val="32"/>
          <w:szCs w:val="32"/>
          <w:lang w:val="en-US" w:eastAsia="zh-CN"/>
        </w:rPr>
        <w:t>9.51</w:t>
      </w:r>
      <w:r>
        <w:rPr>
          <w:rFonts w:hint="eastAsia" w:eastAsia="仿宋_GB2312"/>
          <w:sz w:val="32"/>
          <w:szCs w:val="32"/>
        </w:rPr>
        <w:t>万元。主要原因是财政压减财政项目支出预算。</w:t>
      </w:r>
    </w:p>
    <w:p>
      <w:pPr>
        <w:widowControl/>
        <w:spacing w:line="600" w:lineRule="exact"/>
        <w:ind w:firstLine="660"/>
        <w:rPr>
          <w:rFonts w:eastAsia="仿宋_GB2312"/>
          <w:sz w:val="32"/>
          <w:szCs w:val="32"/>
          <w:highlight w:val="none"/>
        </w:rPr>
      </w:pPr>
      <w:r>
        <w:rPr>
          <w:rFonts w:eastAsia="楷体_GB2312"/>
          <w:b/>
          <w:sz w:val="32"/>
          <w:szCs w:val="32"/>
        </w:rPr>
        <w:t>（二）“三公”经费预算：</w:t>
      </w:r>
      <w:r>
        <w:rPr>
          <w:rFonts w:hint="eastAsia" w:eastAsia="仿宋_GB2312"/>
          <w:sz w:val="32"/>
          <w:szCs w:val="32"/>
        </w:rPr>
        <w:t>2022</w:t>
      </w:r>
      <w:r>
        <w:rPr>
          <w:rFonts w:eastAsia="仿宋_GB2312"/>
          <w:sz w:val="32"/>
          <w:szCs w:val="32"/>
        </w:rPr>
        <w:t>年本部门机关本级“三公”经费预算数为</w:t>
      </w:r>
      <w:r>
        <w:rPr>
          <w:rFonts w:hint="eastAsia" w:eastAsia="仿宋_GB2312"/>
          <w:sz w:val="32"/>
          <w:szCs w:val="32"/>
          <w:u w:val="single"/>
          <w:lang w:val="en-US" w:eastAsia="zh-CN"/>
        </w:rPr>
        <w:t>12</w:t>
      </w:r>
      <w:r>
        <w:rPr>
          <w:rFonts w:eastAsia="仿宋_GB2312"/>
          <w:sz w:val="32"/>
          <w:szCs w:val="32"/>
        </w:rPr>
        <w:t>万元，其中，公务接待费</w:t>
      </w:r>
      <w:r>
        <w:rPr>
          <w:rFonts w:hint="eastAsia" w:eastAsia="仿宋_GB2312"/>
          <w:sz w:val="32"/>
          <w:szCs w:val="32"/>
          <w:u w:val="single"/>
          <w:lang w:val="en-US" w:eastAsia="zh-CN"/>
        </w:rPr>
        <w:t>6</w:t>
      </w:r>
      <w:r>
        <w:rPr>
          <w:rFonts w:eastAsia="仿宋_GB2312"/>
          <w:sz w:val="32"/>
          <w:szCs w:val="32"/>
        </w:rPr>
        <w:t>万元，公务用车购置及运行费</w:t>
      </w:r>
      <w:r>
        <w:rPr>
          <w:rFonts w:hint="eastAsia" w:eastAsia="仿宋_GB2312"/>
          <w:sz w:val="32"/>
          <w:szCs w:val="32"/>
          <w:u w:val="single"/>
          <w:lang w:val="en-US" w:eastAsia="zh-CN"/>
        </w:rPr>
        <w:t>6</w:t>
      </w:r>
      <w:r>
        <w:rPr>
          <w:rFonts w:eastAsia="仿宋_GB2312"/>
          <w:sz w:val="32"/>
          <w:szCs w:val="32"/>
        </w:rPr>
        <w:t xml:space="preserve">万元（其中，公务用车购置费 </w:t>
      </w:r>
      <w:r>
        <w:rPr>
          <w:rFonts w:hint="eastAsia" w:eastAsia="仿宋_GB2312"/>
          <w:sz w:val="32"/>
          <w:szCs w:val="32"/>
          <w:lang w:val="en-US" w:eastAsia="zh-CN"/>
        </w:rPr>
        <w:t>0</w:t>
      </w:r>
      <w:r>
        <w:rPr>
          <w:rFonts w:eastAsia="仿宋_GB2312"/>
          <w:sz w:val="32"/>
          <w:szCs w:val="32"/>
        </w:rPr>
        <w:t>万元，公务用车运行费</w:t>
      </w:r>
      <w:r>
        <w:rPr>
          <w:rFonts w:hint="eastAsia" w:eastAsia="仿宋_GB2312"/>
          <w:sz w:val="32"/>
          <w:szCs w:val="32"/>
          <w:lang w:val="en-US" w:eastAsia="zh-CN"/>
        </w:rPr>
        <w:t>6</w:t>
      </w:r>
      <w:r>
        <w:rPr>
          <w:rFonts w:eastAsia="仿宋_GB2312"/>
          <w:sz w:val="32"/>
          <w:szCs w:val="32"/>
        </w:rPr>
        <w:t>万元），因公出国（境）费</w:t>
      </w:r>
      <w:r>
        <w:rPr>
          <w:rFonts w:hint="eastAsia" w:eastAsia="仿宋_GB2312"/>
          <w:sz w:val="32"/>
          <w:szCs w:val="32"/>
          <w:u w:val="single"/>
          <w:lang w:val="en-US" w:eastAsia="zh-CN"/>
        </w:rPr>
        <w:t>0</w:t>
      </w:r>
      <w:r>
        <w:rPr>
          <w:rFonts w:eastAsia="仿宋_GB2312"/>
          <w:sz w:val="32"/>
          <w:szCs w:val="32"/>
        </w:rPr>
        <w:t>万元。</w:t>
      </w:r>
      <w:r>
        <w:rPr>
          <w:rFonts w:hint="eastAsia" w:eastAsia="仿宋_GB2312"/>
          <w:sz w:val="32"/>
          <w:szCs w:val="32"/>
        </w:rPr>
        <w:t>2022</w:t>
      </w:r>
      <w:r>
        <w:rPr>
          <w:rFonts w:eastAsia="仿宋_GB2312"/>
          <w:sz w:val="32"/>
          <w:szCs w:val="32"/>
        </w:rPr>
        <w:t>年“三公”经费预算较</w:t>
      </w:r>
      <w:r>
        <w:rPr>
          <w:rFonts w:hint="eastAsia" w:eastAsia="仿宋_GB2312"/>
          <w:sz w:val="32"/>
          <w:szCs w:val="32"/>
        </w:rPr>
        <w:t>2021</w:t>
      </w:r>
      <w:r>
        <w:rPr>
          <w:rFonts w:eastAsia="仿宋_GB2312"/>
          <w:sz w:val="32"/>
          <w:szCs w:val="32"/>
        </w:rPr>
        <w:t>年持平</w:t>
      </w:r>
      <w:r>
        <w:rPr>
          <w:rFonts w:eastAsia="仿宋_GB2312"/>
          <w:sz w:val="32"/>
          <w:szCs w:val="32"/>
          <w:highlight w:val="none"/>
        </w:rPr>
        <w:t>，主要</w:t>
      </w:r>
      <w:r>
        <w:rPr>
          <w:rFonts w:hint="eastAsia" w:eastAsia="仿宋_GB2312"/>
          <w:sz w:val="32"/>
          <w:szCs w:val="32"/>
          <w:highlight w:val="none"/>
          <w:lang w:eastAsia="zh-CN"/>
        </w:rPr>
        <w:t>是厉行节约，严格执行“三公”经费开支</w:t>
      </w:r>
      <w:r>
        <w:rPr>
          <w:rFonts w:eastAsia="仿宋_GB2312"/>
          <w:sz w:val="32"/>
          <w:szCs w:val="32"/>
          <w:highlight w:val="none"/>
        </w:rPr>
        <w:t>。</w:t>
      </w:r>
    </w:p>
    <w:p>
      <w:pPr>
        <w:widowControl/>
        <w:spacing w:line="600" w:lineRule="exact"/>
        <w:ind w:firstLine="660"/>
        <w:rPr>
          <w:rFonts w:eastAsia="仿宋_GB2312"/>
          <w:kern w:val="0"/>
          <w:sz w:val="32"/>
          <w:szCs w:val="32"/>
          <w:highlight w:val="none"/>
        </w:rPr>
      </w:pPr>
      <w:r>
        <w:rPr>
          <w:rFonts w:eastAsia="楷体_GB2312"/>
          <w:b/>
          <w:sz w:val="32"/>
          <w:szCs w:val="32"/>
          <w:highlight w:val="none"/>
        </w:rPr>
        <w:t>（三）一般性支出情况：</w:t>
      </w:r>
      <w:r>
        <w:rPr>
          <w:rFonts w:hint="eastAsia" w:eastAsia="仿宋_GB2312"/>
          <w:kern w:val="0"/>
          <w:sz w:val="32"/>
          <w:szCs w:val="32"/>
        </w:rPr>
        <w:t>2022</w:t>
      </w:r>
      <w:r>
        <w:rPr>
          <w:rFonts w:eastAsia="仿宋_GB2312"/>
          <w:kern w:val="0"/>
          <w:sz w:val="32"/>
          <w:szCs w:val="32"/>
        </w:rPr>
        <w:t>年本部门会议费预算</w:t>
      </w:r>
      <w:r>
        <w:rPr>
          <w:rFonts w:hint="eastAsia" w:eastAsia="仿宋_GB2312"/>
          <w:sz w:val="32"/>
          <w:szCs w:val="32"/>
          <w:u w:val="single"/>
          <w:lang w:val="en-US" w:eastAsia="zh-CN"/>
        </w:rPr>
        <w:t>0</w:t>
      </w:r>
      <w:r>
        <w:rPr>
          <w:rFonts w:eastAsia="仿宋_GB2312"/>
          <w:kern w:val="0"/>
          <w:sz w:val="32"/>
          <w:szCs w:val="32"/>
        </w:rPr>
        <w:t>万元，拟召开</w:t>
      </w:r>
      <w:r>
        <w:rPr>
          <w:rFonts w:hint="eastAsia" w:eastAsia="仿宋_GB2312"/>
          <w:sz w:val="32"/>
          <w:szCs w:val="32"/>
          <w:u w:val="single"/>
          <w:lang w:val="en-US" w:eastAsia="zh-CN"/>
        </w:rPr>
        <w:t>0次</w:t>
      </w:r>
      <w:r>
        <w:rPr>
          <w:rFonts w:eastAsia="仿宋_GB2312"/>
          <w:kern w:val="0"/>
          <w:sz w:val="32"/>
          <w:szCs w:val="32"/>
        </w:rPr>
        <w:t>会议，人数</w:t>
      </w:r>
      <w:r>
        <w:rPr>
          <w:rFonts w:hint="eastAsia" w:eastAsia="仿宋_GB2312"/>
          <w:sz w:val="32"/>
          <w:szCs w:val="32"/>
          <w:u w:val="single"/>
          <w:lang w:val="en-US" w:eastAsia="zh-CN"/>
        </w:rPr>
        <w:t>0</w:t>
      </w:r>
      <w:r>
        <w:rPr>
          <w:rFonts w:eastAsia="仿宋_GB2312"/>
          <w:kern w:val="0"/>
          <w:sz w:val="32"/>
          <w:szCs w:val="32"/>
        </w:rPr>
        <w:t>人；培训费预算</w:t>
      </w:r>
      <w:r>
        <w:rPr>
          <w:rFonts w:hint="eastAsia" w:eastAsia="仿宋_GB2312"/>
          <w:sz w:val="32"/>
          <w:szCs w:val="32"/>
          <w:u w:val="single"/>
          <w:lang w:val="en-US" w:eastAsia="zh-CN"/>
        </w:rPr>
        <w:t>0</w:t>
      </w:r>
      <w:r>
        <w:rPr>
          <w:rFonts w:eastAsia="仿宋_GB2312"/>
          <w:kern w:val="0"/>
          <w:sz w:val="32"/>
          <w:szCs w:val="32"/>
        </w:rPr>
        <w:t>万元，拟开展</w:t>
      </w:r>
      <w:r>
        <w:rPr>
          <w:rFonts w:hint="eastAsia" w:eastAsia="仿宋_GB2312"/>
          <w:sz w:val="32"/>
          <w:szCs w:val="32"/>
          <w:u w:val="single"/>
          <w:lang w:val="en-US" w:eastAsia="zh-CN"/>
        </w:rPr>
        <w:t>0次</w:t>
      </w:r>
      <w:r>
        <w:rPr>
          <w:rFonts w:eastAsia="仿宋_GB2312"/>
          <w:kern w:val="0"/>
          <w:sz w:val="32"/>
          <w:szCs w:val="32"/>
        </w:rPr>
        <w:t>培训，人数</w:t>
      </w:r>
      <w:r>
        <w:rPr>
          <w:rFonts w:hint="eastAsia" w:eastAsia="仿宋_GB2312"/>
          <w:sz w:val="32"/>
          <w:szCs w:val="32"/>
          <w:u w:val="single"/>
          <w:lang w:val="en-US" w:eastAsia="zh-CN"/>
        </w:rPr>
        <w:t>0</w:t>
      </w:r>
      <w:r>
        <w:rPr>
          <w:rFonts w:eastAsia="仿宋_GB2312"/>
          <w:kern w:val="0"/>
          <w:sz w:val="32"/>
          <w:szCs w:val="32"/>
        </w:rPr>
        <w:t>人；</w:t>
      </w:r>
      <w:r>
        <w:rPr>
          <w:rFonts w:hint="eastAsia" w:eastAsia="仿宋_GB2312"/>
          <w:kern w:val="0"/>
          <w:sz w:val="32"/>
          <w:szCs w:val="32"/>
          <w:lang w:val="en-US" w:eastAsia="zh-CN"/>
        </w:rPr>
        <w:t>未</w:t>
      </w:r>
      <w:r>
        <w:rPr>
          <w:rFonts w:eastAsia="仿宋_GB2312"/>
          <w:kern w:val="0"/>
          <w:sz w:val="32"/>
          <w:szCs w:val="32"/>
        </w:rPr>
        <w:t>举办节庆、晚会、论坛、赛事活动，经费预算</w:t>
      </w:r>
      <w:r>
        <w:rPr>
          <w:rFonts w:hint="eastAsia" w:eastAsia="仿宋_GB2312"/>
          <w:kern w:val="0"/>
          <w:sz w:val="32"/>
          <w:szCs w:val="32"/>
          <w:lang w:val="en-US" w:eastAsia="zh-CN"/>
        </w:rPr>
        <w:t>0</w:t>
      </w:r>
      <w:r>
        <w:rPr>
          <w:rFonts w:eastAsia="仿宋_GB2312"/>
          <w:kern w:val="0"/>
          <w:sz w:val="32"/>
          <w:szCs w:val="32"/>
        </w:rPr>
        <w:t>万元。</w:t>
      </w:r>
    </w:p>
    <w:p>
      <w:pPr>
        <w:widowControl/>
        <w:spacing w:line="600" w:lineRule="exact"/>
        <w:ind w:firstLine="660"/>
        <w:rPr>
          <w:rFonts w:eastAsia="仿宋_GB2312"/>
          <w:color w:val="FF0000"/>
          <w:sz w:val="32"/>
          <w:szCs w:val="32"/>
        </w:rPr>
      </w:pPr>
      <w:r>
        <w:rPr>
          <w:rFonts w:eastAsia="楷体_GB2312"/>
          <w:b/>
          <w:sz w:val="32"/>
          <w:szCs w:val="32"/>
        </w:rPr>
        <w:t>（四）政府采购情况：</w:t>
      </w:r>
      <w:r>
        <w:rPr>
          <w:rFonts w:hint="eastAsia" w:eastAsia="仿宋_GB2312"/>
          <w:sz w:val="32"/>
          <w:szCs w:val="32"/>
        </w:rPr>
        <w:t>2022</w:t>
      </w:r>
      <w:r>
        <w:rPr>
          <w:rFonts w:eastAsia="仿宋_GB2312"/>
          <w:sz w:val="32"/>
          <w:szCs w:val="32"/>
        </w:rPr>
        <w:t>年本部门政府采购预算总额</w:t>
      </w:r>
      <w:bookmarkStart w:id="0" w:name="_GoBack"/>
      <w:bookmarkEnd w:id="0"/>
      <w:r>
        <w:rPr>
          <w:rFonts w:hint="eastAsia" w:eastAsia="仿宋_GB2312"/>
          <w:sz w:val="32"/>
          <w:szCs w:val="32"/>
          <w:u w:val="single"/>
          <w:lang w:val="en-US" w:eastAsia="zh-CN"/>
        </w:rPr>
        <w:t>0</w:t>
      </w:r>
      <w:r>
        <w:rPr>
          <w:rFonts w:eastAsia="仿宋_GB2312"/>
          <w:sz w:val="32"/>
          <w:szCs w:val="32"/>
        </w:rPr>
        <w:t>万元，</w:t>
      </w:r>
      <w:r>
        <w:rPr>
          <w:rFonts w:hint="eastAsia" w:eastAsia="仿宋_GB2312"/>
          <w:sz w:val="32"/>
          <w:szCs w:val="32"/>
        </w:rPr>
        <w:t>其中，货物类采购预算0万元；工程类采购预算0万元；服务类采购预算0万元</w:t>
      </w:r>
      <w:r>
        <w:rPr>
          <w:rFonts w:eastAsia="仿宋_GB2312"/>
          <w:sz w:val="32"/>
          <w:szCs w:val="32"/>
        </w:rPr>
        <w:t>。</w:t>
      </w:r>
    </w:p>
    <w:p>
      <w:pPr>
        <w:widowControl/>
        <w:spacing w:line="600" w:lineRule="exact"/>
        <w:ind w:firstLine="660"/>
        <w:jc w:val="left"/>
        <w:rPr>
          <w:rFonts w:hint="eastAsia" w:eastAsia="仿宋_GB2312"/>
          <w:sz w:val="32"/>
          <w:szCs w:val="32"/>
        </w:rPr>
      </w:pPr>
      <w:r>
        <w:rPr>
          <w:rFonts w:eastAsia="楷体_GB2312"/>
          <w:b/>
          <w:sz w:val="32"/>
          <w:szCs w:val="32"/>
        </w:rPr>
        <w:t>（五）国有资产占用使用及新增资产配置情况：</w:t>
      </w:r>
      <w:r>
        <w:rPr>
          <w:rFonts w:hint="eastAsia" w:eastAsia="仿宋_GB2312"/>
          <w:sz w:val="32"/>
          <w:szCs w:val="32"/>
        </w:rPr>
        <w:t>截至2021年12月底，本部门共有公务用车0辆，其中，机要通信用车0辆，应急保障用车0辆，执法执勤用车0辆，特种专业技术用车0辆，其他按照规定配备的公务用车0辆；单位价值50万元以上通用设备0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widowControl/>
        <w:spacing w:line="600" w:lineRule="exact"/>
        <w:ind w:firstLine="660"/>
        <w:jc w:val="left"/>
        <w:rPr>
          <w:rFonts w:hint="eastAsia" w:eastAsia="楷体_GB2312"/>
          <w:b/>
          <w:bCs/>
          <w:kern w:val="0"/>
          <w:sz w:val="32"/>
          <w:szCs w:val="32"/>
        </w:rPr>
      </w:pPr>
      <w:r>
        <w:rPr>
          <w:rFonts w:eastAsia="楷体_GB2312"/>
          <w:b/>
          <w:bCs/>
          <w:kern w:val="0"/>
          <w:sz w:val="32"/>
          <w:szCs w:val="32"/>
        </w:rPr>
        <w:t>（六）</w:t>
      </w:r>
      <w:r>
        <w:rPr>
          <w:rFonts w:hint="eastAsia" w:eastAsia="楷体_GB2312"/>
          <w:b/>
          <w:bCs/>
          <w:kern w:val="0"/>
          <w:sz w:val="32"/>
          <w:szCs w:val="32"/>
        </w:rPr>
        <w:t>部门整体支出、单位项目支出、重点（专项）项目支出预算绩效目标情况说明</w:t>
      </w:r>
    </w:p>
    <w:p>
      <w:pPr>
        <w:widowControl/>
        <w:spacing w:line="600" w:lineRule="exact"/>
        <w:ind w:firstLine="660"/>
        <w:jc w:val="left"/>
        <w:rPr>
          <w:rFonts w:hint="eastAsia" w:eastAsia="仿宋_GB2312"/>
          <w:bCs/>
          <w:color w:val="auto"/>
          <w:kern w:val="0"/>
          <w:sz w:val="32"/>
          <w:szCs w:val="32"/>
          <w:highlight w:val="none"/>
        </w:rPr>
      </w:pPr>
      <w:r>
        <w:rPr>
          <w:rFonts w:hint="eastAsia" w:eastAsia="仿宋_GB2312"/>
          <w:bCs/>
          <w:color w:val="auto"/>
          <w:kern w:val="0"/>
          <w:sz w:val="32"/>
          <w:szCs w:val="32"/>
          <w:highlight w:val="none"/>
        </w:rPr>
        <w:t>本部门所有支出实行绩效目标管理，纳入2022年部门整体支出绩效目标的金额为</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u w:val="single"/>
          <w:lang w:val="en-US" w:eastAsia="zh-CN"/>
        </w:rPr>
        <w:t>84.8</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rPr>
        <w:t>万元，其中，基本支出</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u w:val="single"/>
          <w:lang w:val="en-US" w:eastAsia="zh-CN"/>
        </w:rPr>
        <w:t>73.8</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rPr>
        <w:t>万元，单位项目支出</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u w:val="single"/>
          <w:lang w:val="en-US" w:eastAsia="zh-CN"/>
        </w:rPr>
        <w:t>11</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rPr>
        <w:t>万元，重点项目（专项）支出</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u w:val="single"/>
          <w:lang w:val="en-US" w:eastAsia="zh-CN"/>
        </w:rPr>
        <w:t>0</w:t>
      </w:r>
      <w:r>
        <w:rPr>
          <w:rFonts w:eastAsia="仿宋_GB2312"/>
          <w:bCs/>
          <w:color w:val="auto"/>
          <w:kern w:val="0"/>
          <w:sz w:val="32"/>
          <w:szCs w:val="32"/>
          <w:highlight w:val="none"/>
          <w:u w:val="single"/>
        </w:rPr>
        <w:t xml:space="preserve"> </w:t>
      </w:r>
      <w:r>
        <w:rPr>
          <w:rFonts w:hint="eastAsia" w:eastAsia="仿宋_GB2312"/>
          <w:bCs/>
          <w:color w:val="auto"/>
          <w:kern w:val="0"/>
          <w:sz w:val="32"/>
          <w:szCs w:val="32"/>
          <w:highlight w:val="none"/>
        </w:rPr>
        <w:t>万元，具体绩效目标见附表</w:t>
      </w:r>
      <w:r>
        <w:rPr>
          <w:rFonts w:eastAsia="仿宋_GB2312"/>
          <w:bCs/>
          <w:color w:val="auto"/>
          <w:kern w:val="0"/>
          <w:sz w:val="32"/>
          <w:szCs w:val="32"/>
          <w:highlight w:val="none"/>
        </w:rPr>
        <w:t>。</w:t>
      </w:r>
    </w:p>
    <w:p>
      <w:pPr>
        <w:widowControl/>
        <w:spacing w:line="600" w:lineRule="exact"/>
        <w:ind w:firstLine="660"/>
        <w:rPr>
          <w:rFonts w:eastAsia="黑体"/>
          <w:sz w:val="32"/>
          <w:szCs w:val="32"/>
        </w:rPr>
      </w:pPr>
      <w:r>
        <w:rPr>
          <w:rFonts w:eastAsia="黑体"/>
          <w:sz w:val="32"/>
          <w:szCs w:val="32"/>
        </w:rPr>
        <w:t>七、名词解释</w:t>
      </w:r>
    </w:p>
    <w:p>
      <w:pPr>
        <w:widowControl/>
        <w:spacing w:line="600" w:lineRule="exact"/>
        <w:ind w:firstLine="660"/>
        <w:rPr>
          <w:rFonts w:hint="eastAsia" w:eastAsia="仿宋_GB2312"/>
          <w:sz w:val="32"/>
          <w:szCs w:val="32"/>
        </w:rPr>
      </w:pPr>
      <w:r>
        <w:rPr>
          <w:rFonts w:hint="eastAsia" w:eastAsia="仿宋_GB2312"/>
          <w:sz w:val="32"/>
          <w:szCs w:val="32"/>
        </w:rPr>
        <w:t>1、一般公共预算: 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县一般公共预算收入由地方收入、上划中央收入、上划省级收入三部分构成。</w:t>
      </w:r>
    </w:p>
    <w:p>
      <w:pPr>
        <w:widowControl/>
        <w:spacing w:line="600" w:lineRule="exact"/>
        <w:ind w:firstLine="660"/>
        <w:rPr>
          <w:rFonts w:hint="eastAsia" w:eastAsia="仿宋_GB2312"/>
          <w:sz w:val="32"/>
          <w:szCs w:val="32"/>
        </w:rPr>
      </w:pPr>
      <w:r>
        <w:rPr>
          <w:rFonts w:hint="eastAsia" w:eastAsia="仿宋_GB2312"/>
          <w:sz w:val="32"/>
          <w:szCs w:val="32"/>
        </w:rPr>
        <w:t>2、政府性基金预算: 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widowControl/>
        <w:spacing w:line="600" w:lineRule="exact"/>
        <w:ind w:firstLine="660"/>
        <w:rPr>
          <w:rFonts w:hint="eastAsia" w:eastAsia="仿宋_GB2312"/>
          <w:sz w:val="32"/>
          <w:szCs w:val="32"/>
        </w:rPr>
      </w:pPr>
      <w:r>
        <w:rPr>
          <w:rFonts w:hint="eastAsia" w:eastAsia="仿宋_GB2312"/>
          <w:sz w:val="32"/>
          <w:szCs w:val="32"/>
        </w:rPr>
        <w:t>3、国有资本经营预算: 是对国有资本收益作出支出安排的收支预算。应当按照收支平衡的原则编制，不列赤字，并安排资金调入一般公共预算。</w:t>
      </w:r>
    </w:p>
    <w:p>
      <w:pPr>
        <w:widowControl/>
        <w:spacing w:line="600" w:lineRule="exact"/>
        <w:ind w:firstLine="660"/>
        <w:rPr>
          <w:rFonts w:hint="eastAsia" w:eastAsia="仿宋_GB2312"/>
          <w:sz w:val="32"/>
          <w:szCs w:val="32"/>
        </w:rPr>
      </w:pPr>
      <w:r>
        <w:rPr>
          <w:rFonts w:hint="eastAsia" w:eastAsia="仿宋_GB2312"/>
          <w:sz w:val="32"/>
          <w:szCs w:val="32"/>
        </w:rPr>
        <w:t>4、社会保险基金预算: 是对社会保险缴款、一般公共预算安排和其他方式筹集的资金，专项用于社会保险的收支预算。应当按照统筹层次和社会保险项目分别编制，做到收支平衡。</w:t>
      </w:r>
    </w:p>
    <w:p>
      <w:pPr>
        <w:widowControl/>
        <w:spacing w:line="600" w:lineRule="exact"/>
        <w:ind w:firstLine="660"/>
        <w:rPr>
          <w:rFonts w:hint="eastAsia" w:eastAsia="仿宋_GB2312"/>
          <w:sz w:val="32"/>
          <w:szCs w:val="32"/>
        </w:rPr>
      </w:pPr>
      <w:r>
        <w:rPr>
          <w:rFonts w:hint="eastAsia" w:eastAsia="仿宋_GB2312"/>
          <w:sz w:val="32"/>
          <w:szCs w:val="32"/>
        </w:rPr>
        <w:t>5、基本支出：指为保障机构正常运转、完成日常工作任务而发生的人员支出和公用支出。</w:t>
      </w:r>
    </w:p>
    <w:p>
      <w:pPr>
        <w:widowControl/>
        <w:spacing w:line="600" w:lineRule="exact"/>
        <w:ind w:firstLine="660"/>
        <w:rPr>
          <w:rFonts w:hint="eastAsia" w:eastAsia="仿宋_GB2312"/>
          <w:sz w:val="32"/>
          <w:szCs w:val="32"/>
        </w:rPr>
      </w:pPr>
      <w:r>
        <w:rPr>
          <w:rFonts w:hint="eastAsia" w:eastAsia="仿宋_GB2312"/>
          <w:sz w:val="32"/>
          <w:szCs w:val="32"/>
        </w:rPr>
        <w:t>6、项目支出：指在基本支出之外为完成特定行政任务和事业发展目标所发生的支出。</w:t>
      </w:r>
    </w:p>
    <w:p>
      <w:pPr>
        <w:widowControl/>
        <w:spacing w:line="600" w:lineRule="exact"/>
        <w:ind w:firstLine="660"/>
        <w:rPr>
          <w:rFonts w:hint="eastAsia" w:eastAsia="仿宋_GB2312"/>
          <w:sz w:val="32"/>
          <w:szCs w:val="32"/>
        </w:rPr>
      </w:pPr>
      <w:r>
        <w:rPr>
          <w:rFonts w:hint="eastAsia" w:eastAsia="仿宋_GB2312"/>
          <w:sz w:val="32"/>
          <w:szCs w:val="32"/>
        </w:rPr>
        <w:t>7、</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numPr>
          <w:ilvl w:val="0"/>
          <w:numId w:val="1"/>
        </w:numPr>
        <w:spacing w:line="600" w:lineRule="exact"/>
        <w:ind w:firstLine="660"/>
        <w:rPr>
          <w:rFonts w:hint="eastAsia" w:eastAsia="仿宋_GB2312"/>
          <w:sz w:val="32"/>
          <w:szCs w:val="32"/>
        </w:rPr>
      </w:pPr>
      <w:r>
        <w:rPr>
          <w:rFonts w:hint="eastAsia" w:eastAsia="仿宋_GB2312"/>
          <w:sz w:val="32"/>
          <w:szCs w:val="32"/>
        </w:rPr>
        <w:t>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13"/>
        <w:rPr>
          <w:rFonts w:hint="eastAsia" w:eastAsia="仿宋_GB2312"/>
          <w:sz w:val="32"/>
          <w:szCs w:val="32"/>
        </w:rPr>
      </w:pPr>
    </w:p>
    <w:p>
      <w:pPr>
        <w:pStyle w:val="13"/>
        <w:rPr>
          <w:rFonts w:hint="eastAsia" w:eastAsia="仿宋_GB2312"/>
          <w:sz w:val="32"/>
          <w:szCs w:val="32"/>
        </w:rPr>
      </w:pPr>
    </w:p>
    <w:p>
      <w:pPr>
        <w:pStyle w:val="13"/>
        <w:rPr>
          <w:rFonts w:hint="eastAsia" w:eastAsia="仿宋_GB2312"/>
          <w:sz w:val="32"/>
          <w:szCs w:val="32"/>
        </w:rPr>
      </w:pPr>
    </w:p>
    <w:p>
      <w:pPr>
        <w:pStyle w:val="13"/>
        <w:rPr>
          <w:rFonts w:hint="eastAsia" w:eastAsia="仿宋_GB2312"/>
          <w:sz w:val="32"/>
          <w:szCs w:val="32"/>
        </w:rPr>
      </w:pPr>
    </w:p>
    <w:p>
      <w:pPr>
        <w:pStyle w:val="13"/>
        <w:rPr>
          <w:rFonts w:hint="eastAsia" w:eastAsia="仿宋_GB2312"/>
          <w:sz w:val="32"/>
          <w:szCs w:val="32"/>
        </w:rPr>
      </w:pPr>
    </w:p>
    <w:p>
      <w:pPr>
        <w:pStyle w:val="13"/>
        <w:rPr>
          <w:rFonts w:hint="eastAsia" w:eastAsia="仿宋_GB2312"/>
          <w:sz w:val="32"/>
          <w:szCs w:val="32"/>
        </w:rPr>
      </w:pPr>
    </w:p>
    <w:p>
      <w:pPr>
        <w:pStyle w:val="13"/>
        <w:rPr>
          <w:rFonts w:hint="eastAsia" w:eastAsia="仿宋_GB2312"/>
          <w:sz w:val="32"/>
          <w:szCs w:val="32"/>
        </w:rPr>
      </w:pPr>
    </w:p>
    <w:p>
      <w:pPr>
        <w:pStyle w:val="13"/>
        <w:rPr>
          <w:rFonts w:hint="eastAsia" w:eastAsia="仿宋_GB2312"/>
          <w:sz w:val="32"/>
          <w:szCs w:val="32"/>
        </w:rPr>
      </w:pPr>
    </w:p>
    <w:p>
      <w:pPr>
        <w:widowControl/>
        <w:spacing w:line="600" w:lineRule="exact"/>
        <w:rPr>
          <w:rFonts w:eastAsia="方正小标宋_GBK"/>
          <w:bCs/>
          <w:kern w:val="0"/>
          <w:sz w:val="36"/>
          <w:szCs w:val="36"/>
        </w:rPr>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widowControl w:val="0"/>
        <w:numPr>
          <w:ilvl w:val="0"/>
          <w:numId w:val="0"/>
        </w:numPr>
        <w:spacing w:line="610" w:lineRule="exact"/>
        <w:jc w:val="both"/>
      </w:pPr>
    </w:p>
    <w:p>
      <w:pPr>
        <w:pStyle w:val="13"/>
        <w:rPr>
          <w:rFonts w:hint="eastAsia"/>
        </w:rPr>
      </w:pPr>
    </w:p>
    <w:p>
      <w:pPr>
        <w:keepNext w:val="0"/>
        <w:keepLines w:val="0"/>
        <w:pageBreakBefore w:val="0"/>
        <w:widowControl/>
        <w:kinsoku/>
        <w:wordWrap/>
        <w:topLinePunct w:val="0"/>
        <w:bidi w:val="0"/>
        <w:adjustRightInd/>
        <w:snapToGrid/>
        <w:spacing w:line="592" w:lineRule="exact"/>
        <w:ind w:firstLine="720" w:firstLineChars="200"/>
        <w:jc w:val="center"/>
        <w:textAlignment w:val="auto"/>
        <w:rPr>
          <w:rFonts w:eastAsia="方正小标宋_GBK"/>
          <w:bCs/>
          <w:kern w:val="0"/>
          <w:sz w:val="36"/>
          <w:szCs w:val="36"/>
        </w:rPr>
      </w:pPr>
    </w:p>
    <w:p>
      <w:pPr>
        <w:keepNext w:val="0"/>
        <w:keepLines w:val="0"/>
        <w:pageBreakBefore w:val="0"/>
        <w:widowControl/>
        <w:kinsoku/>
        <w:wordWrap/>
        <w:topLinePunct w:val="0"/>
        <w:bidi w:val="0"/>
        <w:adjustRightInd/>
        <w:snapToGrid/>
        <w:spacing w:line="592" w:lineRule="exact"/>
        <w:ind w:firstLine="720" w:firstLineChars="200"/>
        <w:jc w:val="center"/>
        <w:textAlignment w:val="auto"/>
        <w:rPr>
          <w:rFonts w:eastAsia="方正小标宋_GBK"/>
          <w:bCs/>
          <w:kern w:val="0"/>
          <w:sz w:val="36"/>
          <w:szCs w:val="36"/>
        </w:rPr>
      </w:pPr>
    </w:p>
    <w:p>
      <w:pPr>
        <w:keepNext w:val="0"/>
        <w:keepLines w:val="0"/>
        <w:pageBreakBefore w:val="0"/>
        <w:widowControl/>
        <w:kinsoku/>
        <w:wordWrap/>
        <w:topLinePunct w:val="0"/>
        <w:bidi w:val="0"/>
        <w:adjustRightInd/>
        <w:snapToGrid/>
        <w:spacing w:line="592" w:lineRule="exact"/>
        <w:ind w:firstLine="720" w:firstLineChars="200"/>
        <w:jc w:val="center"/>
        <w:textAlignment w:val="auto"/>
        <w:rPr>
          <w:rFonts w:eastAsia="方正小标宋_GBK"/>
          <w:bCs/>
          <w:kern w:val="0"/>
          <w:sz w:val="36"/>
          <w:szCs w:val="36"/>
        </w:rPr>
      </w:pPr>
    </w:p>
    <w:p>
      <w:pPr>
        <w:keepNext w:val="0"/>
        <w:keepLines w:val="0"/>
        <w:pageBreakBefore w:val="0"/>
        <w:widowControl/>
        <w:kinsoku/>
        <w:wordWrap/>
        <w:topLinePunct w:val="0"/>
        <w:bidi w:val="0"/>
        <w:adjustRightInd/>
        <w:snapToGrid/>
        <w:spacing w:line="592" w:lineRule="exact"/>
        <w:ind w:firstLine="720" w:firstLineChars="200"/>
        <w:jc w:val="center"/>
        <w:textAlignment w:val="auto"/>
        <w:rPr>
          <w:rFonts w:eastAsia="方正小标宋_GBK"/>
          <w:bCs/>
          <w:kern w:val="0"/>
          <w:sz w:val="36"/>
          <w:szCs w:val="36"/>
        </w:rPr>
      </w:pPr>
    </w:p>
    <w:p>
      <w:pPr>
        <w:widowControl/>
        <w:spacing w:line="600" w:lineRule="exact"/>
        <w:ind w:firstLine="720" w:firstLineChars="200"/>
        <w:jc w:val="center"/>
        <w:rPr>
          <w:rFonts w:eastAsia="方正小标宋_GBK"/>
          <w:bCs/>
          <w:kern w:val="0"/>
          <w:sz w:val="36"/>
          <w:szCs w:val="36"/>
        </w:rPr>
      </w:pPr>
    </w:p>
    <w:p>
      <w:pPr>
        <w:pStyle w:val="13"/>
        <w:rPr>
          <w:rFonts w:eastAsia="方正小标宋_GBK"/>
          <w:bCs/>
          <w:kern w:val="0"/>
          <w:sz w:val="36"/>
          <w:szCs w:val="36"/>
        </w:rPr>
      </w:pPr>
    </w:p>
    <w:p>
      <w:pPr>
        <w:pStyle w:val="13"/>
        <w:rPr>
          <w:rFonts w:eastAsia="方正小标宋_GBK"/>
          <w:bCs/>
          <w:kern w:val="0"/>
          <w:sz w:val="36"/>
          <w:szCs w:val="36"/>
        </w:rPr>
      </w:pPr>
    </w:p>
    <w:p>
      <w:pPr>
        <w:widowControl/>
        <w:spacing w:line="600" w:lineRule="exact"/>
        <w:ind w:firstLine="720" w:firstLineChars="200"/>
        <w:jc w:val="center"/>
        <w:rPr>
          <w:rFonts w:eastAsia="方正小标宋_GBK"/>
          <w:bCs/>
          <w:kern w:val="0"/>
          <w:sz w:val="36"/>
          <w:szCs w:val="36"/>
        </w:rPr>
      </w:pPr>
    </w:p>
    <w:p>
      <w:pPr>
        <w:widowControl/>
        <w:numPr>
          <w:ilvl w:val="0"/>
          <w:numId w:val="2"/>
        </w:numPr>
        <w:spacing w:line="600" w:lineRule="exact"/>
        <w:ind w:firstLine="1440" w:firstLineChars="300"/>
        <w:jc w:val="both"/>
        <w:rPr>
          <w:rFonts w:eastAsia="方正小标宋_GBK"/>
          <w:bCs/>
          <w:kern w:val="0"/>
          <w:sz w:val="48"/>
          <w:szCs w:val="48"/>
        </w:rPr>
      </w:pPr>
      <w:r>
        <w:rPr>
          <w:rFonts w:hint="eastAsia" w:eastAsia="方正小标宋_GBK"/>
          <w:bCs/>
          <w:kern w:val="0"/>
          <w:sz w:val="48"/>
          <w:szCs w:val="48"/>
        </w:rPr>
        <w:t>2022</w:t>
      </w:r>
      <w:r>
        <w:rPr>
          <w:rFonts w:eastAsia="方正小标宋_GBK"/>
          <w:bCs/>
          <w:kern w:val="0"/>
          <w:sz w:val="48"/>
          <w:szCs w:val="48"/>
        </w:rPr>
        <w:t>年部门预算表</w:t>
      </w:r>
    </w:p>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sectPr>
          <w:headerReference r:id="rId3" w:type="default"/>
          <w:footerReference r:id="rId4" w:type="default"/>
          <w:pgSz w:w="11905" w:h="16837"/>
          <w:pgMar w:top="1418" w:right="1588" w:bottom="1418" w:left="1588" w:header="720" w:footer="1701" w:gutter="0"/>
          <w:pgNumType w:fmt="numberInDash" w:start="1"/>
          <w:cols w:space="720" w:num="1"/>
          <w:titlePg/>
          <w:docGrid w:linePitch="636" w:charSpace="20838"/>
        </w:sectPr>
      </w:pPr>
    </w:p>
    <w:tbl>
      <w:tblPr>
        <w:tblStyle w:val="8"/>
        <w:tblW w:w="149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5"/>
        <w:gridCol w:w="1044"/>
        <w:gridCol w:w="2410"/>
        <w:gridCol w:w="846"/>
        <w:gridCol w:w="2209"/>
        <w:gridCol w:w="846"/>
        <w:gridCol w:w="2506"/>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4"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1044"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241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2209"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2506"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18"/>
                <w:szCs w:val="18"/>
                <w:u w:val="none"/>
              </w:rPr>
            </w:pPr>
          </w:p>
        </w:tc>
        <w:tc>
          <w:tcPr>
            <w:tcW w:w="1638"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10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本年预算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项目（部门经济分类）</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本年预算</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项目（政府经济分类）</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本年预算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功能科目</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一、公共财政预算拨款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738155</w:t>
            </w: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一、机关工资福利支出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二、纳入预算管理的非税收入拨款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工资福利支出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二、机关商品和服务支出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203680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[202]外交支出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三、政府性基金拨款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商品和服务支出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三、机关资本性支出（一）</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[203]国防支出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对个人和家庭的补助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四、对事业单位经常性补助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[204]公共安全支出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五、未纳入财政专户管理的自有资金</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二、项目支出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五、对事业单位资本性补助</w:t>
            </w:r>
          </w:p>
        </w:tc>
        <w:tc>
          <w:tcPr>
            <w:tcW w:w="846"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[205]教育支出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项目工资福利支出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六、对企业补助</w:t>
            </w:r>
          </w:p>
        </w:tc>
        <w:tc>
          <w:tcPr>
            <w:tcW w:w="846"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[206]科学技术支出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项目商品和服务支出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220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七、对个人和家庭的补助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[207]文化旅游体育与传媒支出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项目对个人和家庭的补助</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八、债务利息及费用支出</w:t>
            </w:r>
          </w:p>
        </w:tc>
        <w:tc>
          <w:tcPr>
            <w:tcW w:w="846"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[208]社会保障和就业支出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846"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九、其他支出</w:t>
            </w:r>
          </w:p>
        </w:tc>
        <w:tc>
          <w:tcPr>
            <w:tcW w:w="846"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[209]社会保险基金支出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债务利息及费用支出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[210]医疗健康支出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对企业补助</w:t>
            </w:r>
          </w:p>
        </w:tc>
        <w:tc>
          <w:tcPr>
            <w:tcW w:w="846"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[211]节能环保支出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846"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[212]城乡社区支出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[213]农林水支出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[214]交通运输支出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[215]资源勘探信息等支出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[216]商业服务业等支出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[217]金融支出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[219]援助其他地区支出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[220]自然资源海洋气象等支出</w:t>
            </w:r>
          </w:p>
        </w:tc>
        <w:tc>
          <w:tcPr>
            <w:tcW w:w="1638"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[221]住房保障支出</w:t>
            </w:r>
          </w:p>
        </w:tc>
        <w:tc>
          <w:tcPr>
            <w:tcW w:w="163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[222]粮油物资储备支出</w:t>
            </w:r>
          </w:p>
        </w:tc>
        <w:tc>
          <w:tcPr>
            <w:tcW w:w="1638"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[223]国有资本经营预算支出</w:t>
            </w:r>
          </w:p>
        </w:tc>
        <w:tc>
          <w:tcPr>
            <w:tcW w:w="1638"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[224]灾害防治及应急管理支出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六、上级补助收入</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[227]预备费</w:t>
            </w:r>
          </w:p>
        </w:tc>
        <w:tc>
          <w:tcPr>
            <w:tcW w:w="1638" w:type="dxa"/>
            <w:tcBorders>
              <w:top w:val="nil"/>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[229]其他支出</w:t>
            </w:r>
          </w:p>
        </w:tc>
        <w:tc>
          <w:tcPr>
            <w:tcW w:w="1638"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八、上年结余（结转）</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[230]转移性支出</w:t>
            </w:r>
          </w:p>
        </w:tc>
        <w:tc>
          <w:tcPr>
            <w:tcW w:w="1638" w:type="dxa"/>
            <w:tcBorders>
              <w:top w:val="single" w:color="000000" w:sz="4" w:space="0"/>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其中：公共财政预算拨款结余（结转）</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[231]债务还本支出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财政专户结余（结转）</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[232]债务付息支出</w:t>
            </w:r>
          </w:p>
        </w:tc>
        <w:tc>
          <w:tcPr>
            <w:tcW w:w="1638" w:type="dxa"/>
            <w:tcBorders>
              <w:top w:val="nil"/>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政府性基金结余（结转）</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[233]债务发行费用支出</w:t>
            </w:r>
          </w:p>
        </w:tc>
        <w:tc>
          <w:tcPr>
            <w:tcW w:w="1638" w:type="dxa"/>
            <w:tcBorders>
              <w:top w:val="nil"/>
              <w:left w:val="single" w:color="000000" w:sz="4" w:space="0"/>
              <w:bottom w:val="nil"/>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纳入预算管理的非税收入拨款结余（结转）</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18"/>
                <w:szCs w:val="18"/>
                <w:u w:val="none"/>
              </w:rPr>
            </w:pPr>
          </w:p>
        </w:tc>
        <w:tc>
          <w:tcPr>
            <w:tcW w:w="250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[234]抗疫特别国债安排的支出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收入总计 </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支出总计 </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2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63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r>
    </w:tbl>
    <w:p>
      <w:pPr>
        <w:widowControl/>
        <w:numPr>
          <w:ilvl w:val="0"/>
          <w:numId w:val="0"/>
        </w:numPr>
        <w:spacing w:line="600" w:lineRule="exact"/>
        <w:jc w:val="both"/>
        <w:rPr>
          <w:rFonts w:hint="eastAsia" w:ascii="宋体" w:hAnsi="宋体" w:eastAsia="宋体" w:cs="宋体"/>
          <w:b/>
          <w:bCs/>
          <w:i w:val="0"/>
          <w:iCs w:val="0"/>
          <w:color w:val="000000"/>
          <w:kern w:val="0"/>
          <w:sz w:val="48"/>
          <w:szCs w:val="48"/>
          <w:u w:val="none"/>
          <w:lang w:val="en-US" w:eastAsia="zh-CN" w:bidi="ar"/>
        </w:rPr>
      </w:pPr>
      <w:r>
        <w:rPr>
          <w:rFonts w:hint="eastAsia" w:ascii="宋体" w:hAnsi="宋体" w:eastAsia="宋体" w:cs="宋体"/>
          <w:b/>
          <w:bCs/>
          <w:i w:val="0"/>
          <w:iCs w:val="0"/>
          <w:color w:val="000000"/>
          <w:kern w:val="0"/>
          <w:sz w:val="48"/>
          <w:szCs w:val="48"/>
          <w:u w:val="none"/>
          <w:lang w:val="en-US" w:eastAsia="zh-CN" w:bidi="ar"/>
        </w:rPr>
        <w:br w:type="page"/>
      </w:r>
    </w:p>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7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5"/>
        <w:gridCol w:w="2355"/>
        <w:gridCol w:w="824"/>
        <w:gridCol w:w="1500"/>
        <w:gridCol w:w="1511"/>
        <w:gridCol w:w="875"/>
        <w:gridCol w:w="875"/>
        <w:gridCol w:w="875"/>
        <w:gridCol w:w="875"/>
        <w:gridCol w:w="875"/>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796"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9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235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51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8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8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8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8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8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3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公共财政预算拨款</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纳入预算管理的非税收入拨款</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财政专户拨款</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未纳入财政专户管理的自有资金</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95"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637474</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637474</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行政运行（政府办公厅（室）及相关机构事务）</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一般行政管理事务（政府办公厅（室）及相关机构事务）</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2082799</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其他财政对社会保险基金的补助</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29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511"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2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2666"/>
        <w:gridCol w:w="1425"/>
        <w:gridCol w:w="1425"/>
        <w:gridCol w:w="1425"/>
        <w:gridCol w:w="1425"/>
        <w:gridCol w:w="122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21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2022年部门支出总表（按部门经济科目）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2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对个人和家庭补助</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738155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453794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637474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453794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行政运行（政府办公厅（室）及相关机构事务）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453794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2010302</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一般行政管理事务（政府办公厅（室）及相关机构事务）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2082799</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其他财政对社会保险基金的补助</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9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3"/>
        <w:gridCol w:w="3144"/>
        <w:gridCol w:w="846"/>
        <w:gridCol w:w="959"/>
        <w:gridCol w:w="959"/>
        <w:gridCol w:w="959"/>
        <w:gridCol w:w="959"/>
        <w:gridCol w:w="955"/>
        <w:gridCol w:w="955"/>
        <w:gridCol w:w="955"/>
        <w:gridCol w:w="955"/>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988"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2022年部门支出总表（按政府预算科目）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机关工资福利支出</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机关商品和服务支出</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机关资本性支出（一）</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对事业单位经常性补助</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对事业单位资本性补助</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3"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1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203680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453794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203680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637474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453794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183680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行政运行（政府办公厅（室）及相关机构事务）</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453794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2010302</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一般行政管理事务（政府办公厅（室）及相关机构事务）</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2082799</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其他财政对社会保险基金的补助</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3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4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3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0"/>
        <w:gridCol w:w="1044"/>
        <w:gridCol w:w="3348"/>
        <w:gridCol w:w="828"/>
        <w:gridCol w:w="828"/>
        <w:gridCol w:w="1080"/>
        <w:gridCol w:w="1344"/>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335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8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本年预算</w:t>
            </w:r>
          </w:p>
        </w:tc>
        <w:tc>
          <w:tcPr>
            <w:tcW w:w="3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公共财政预算拨款</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纳入预算管理的非税收入拨款</w:t>
            </w: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[201]一般公共服务支出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（一）一般公共预算拨款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[202]外交支出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公共财政预算拨款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[203]国防支出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纳入预算管理的非税收入拨款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[204]公共安全支出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（二）政府性基金预算拨款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[205]教育支出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[206]科学技术支出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[207]文化旅游体育与传媒支出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[208]社会保障和就业支出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（一）一般公共预算拨款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[209]社会保险基金支出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（二）政府性基金拨款</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[210]卫生健康支出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[211]节能环保支出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[212]城乡社区支出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[213]农林水支出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[214]交通运输支出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[215]资源勘探信息等支出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[216]商业服务业等支出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[217]金融支出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[219]援助其他地区支出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[220]国土海洋气象等支出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[221]住房保障支出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[222]粮油物资储备支出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[223]国有资本经营预算支出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[224]灾害防治及应急管理支出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[227]预备费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[229]其他支出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[230]转移性支出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[231]债务还本支出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[232]债务付息支出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[233]债务发行费用支出</w:t>
            </w:r>
          </w:p>
        </w:tc>
        <w:tc>
          <w:tcPr>
            <w:tcW w:w="82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[234]抗疫特别国债安排的支出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2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82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08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344"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结转下年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3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6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4"/>
        <w:gridCol w:w="4304"/>
        <w:gridCol w:w="2301"/>
        <w:gridCol w:w="2343"/>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67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2022年部门一般公共预算支出表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738155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657474</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637474</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行政运行（政府办公厅（室）及相关机构事务）</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547474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2010302</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一般行政管理事务（政府办公厅（室）及相关机构事务）</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89144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85510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2082799</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其他财政对社会保险基金的补助</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4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3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0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6"/>
        <w:gridCol w:w="4020"/>
        <w:gridCol w:w="2077"/>
        <w:gridCol w:w="2077"/>
        <w:gridCol w:w="2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0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2022年部门一般公共预算基本支出表（纵向）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738155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644475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233040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233040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110352</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110352</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85502</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85502</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57007</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47407</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42755</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劳物费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43680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52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9"/>
        <w:gridCol w:w="791"/>
        <w:gridCol w:w="776"/>
        <w:gridCol w:w="776"/>
        <w:gridCol w:w="776"/>
        <w:gridCol w:w="756"/>
        <w:gridCol w:w="696"/>
        <w:gridCol w:w="696"/>
        <w:gridCol w:w="696"/>
        <w:gridCol w:w="696"/>
        <w:gridCol w:w="696"/>
        <w:gridCol w:w="734"/>
        <w:gridCol w:w="691"/>
        <w:gridCol w:w="696"/>
        <w:gridCol w:w="521"/>
        <w:gridCol w:w="696"/>
        <w:gridCol w:w="696"/>
        <w:gridCol w:w="696"/>
        <w:gridCol w:w="508"/>
        <w:gridCol w:w="508"/>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246" w:type="dxa"/>
            <w:gridSpan w:val="2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2022年部门一般公共预算基本支出表（横向）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69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69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7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30" w:type="dxa"/>
            <w:gridSpan w:val="1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088"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95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7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6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其他交通费用（车改补助）</w:t>
            </w:r>
          </w:p>
        </w:tc>
        <w:tc>
          <w:tcPr>
            <w:tcW w:w="5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9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738155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644475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233040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110352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85502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24900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57007</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28503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47407</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42755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93680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43680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547474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453794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233040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110352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85502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24900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93680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43680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547474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453794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233040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110352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85502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24900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93680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43680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行政运行（政府办公厅（室）及相关机构事务）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547474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453794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233040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110352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85502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24900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93680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50000</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43680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89144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89144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57007</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28503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85510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85510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57007</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28503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57007</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57007</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57007</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28503</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28503</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28503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财政对其他社会保险基金的补助</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3634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3634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3634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2082799</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其他财政对社会保险基金的补助</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3634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3634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3634</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58782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58782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47407</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58782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58782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47407</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47407</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47407</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47407</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11375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11375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42755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247368</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42755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42755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247368</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42755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42755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247368</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42755</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2"/>
                <w:szCs w:val="12"/>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0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2492"/>
        <w:gridCol w:w="1282"/>
        <w:gridCol w:w="1282"/>
        <w:gridCol w:w="1369"/>
        <w:gridCol w:w="1369"/>
        <w:gridCol w:w="168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039"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2022年部门政府性基金预算支出表（按部门经济科目）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商品服务支出</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对个人和家庭补助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3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2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2"/>
        <w:gridCol w:w="2244"/>
        <w:gridCol w:w="420"/>
        <w:gridCol w:w="1068"/>
        <w:gridCol w:w="1068"/>
        <w:gridCol w:w="1068"/>
        <w:gridCol w:w="1068"/>
        <w:gridCol w:w="1068"/>
        <w:gridCol w:w="624"/>
        <w:gridCol w:w="1068"/>
        <w:gridCol w:w="1068"/>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2912"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2022年部门政府性基金预算支出表（按政府预算科目）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4"/>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机关工资福利支出</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机关商品和服务支出</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机关资本性支出（一）</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对事业单位经常性补助</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对事业单位资本性补助</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21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30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4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6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6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4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0"/>
        <w:gridCol w:w="1260"/>
        <w:gridCol w:w="1260"/>
        <w:gridCol w:w="1260"/>
        <w:gridCol w:w="804"/>
        <w:gridCol w:w="1260"/>
        <w:gridCol w:w="1260"/>
        <w:gridCol w:w="1260"/>
        <w:gridCol w:w="840"/>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3452"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三公经费项目</w:t>
            </w:r>
          </w:p>
        </w:tc>
        <w:tc>
          <w:tcPr>
            <w:tcW w:w="45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2021年预算完成数</w:t>
            </w:r>
          </w:p>
        </w:tc>
        <w:tc>
          <w:tcPr>
            <w:tcW w:w="4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2022年预算数</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“三公”经费增减变化情况说明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三公经费合计</w:t>
            </w:r>
          </w:p>
        </w:tc>
        <w:tc>
          <w:tcPr>
            <w:tcW w:w="126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财政拨款补助安排数</w:t>
            </w:r>
          </w:p>
        </w:tc>
        <w:tc>
          <w:tcPr>
            <w:tcW w:w="126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纳入预算管理的非税收入拨款补助安排数</w:t>
            </w:r>
          </w:p>
        </w:tc>
        <w:tc>
          <w:tcPr>
            <w:tcW w:w="8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其他资金安排数</w:t>
            </w:r>
          </w:p>
        </w:tc>
        <w:tc>
          <w:tcPr>
            <w:tcW w:w="126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三公经费合计</w:t>
            </w:r>
          </w:p>
        </w:tc>
        <w:tc>
          <w:tcPr>
            <w:tcW w:w="126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财政拨款补助安排数</w:t>
            </w:r>
          </w:p>
        </w:tc>
        <w:tc>
          <w:tcPr>
            <w:tcW w:w="126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纳入预算管理的非税收入拨款补助安排数</w:t>
            </w:r>
          </w:p>
        </w:tc>
        <w:tc>
          <w:tcPr>
            <w:tcW w:w="84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其他资金安排数</w:t>
            </w: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0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南湾湖</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0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0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04"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33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1758"/>
        <w:gridCol w:w="1447"/>
        <w:gridCol w:w="560"/>
        <w:gridCol w:w="528"/>
        <w:gridCol w:w="945"/>
        <w:gridCol w:w="945"/>
        <w:gridCol w:w="945"/>
        <w:gridCol w:w="564"/>
        <w:gridCol w:w="564"/>
        <w:gridCol w:w="790"/>
        <w:gridCol w:w="564"/>
        <w:gridCol w:w="564"/>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3306"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采购项目</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采购目录</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采购数量</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8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公共财政预算拨款</w:t>
            </w: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纳入预算管理的非税收入拨款</w:t>
            </w:r>
          </w:p>
        </w:tc>
        <w:tc>
          <w:tcPr>
            <w:tcW w:w="5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政府性基金拨款</w:t>
            </w:r>
          </w:p>
        </w:tc>
        <w:tc>
          <w:tcPr>
            <w:tcW w:w="5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财政专户拨款</w:t>
            </w:r>
          </w:p>
        </w:tc>
        <w:tc>
          <w:tcPr>
            <w:tcW w:w="7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未纳入财政专户管理的自有资金</w:t>
            </w:r>
          </w:p>
        </w:tc>
        <w:tc>
          <w:tcPr>
            <w:tcW w:w="5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56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3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无</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48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7"/>
        <w:gridCol w:w="833"/>
        <w:gridCol w:w="988"/>
        <w:gridCol w:w="1086"/>
        <w:gridCol w:w="1086"/>
        <w:gridCol w:w="565"/>
        <w:gridCol w:w="1086"/>
        <w:gridCol w:w="1228"/>
        <w:gridCol w:w="1086"/>
        <w:gridCol w:w="1086"/>
        <w:gridCol w:w="593"/>
        <w:gridCol w:w="593"/>
        <w:gridCol w:w="593"/>
        <w:gridCol w:w="593"/>
        <w:gridCol w:w="593"/>
        <w:gridCol w:w="593"/>
        <w:gridCol w:w="593"/>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480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2022年部门非税收入征收计划表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南湾湖办事处</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项目类别及名称</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执收收入计划合计</w:t>
            </w:r>
          </w:p>
        </w:tc>
        <w:tc>
          <w:tcPr>
            <w:tcW w:w="12955"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本级执收收入计划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6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本级非税收入预算</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未纳入专户管理的其他收入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本级非税收入预计合计</w:t>
            </w:r>
          </w:p>
        </w:tc>
        <w:tc>
          <w:tcPr>
            <w:tcW w:w="72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w:t>
            </w:r>
          </w:p>
        </w:tc>
        <w:tc>
          <w:tcPr>
            <w:tcW w:w="41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w:t>
            </w: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收入预算数（纳入预算）</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政府统筹（纳入预算）</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单位可支配收入（纳入预算）</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收入预算数（财政专户）</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政府统筹（财政专户）</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单位可支配收入（财政专户）</w:t>
            </w: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小计（纳入预算）</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分成后本级收入（纳入预算）</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上级返还</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小计（纳入预算政府统筹）</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剔除成本后（纳入预算）</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小计（财政专户）</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分成后本级收入（财政专户）</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上级返还（财政专户）</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小计（财政专户政府统筹）</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剔除成本后</w:t>
            </w: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统筹比例％（纳入预算）</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统筹额（纳入预算）</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统筹比例％（财政专户）</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统筹额（财政专户）</w:t>
            </w: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w:t>
            </w:r>
          </w:p>
        </w:tc>
      </w:tr>
    </w:tbl>
    <w:p>
      <w:pPr>
        <w:pStyle w:val="13"/>
        <w:rPr>
          <w:rFonts w:hint="eastAsia"/>
          <w:lang w:val="en-US" w:eastAsia="zh-CN"/>
        </w:rPr>
        <w:sectPr>
          <w:pgSz w:w="16837" w:h="11905" w:orient="landscape"/>
          <w:pgMar w:top="1588" w:right="1418" w:bottom="1588" w:left="1418" w:header="720" w:footer="1701" w:gutter="0"/>
          <w:pgNumType w:fmt="numberInDash" w:start="1"/>
          <w:cols w:space="720" w:num="1"/>
          <w:titlePg/>
          <w:docGrid w:linePitch="636" w:charSpace="20838"/>
        </w:sectPr>
      </w:pPr>
    </w:p>
    <w:tbl>
      <w:tblPr>
        <w:tblStyle w:val="8"/>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
        <w:gridCol w:w="443"/>
        <w:gridCol w:w="540"/>
        <w:gridCol w:w="615"/>
        <w:gridCol w:w="615"/>
        <w:gridCol w:w="615"/>
        <w:gridCol w:w="630"/>
        <w:gridCol w:w="750"/>
        <w:gridCol w:w="630"/>
        <w:gridCol w:w="883"/>
        <w:gridCol w:w="782"/>
        <w:gridCol w:w="1365"/>
        <w:gridCol w:w="2460"/>
        <w:gridCol w:w="4055"/>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5360" w:type="dxa"/>
            <w:gridSpan w:val="1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部门整体支出绩效目标申报表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5360" w:type="dxa"/>
            <w:gridSpan w:val="1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南湾湖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365"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排序序号</w:t>
            </w:r>
          </w:p>
        </w:tc>
        <w:tc>
          <w:tcPr>
            <w:tcW w:w="443"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项目主管单位</w:t>
            </w:r>
          </w:p>
        </w:tc>
        <w:tc>
          <w:tcPr>
            <w:tcW w:w="54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包含预算单位明细</w:t>
            </w:r>
          </w:p>
        </w:tc>
        <w:tc>
          <w:tcPr>
            <w:tcW w:w="55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年度预算申请金额（元）</w:t>
            </w:r>
          </w:p>
        </w:tc>
        <w:tc>
          <w:tcPr>
            <w:tcW w:w="1365"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部门职能职责概述</w:t>
            </w:r>
          </w:p>
        </w:tc>
        <w:tc>
          <w:tcPr>
            <w:tcW w:w="6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部门整体支出年度绩效指标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36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3"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15"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3240"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按收入资金来源</w:t>
            </w:r>
          </w:p>
        </w:tc>
        <w:tc>
          <w:tcPr>
            <w:tcW w:w="1665"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按支出性质</w:t>
            </w:r>
          </w:p>
        </w:tc>
        <w:tc>
          <w:tcPr>
            <w:tcW w:w="136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60"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055"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1" w:hRule="atLeast"/>
        </w:trPr>
        <w:tc>
          <w:tcPr>
            <w:tcW w:w="36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3"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15"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公共财政拨款</w:t>
            </w:r>
          </w:p>
        </w:tc>
        <w:tc>
          <w:tcPr>
            <w:tcW w:w="615"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纳入预算管理的非税收入拨款</w:t>
            </w:r>
          </w:p>
        </w:tc>
        <w:tc>
          <w:tcPr>
            <w:tcW w:w="630"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政府性基金拨款</w:t>
            </w:r>
          </w:p>
        </w:tc>
        <w:tc>
          <w:tcPr>
            <w:tcW w:w="750"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纳入专户管理的非税收入拨款</w:t>
            </w:r>
          </w:p>
        </w:tc>
        <w:tc>
          <w:tcPr>
            <w:tcW w:w="630"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883"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782"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65" w:type="dxa"/>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60"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55"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3" w:hRule="atLeast"/>
        </w:trPr>
        <w:tc>
          <w:tcPr>
            <w:tcW w:w="3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南湾湖</w:t>
            </w:r>
          </w:p>
        </w:tc>
        <w:tc>
          <w:tcPr>
            <w:tcW w:w="5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南湾湖</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848,155</w:t>
            </w:r>
          </w:p>
        </w:tc>
        <w:tc>
          <w:tcPr>
            <w:tcW w:w="61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8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738,155</w:t>
            </w:r>
          </w:p>
        </w:tc>
        <w:tc>
          <w:tcPr>
            <w:tcW w:w="78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1365"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职责职能： 贯彻落实国家政策，严格依法行政；实施社会公共管理，提供社会公共服务；发展区域经济、文化和社会公益事业；建立和完善更加密切型军地联系机制；加强军地联系，认真做好为基地服务的各项工作；维护社会秩序，确保社会稳定。</w:t>
            </w:r>
          </w:p>
        </w:tc>
        <w:tc>
          <w:tcPr>
            <w:tcW w:w="2460"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南湾湖机关工作人员数量一共是9人，在职在编6人，劳务派遣人员3人。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2、内设机构有社会综合管理办公室（党建、社会治安管理、退役军人、应急管理、民政人社等相关工作）。</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3、2022年“三公”经费预算数为12万元。</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4、三公经费控制率为100%。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5、部门整体支出使用率100%。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6、人员支出完成率100%。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7、预算执行情况100%。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8、资金使用时间2022年1月-12月。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9、资金拨付时效2022年1月-12月。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10、全年预算内金额为848155元。</w:t>
            </w:r>
          </w:p>
        </w:tc>
        <w:tc>
          <w:tcPr>
            <w:tcW w:w="4055" w:type="dxa"/>
            <w:tcBorders>
              <w:top w:val="single" w:color="000000" w:sz="4" w:space="0"/>
              <w:left w:val="single" w:color="000000" w:sz="4" w:space="0"/>
              <w:bottom w:val="single" w:color="000000" w:sz="4" w:space="0"/>
              <w:right w:val="nil"/>
            </w:tcBorders>
            <w:shd w:val="clear" w:color="auto" w:fill="FFFFFF"/>
            <w:vAlign w:val="top"/>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一、是大力推进发展特色生态农业。积极协调基地调优产业结构，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是认真开展民生实事。文明卫生创建活动方面：加强民众宣传力度，结合创卫活动、农村清洁工程，强化基地整治，重点整治企业不文明不卫生等现象。社会保障方面：协同基地，摸底核准，明确责任要求，坚持工作原则，有效的将8个低保指标落实到户，全力维护社会稳定。办事处认真抓好平安建设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三、始终把扫黑除恶专项斗争工作作为一项重要政治任务抓紧、抓好，形成“全民参与、全民揭发、全民监督”的好氛围。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四、积极开展大走访活动,以“大走访”为抓手，加大了对矛盾纠纷的排查调处力度，把矛盾纠纷及时消除在萌芽状态。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五、信访工作达到了“四无”（无越级集体上访，无进京上访，无信访老户、积案，重大信访问题无漏报、不报现象）；辖区无一人参与邪教组织；无黄、赌、毒等社会丑恶现象，社会治安稳定。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六、是持续加大生态保护力度。狠抓大湖水环境治理。在本单位组建日常巡逻队的基础上，联合基地增强南湾湖常规巡逻力度，严查禁航禁捕行为，并做好每日巡查记录。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七、配合环保、农业畜牧部门多次与基地方面协调，对接基地，禁止露天焚烧秸杆行为；依托农清工程，协调基地推进农村生活污水、生活垃圾的治理。</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13"/>
        <w:jc w:val="left"/>
        <w:rPr>
          <w:rFonts w:hint="eastAsia"/>
        </w:rPr>
      </w:pPr>
    </w:p>
    <w:sectPr>
      <w:headerReference r:id="rId5" w:type="default"/>
      <w:footerReference r:id="rId6" w:type="default"/>
      <w:pgSz w:w="16838" w:h="11906" w:orient="landscape"/>
      <w:pgMar w:top="720" w:right="720" w:bottom="720" w:left="720" w:header="720" w:footer="1701" w:gutter="0"/>
      <w:pgNumType w:fmt="numberInDash"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36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360"/>
      <w:jc w:val="right"/>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D6AE8"/>
    <w:multiLevelType w:val="singleLevel"/>
    <w:tmpl w:val="93DD6AE8"/>
    <w:lvl w:ilvl="0" w:tentative="0">
      <w:start w:val="1"/>
      <w:numFmt w:val="decimal"/>
      <w:suff w:val="nothing"/>
      <w:lvlText w:val="%1、"/>
      <w:lvlJc w:val="left"/>
    </w:lvl>
  </w:abstractNum>
  <w:abstractNum w:abstractNumId="1">
    <w:nsid w:val="A7BFF402"/>
    <w:multiLevelType w:val="singleLevel"/>
    <w:tmpl w:val="A7BFF402"/>
    <w:lvl w:ilvl="0" w:tentative="0">
      <w:start w:val="2"/>
      <w:numFmt w:val="chineseCounting"/>
      <w:suff w:val="space"/>
      <w:lvlText w:val="第%1部分"/>
      <w:lvlJc w:val="left"/>
      <w:rPr>
        <w:rFonts w:hint="eastAsia"/>
      </w:rPr>
    </w:lvl>
  </w:abstractNum>
  <w:abstractNum w:abstractNumId="2">
    <w:nsid w:val="706EE0CC"/>
    <w:multiLevelType w:val="singleLevel"/>
    <w:tmpl w:val="706EE0CC"/>
    <w:lvl w:ilvl="0" w:tentative="0">
      <w:start w:val="8"/>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N2JiZGU5Y2MxZGFiYjEyNjFkNmM3YmUxM2IzN2YifQ=="/>
  </w:docVars>
  <w:rsids>
    <w:rsidRoot w:val="00172A27"/>
    <w:rsid w:val="00025999"/>
    <w:rsid w:val="00034614"/>
    <w:rsid w:val="00037C7A"/>
    <w:rsid w:val="0004482D"/>
    <w:rsid w:val="000764C6"/>
    <w:rsid w:val="00080C74"/>
    <w:rsid w:val="00083006"/>
    <w:rsid w:val="00083A25"/>
    <w:rsid w:val="000B0731"/>
    <w:rsid w:val="000C4AE2"/>
    <w:rsid w:val="001304B1"/>
    <w:rsid w:val="0014543A"/>
    <w:rsid w:val="00153303"/>
    <w:rsid w:val="00153671"/>
    <w:rsid w:val="001633B3"/>
    <w:rsid w:val="001704F9"/>
    <w:rsid w:val="00171C73"/>
    <w:rsid w:val="00184FD5"/>
    <w:rsid w:val="001F6F2F"/>
    <w:rsid w:val="002001EF"/>
    <w:rsid w:val="00206441"/>
    <w:rsid w:val="002862C6"/>
    <w:rsid w:val="00290F4B"/>
    <w:rsid w:val="002B4443"/>
    <w:rsid w:val="002D1202"/>
    <w:rsid w:val="00327295"/>
    <w:rsid w:val="003A55F2"/>
    <w:rsid w:val="003E2F6B"/>
    <w:rsid w:val="003F38A7"/>
    <w:rsid w:val="003F7E05"/>
    <w:rsid w:val="00414F0B"/>
    <w:rsid w:val="00422E20"/>
    <w:rsid w:val="00423E64"/>
    <w:rsid w:val="00440598"/>
    <w:rsid w:val="004631A1"/>
    <w:rsid w:val="00474EF2"/>
    <w:rsid w:val="004952E3"/>
    <w:rsid w:val="004A1A20"/>
    <w:rsid w:val="004A37E9"/>
    <w:rsid w:val="004B238D"/>
    <w:rsid w:val="004C0683"/>
    <w:rsid w:val="004C3294"/>
    <w:rsid w:val="004E3CE4"/>
    <w:rsid w:val="00506544"/>
    <w:rsid w:val="00537B20"/>
    <w:rsid w:val="00566F57"/>
    <w:rsid w:val="00572188"/>
    <w:rsid w:val="005B4B5B"/>
    <w:rsid w:val="005C4EB2"/>
    <w:rsid w:val="005C7CCA"/>
    <w:rsid w:val="005E6554"/>
    <w:rsid w:val="00601325"/>
    <w:rsid w:val="0062001D"/>
    <w:rsid w:val="00630977"/>
    <w:rsid w:val="0064650C"/>
    <w:rsid w:val="00647632"/>
    <w:rsid w:val="006527A6"/>
    <w:rsid w:val="00681BFA"/>
    <w:rsid w:val="006C3B8E"/>
    <w:rsid w:val="006D5BC6"/>
    <w:rsid w:val="007039FE"/>
    <w:rsid w:val="00724687"/>
    <w:rsid w:val="00736FA5"/>
    <w:rsid w:val="00755F55"/>
    <w:rsid w:val="00781723"/>
    <w:rsid w:val="007817D4"/>
    <w:rsid w:val="007940F2"/>
    <w:rsid w:val="007A66D7"/>
    <w:rsid w:val="007B4CD3"/>
    <w:rsid w:val="007B6779"/>
    <w:rsid w:val="007C6FB3"/>
    <w:rsid w:val="00800793"/>
    <w:rsid w:val="0080797E"/>
    <w:rsid w:val="008267AF"/>
    <w:rsid w:val="00833870"/>
    <w:rsid w:val="0085520B"/>
    <w:rsid w:val="00855D45"/>
    <w:rsid w:val="00874AD9"/>
    <w:rsid w:val="00883BAF"/>
    <w:rsid w:val="00897FF8"/>
    <w:rsid w:val="00912994"/>
    <w:rsid w:val="00932625"/>
    <w:rsid w:val="00933D20"/>
    <w:rsid w:val="00935F24"/>
    <w:rsid w:val="00951A29"/>
    <w:rsid w:val="00954C45"/>
    <w:rsid w:val="00954D7D"/>
    <w:rsid w:val="009635D1"/>
    <w:rsid w:val="009B7871"/>
    <w:rsid w:val="009C5A0D"/>
    <w:rsid w:val="009F6081"/>
    <w:rsid w:val="00A01A6E"/>
    <w:rsid w:val="00A02EC6"/>
    <w:rsid w:val="00A05EFE"/>
    <w:rsid w:val="00A12070"/>
    <w:rsid w:val="00A133D1"/>
    <w:rsid w:val="00A16EB9"/>
    <w:rsid w:val="00A211B1"/>
    <w:rsid w:val="00A254C2"/>
    <w:rsid w:val="00A25E3A"/>
    <w:rsid w:val="00A261A8"/>
    <w:rsid w:val="00A73AD9"/>
    <w:rsid w:val="00A76E89"/>
    <w:rsid w:val="00A81D22"/>
    <w:rsid w:val="00A867F1"/>
    <w:rsid w:val="00A90A98"/>
    <w:rsid w:val="00A94758"/>
    <w:rsid w:val="00AA099B"/>
    <w:rsid w:val="00AB249A"/>
    <w:rsid w:val="00AC59AF"/>
    <w:rsid w:val="00AD2E80"/>
    <w:rsid w:val="00AD3986"/>
    <w:rsid w:val="00AF59D2"/>
    <w:rsid w:val="00AF662B"/>
    <w:rsid w:val="00B173EA"/>
    <w:rsid w:val="00B25D29"/>
    <w:rsid w:val="00B63868"/>
    <w:rsid w:val="00BA0CC5"/>
    <w:rsid w:val="00BA35FF"/>
    <w:rsid w:val="00BA49A5"/>
    <w:rsid w:val="00BD1A7A"/>
    <w:rsid w:val="00BE7797"/>
    <w:rsid w:val="00C057E1"/>
    <w:rsid w:val="00C45712"/>
    <w:rsid w:val="00C461B1"/>
    <w:rsid w:val="00C502E6"/>
    <w:rsid w:val="00CA00AA"/>
    <w:rsid w:val="00CB1E1C"/>
    <w:rsid w:val="00CD305F"/>
    <w:rsid w:val="00CD5B2D"/>
    <w:rsid w:val="00D472E6"/>
    <w:rsid w:val="00D51002"/>
    <w:rsid w:val="00D54532"/>
    <w:rsid w:val="00D6000D"/>
    <w:rsid w:val="00D6241C"/>
    <w:rsid w:val="00D64B55"/>
    <w:rsid w:val="00D65319"/>
    <w:rsid w:val="00D75C8F"/>
    <w:rsid w:val="00D83031"/>
    <w:rsid w:val="00DA1AE3"/>
    <w:rsid w:val="00DA2370"/>
    <w:rsid w:val="00DE2ACC"/>
    <w:rsid w:val="00DF3218"/>
    <w:rsid w:val="00DF6AC9"/>
    <w:rsid w:val="00E12FB9"/>
    <w:rsid w:val="00E33A41"/>
    <w:rsid w:val="00E40D8D"/>
    <w:rsid w:val="00E6144F"/>
    <w:rsid w:val="00E752E5"/>
    <w:rsid w:val="00E8260A"/>
    <w:rsid w:val="00E83486"/>
    <w:rsid w:val="00EA217D"/>
    <w:rsid w:val="00EC0BFA"/>
    <w:rsid w:val="00EC552C"/>
    <w:rsid w:val="00ED0A8C"/>
    <w:rsid w:val="00F00837"/>
    <w:rsid w:val="00F06CDC"/>
    <w:rsid w:val="00F10AC1"/>
    <w:rsid w:val="00F15BE4"/>
    <w:rsid w:val="00F24A6F"/>
    <w:rsid w:val="00F72E34"/>
    <w:rsid w:val="00F73DBC"/>
    <w:rsid w:val="00F76805"/>
    <w:rsid w:val="00F90582"/>
    <w:rsid w:val="00FA6159"/>
    <w:rsid w:val="00FB0CAC"/>
    <w:rsid w:val="00FC06EE"/>
    <w:rsid w:val="00FC18E5"/>
    <w:rsid w:val="00FC623E"/>
    <w:rsid w:val="00FC6E95"/>
    <w:rsid w:val="0107240D"/>
    <w:rsid w:val="016731DD"/>
    <w:rsid w:val="018A1427"/>
    <w:rsid w:val="01AC3774"/>
    <w:rsid w:val="01B82A67"/>
    <w:rsid w:val="01B91D0C"/>
    <w:rsid w:val="02247ACE"/>
    <w:rsid w:val="02753E85"/>
    <w:rsid w:val="02843A23"/>
    <w:rsid w:val="02EB05EB"/>
    <w:rsid w:val="02F310BD"/>
    <w:rsid w:val="031418F0"/>
    <w:rsid w:val="0317670A"/>
    <w:rsid w:val="033E39EA"/>
    <w:rsid w:val="03595B8B"/>
    <w:rsid w:val="03F90AE6"/>
    <w:rsid w:val="0438160E"/>
    <w:rsid w:val="0444008B"/>
    <w:rsid w:val="04781A0B"/>
    <w:rsid w:val="04D236AF"/>
    <w:rsid w:val="05177476"/>
    <w:rsid w:val="05805BEC"/>
    <w:rsid w:val="05C6234C"/>
    <w:rsid w:val="05CF5FA2"/>
    <w:rsid w:val="06420522"/>
    <w:rsid w:val="064C314F"/>
    <w:rsid w:val="06530982"/>
    <w:rsid w:val="065344DE"/>
    <w:rsid w:val="070677A2"/>
    <w:rsid w:val="072145DC"/>
    <w:rsid w:val="07372051"/>
    <w:rsid w:val="07D23B28"/>
    <w:rsid w:val="0869448C"/>
    <w:rsid w:val="088F5575"/>
    <w:rsid w:val="08CA47FF"/>
    <w:rsid w:val="09045F63"/>
    <w:rsid w:val="0A252635"/>
    <w:rsid w:val="0A3E54A5"/>
    <w:rsid w:val="0A9F23E7"/>
    <w:rsid w:val="0B980BE5"/>
    <w:rsid w:val="0C1704AC"/>
    <w:rsid w:val="0C2D57D1"/>
    <w:rsid w:val="0C3B1C9C"/>
    <w:rsid w:val="0C6B123E"/>
    <w:rsid w:val="0CF14659"/>
    <w:rsid w:val="0D18022F"/>
    <w:rsid w:val="0D1A5D55"/>
    <w:rsid w:val="0D2E35AF"/>
    <w:rsid w:val="0DC91529"/>
    <w:rsid w:val="0DE34399"/>
    <w:rsid w:val="0EF44384"/>
    <w:rsid w:val="0FA86DE3"/>
    <w:rsid w:val="0FAD62D5"/>
    <w:rsid w:val="103716AC"/>
    <w:rsid w:val="10F42D61"/>
    <w:rsid w:val="117029DC"/>
    <w:rsid w:val="1173012A"/>
    <w:rsid w:val="12244F80"/>
    <w:rsid w:val="122907E8"/>
    <w:rsid w:val="12DF5990"/>
    <w:rsid w:val="12FD797B"/>
    <w:rsid w:val="131D659F"/>
    <w:rsid w:val="139B3968"/>
    <w:rsid w:val="13F015BE"/>
    <w:rsid w:val="14011A1D"/>
    <w:rsid w:val="14045069"/>
    <w:rsid w:val="14AE01CA"/>
    <w:rsid w:val="14BE790E"/>
    <w:rsid w:val="15FE79D5"/>
    <w:rsid w:val="16350C1E"/>
    <w:rsid w:val="16D50F3F"/>
    <w:rsid w:val="177C13BA"/>
    <w:rsid w:val="17A403CF"/>
    <w:rsid w:val="17A54DB5"/>
    <w:rsid w:val="17DD62FD"/>
    <w:rsid w:val="185C1918"/>
    <w:rsid w:val="18972950"/>
    <w:rsid w:val="18ED431E"/>
    <w:rsid w:val="18F02060"/>
    <w:rsid w:val="18FE633B"/>
    <w:rsid w:val="193A48B3"/>
    <w:rsid w:val="195B1BCF"/>
    <w:rsid w:val="1A231FC1"/>
    <w:rsid w:val="1A3D3625"/>
    <w:rsid w:val="1B065B6B"/>
    <w:rsid w:val="1B244243"/>
    <w:rsid w:val="1B4072CF"/>
    <w:rsid w:val="1B5C1C2F"/>
    <w:rsid w:val="1B8B42C2"/>
    <w:rsid w:val="1C116575"/>
    <w:rsid w:val="1C7376D7"/>
    <w:rsid w:val="1C790312"/>
    <w:rsid w:val="1CA76EDA"/>
    <w:rsid w:val="1DC75A85"/>
    <w:rsid w:val="1FCF54B9"/>
    <w:rsid w:val="1FEA374C"/>
    <w:rsid w:val="1FF22B62"/>
    <w:rsid w:val="219E0C0B"/>
    <w:rsid w:val="22356D36"/>
    <w:rsid w:val="225301BC"/>
    <w:rsid w:val="226A340F"/>
    <w:rsid w:val="226C6BFB"/>
    <w:rsid w:val="22873A35"/>
    <w:rsid w:val="229B128E"/>
    <w:rsid w:val="239E43A3"/>
    <w:rsid w:val="23BC770E"/>
    <w:rsid w:val="23D164F9"/>
    <w:rsid w:val="242D4168"/>
    <w:rsid w:val="24480FA2"/>
    <w:rsid w:val="24727DCD"/>
    <w:rsid w:val="24B30B11"/>
    <w:rsid w:val="25BD32CA"/>
    <w:rsid w:val="25FC0296"/>
    <w:rsid w:val="269E134D"/>
    <w:rsid w:val="27710810"/>
    <w:rsid w:val="279B763B"/>
    <w:rsid w:val="27A6670B"/>
    <w:rsid w:val="27A961FC"/>
    <w:rsid w:val="27D019DA"/>
    <w:rsid w:val="2A495A74"/>
    <w:rsid w:val="2A8803C7"/>
    <w:rsid w:val="2B41674B"/>
    <w:rsid w:val="2B667F60"/>
    <w:rsid w:val="2B8C6E9D"/>
    <w:rsid w:val="2B9E76FA"/>
    <w:rsid w:val="2D51332B"/>
    <w:rsid w:val="2D574004"/>
    <w:rsid w:val="2E7110F5"/>
    <w:rsid w:val="2EE93382"/>
    <w:rsid w:val="2EEE2746"/>
    <w:rsid w:val="2EFC1307"/>
    <w:rsid w:val="2F0B779C"/>
    <w:rsid w:val="2F527179"/>
    <w:rsid w:val="30313232"/>
    <w:rsid w:val="30416F37"/>
    <w:rsid w:val="30A71AE3"/>
    <w:rsid w:val="311F308B"/>
    <w:rsid w:val="312468F3"/>
    <w:rsid w:val="3195334D"/>
    <w:rsid w:val="32285F6F"/>
    <w:rsid w:val="32B75C71"/>
    <w:rsid w:val="32E26A66"/>
    <w:rsid w:val="33D26ADA"/>
    <w:rsid w:val="341669C7"/>
    <w:rsid w:val="3422536C"/>
    <w:rsid w:val="344F1ED9"/>
    <w:rsid w:val="349F69BC"/>
    <w:rsid w:val="35976CEB"/>
    <w:rsid w:val="36541A28"/>
    <w:rsid w:val="36625F86"/>
    <w:rsid w:val="36ED21B0"/>
    <w:rsid w:val="37275582"/>
    <w:rsid w:val="37AC319E"/>
    <w:rsid w:val="37C8622A"/>
    <w:rsid w:val="381C47C8"/>
    <w:rsid w:val="384B0C09"/>
    <w:rsid w:val="38633232"/>
    <w:rsid w:val="38FD63A7"/>
    <w:rsid w:val="39357B09"/>
    <w:rsid w:val="39495149"/>
    <w:rsid w:val="3A775CE5"/>
    <w:rsid w:val="3ADD1FEC"/>
    <w:rsid w:val="3B567FF1"/>
    <w:rsid w:val="3B702E61"/>
    <w:rsid w:val="3B8E1539"/>
    <w:rsid w:val="3B985F13"/>
    <w:rsid w:val="3BE267DD"/>
    <w:rsid w:val="3C025A83"/>
    <w:rsid w:val="3CB925E5"/>
    <w:rsid w:val="3D3F6F8E"/>
    <w:rsid w:val="3D785FFC"/>
    <w:rsid w:val="3DE73182"/>
    <w:rsid w:val="3DFF08E6"/>
    <w:rsid w:val="3E886713"/>
    <w:rsid w:val="3F2B1D6D"/>
    <w:rsid w:val="3F7722E4"/>
    <w:rsid w:val="3FB13A48"/>
    <w:rsid w:val="40205632"/>
    <w:rsid w:val="40AF61D9"/>
    <w:rsid w:val="40E57E4D"/>
    <w:rsid w:val="415B4202"/>
    <w:rsid w:val="41B44778"/>
    <w:rsid w:val="42653A20"/>
    <w:rsid w:val="42B86E9B"/>
    <w:rsid w:val="43142F7D"/>
    <w:rsid w:val="43BB4E95"/>
    <w:rsid w:val="44095C00"/>
    <w:rsid w:val="44110A72"/>
    <w:rsid w:val="443B5FD6"/>
    <w:rsid w:val="446A1543"/>
    <w:rsid w:val="446B6DA9"/>
    <w:rsid w:val="44B85878"/>
    <w:rsid w:val="44DA759D"/>
    <w:rsid w:val="453942C3"/>
    <w:rsid w:val="454B049A"/>
    <w:rsid w:val="459B4A8C"/>
    <w:rsid w:val="45E2495B"/>
    <w:rsid w:val="45E5444B"/>
    <w:rsid w:val="462C5BD6"/>
    <w:rsid w:val="466A4950"/>
    <w:rsid w:val="46C37B6D"/>
    <w:rsid w:val="47095F17"/>
    <w:rsid w:val="47656FAD"/>
    <w:rsid w:val="48645AFB"/>
    <w:rsid w:val="486F624E"/>
    <w:rsid w:val="48AA3747"/>
    <w:rsid w:val="48F50E49"/>
    <w:rsid w:val="490B241B"/>
    <w:rsid w:val="49393EA5"/>
    <w:rsid w:val="493F20C4"/>
    <w:rsid w:val="4A3B6D2F"/>
    <w:rsid w:val="4A6A13C3"/>
    <w:rsid w:val="4C2C2DD4"/>
    <w:rsid w:val="4CDE39A2"/>
    <w:rsid w:val="4CF431C6"/>
    <w:rsid w:val="4D162A8A"/>
    <w:rsid w:val="4D3161C8"/>
    <w:rsid w:val="4D553C64"/>
    <w:rsid w:val="4D9E1AAF"/>
    <w:rsid w:val="4DAD3AA0"/>
    <w:rsid w:val="4E005CC0"/>
    <w:rsid w:val="4E031912"/>
    <w:rsid w:val="4E5B4984"/>
    <w:rsid w:val="4E65437B"/>
    <w:rsid w:val="4FE85264"/>
    <w:rsid w:val="504F0E3F"/>
    <w:rsid w:val="506643DA"/>
    <w:rsid w:val="51B3364F"/>
    <w:rsid w:val="5233653E"/>
    <w:rsid w:val="528C74F9"/>
    <w:rsid w:val="52D012AE"/>
    <w:rsid w:val="52E140CF"/>
    <w:rsid w:val="53FF6904"/>
    <w:rsid w:val="54136627"/>
    <w:rsid w:val="545C1D7C"/>
    <w:rsid w:val="54A5341B"/>
    <w:rsid w:val="54B908EF"/>
    <w:rsid w:val="54C067AF"/>
    <w:rsid w:val="54C94F38"/>
    <w:rsid w:val="555D2250"/>
    <w:rsid w:val="55675FB5"/>
    <w:rsid w:val="55825812"/>
    <w:rsid w:val="575907F5"/>
    <w:rsid w:val="575D6537"/>
    <w:rsid w:val="57D165DD"/>
    <w:rsid w:val="582B5D92"/>
    <w:rsid w:val="584A6390"/>
    <w:rsid w:val="589A7317"/>
    <w:rsid w:val="58A14202"/>
    <w:rsid w:val="594A4899"/>
    <w:rsid w:val="5954396A"/>
    <w:rsid w:val="59745DBA"/>
    <w:rsid w:val="5A8B33BB"/>
    <w:rsid w:val="5AE26D53"/>
    <w:rsid w:val="5AF30F60"/>
    <w:rsid w:val="5AF34ABD"/>
    <w:rsid w:val="5B490B80"/>
    <w:rsid w:val="5B6A2FD1"/>
    <w:rsid w:val="5BFB631F"/>
    <w:rsid w:val="5C074CC3"/>
    <w:rsid w:val="5C4557EC"/>
    <w:rsid w:val="5C4B3179"/>
    <w:rsid w:val="5CDC1295"/>
    <w:rsid w:val="5CE172C2"/>
    <w:rsid w:val="5CE223C5"/>
    <w:rsid w:val="5D4267C5"/>
    <w:rsid w:val="5D5201C0"/>
    <w:rsid w:val="5D543F38"/>
    <w:rsid w:val="5D5E0FF9"/>
    <w:rsid w:val="5DA622BA"/>
    <w:rsid w:val="5DB449D7"/>
    <w:rsid w:val="5EC92704"/>
    <w:rsid w:val="5ED13367"/>
    <w:rsid w:val="5FE64BF0"/>
    <w:rsid w:val="5FEB2206"/>
    <w:rsid w:val="60116111"/>
    <w:rsid w:val="60343BAD"/>
    <w:rsid w:val="603E2C7E"/>
    <w:rsid w:val="60BF5B6D"/>
    <w:rsid w:val="60D07D7A"/>
    <w:rsid w:val="613F394C"/>
    <w:rsid w:val="61406582"/>
    <w:rsid w:val="616B1851"/>
    <w:rsid w:val="618741B1"/>
    <w:rsid w:val="61CB6793"/>
    <w:rsid w:val="61D218D0"/>
    <w:rsid w:val="62600C89"/>
    <w:rsid w:val="62620EA5"/>
    <w:rsid w:val="629467D8"/>
    <w:rsid w:val="62C84A81"/>
    <w:rsid w:val="62CA6A4B"/>
    <w:rsid w:val="63041F5D"/>
    <w:rsid w:val="630C186C"/>
    <w:rsid w:val="633D721D"/>
    <w:rsid w:val="635705AB"/>
    <w:rsid w:val="638D1F52"/>
    <w:rsid w:val="63E43B3C"/>
    <w:rsid w:val="64175CC0"/>
    <w:rsid w:val="64CE2822"/>
    <w:rsid w:val="64D94D23"/>
    <w:rsid w:val="651A0D5B"/>
    <w:rsid w:val="65410FF9"/>
    <w:rsid w:val="65763C78"/>
    <w:rsid w:val="657A4758"/>
    <w:rsid w:val="658E1FB1"/>
    <w:rsid w:val="65CB26A5"/>
    <w:rsid w:val="66AB0941"/>
    <w:rsid w:val="67A70AB4"/>
    <w:rsid w:val="67F26C39"/>
    <w:rsid w:val="684D1CB0"/>
    <w:rsid w:val="68C61A62"/>
    <w:rsid w:val="697A077E"/>
    <w:rsid w:val="699658D9"/>
    <w:rsid w:val="6A4D2E13"/>
    <w:rsid w:val="6B1940CB"/>
    <w:rsid w:val="6B1B7E43"/>
    <w:rsid w:val="6B4A697B"/>
    <w:rsid w:val="6B601CFA"/>
    <w:rsid w:val="6BB32772"/>
    <w:rsid w:val="6BF32A97"/>
    <w:rsid w:val="6C1D762E"/>
    <w:rsid w:val="6C262F44"/>
    <w:rsid w:val="6C7C1180"/>
    <w:rsid w:val="6C8B2DA7"/>
    <w:rsid w:val="6CBC11B2"/>
    <w:rsid w:val="6CE75F46"/>
    <w:rsid w:val="6D394EF9"/>
    <w:rsid w:val="6D793547"/>
    <w:rsid w:val="6DBD1686"/>
    <w:rsid w:val="6DD16EDF"/>
    <w:rsid w:val="6DD54C21"/>
    <w:rsid w:val="6E494CC8"/>
    <w:rsid w:val="6E5D69C5"/>
    <w:rsid w:val="6E645FA5"/>
    <w:rsid w:val="6EED7D49"/>
    <w:rsid w:val="6EF015E7"/>
    <w:rsid w:val="6FF05370"/>
    <w:rsid w:val="70333E81"/>
    <w:rsid w:val="71412EFE"/>
    <w:rsid w:val="71971907"/>
    <w:rsid w:val="7216423E"/>
    <w:rsid w:val="72873462"/>
    <w:rsid w:val="729A3D44"/>
    <w:rsid w:val="72B03567"/>
    <w:rsid w:val="733E6DC5"/>
    <w:rsid w:val="736E51D0"/>
    <w:rsid w:val="745873B8"/>
    <w:rsid w:val="745919DD"/>
    <w:rsid w:val="74653176"/>
    <w:rsid w:val="748702F8"/>
    <w:rsid w:val="74894EF3"/>
    <w:rsid w:val="74DD43BC"/>
    <w:rsid w:val="75466405"/>
    <w:rsid w:val="758546AA"/>
    <w:rsid w:val="75954C96"/>
    <w:rsid w:val="75A924F0"/>
    <w:rsid w:val="75AA29F3"/>
    <w:rsid w:val="75D92DD5"/>
    <w:rsid w:val="75F3609C"/>
    <w:rsid w:val="7601398D"/>
    <w:rsid w:val="76320737"/>
    <w:rsid w:val="76522B87"/>
    <w:rsid w:val="76553CD3"/>
    <w:rsid w:val="766F7295"/>
    <w:rsid w:val="76B02C17"/>
    <w:rsid w:val="76F37914"/>
    <w:rsid w:val="76FD0776"/>
    <w:rsid w:val="77F51A1C"/>
    <w:rsid w:val="783C589D"/>
    <w:rsid w:val="78852DA0"/>
    <w:rsid w:val="79675F84"/>
    <w:rsid w:val="79D902FA"/>
    <w:rsid w:val="7A147527"/>
    <w:rsid w:val="7A153290"/>
    <w:rsid w:val="7A1F4AEE"/>
    <w:rsid w:val="7ACC115A"/>
    <w:rsid w:val="7ACC2F08"/>
    <w:rsid w:val="7B05466C"/>
    <w:rsid w:val="7B2745E3"/>
    <w:rsid w:val="7B4C4049"/>
    <w:rsid w:val="7B607AF4"/>
    <w:rsid w:val="7B784E3E"/>
    <w:rsid w:val="7BB73BB8"/>
    <w:rsid w:val="7C1D1542"/>
    <w:rsid w:val="7CBE2D25"/>
    <w:rsid w:val="7DCE343B"/>
    <w:rsid w:val="7DD32800"/>
    <w:rsid w:val="7E002EC9"/>
    <w:rsid w:val="7E290672"/>
    <w:rsid w:val="7E5A4CCF"/>
    <w:rsid w:val="7EC87E8B"/>
    <w:rsid w:val="7ECF6BAF"/>
    <w:rsid w:val="7F517E80"/>
    <w:rsid w:val="7F6F0AC8"/>
    <w:rsid w:val="7F7B6CAB"/>
    <w:rsid w:val="7F800765"/>
    <w:rsid w:val="7FBE69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4"/>
    <w:qFormat/>
    <w:uiPriority w:val="0"/>
    <w:pPr>
      <w:spacing w:after="120" w:afterLines="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paragraph" w:customStyle="1" w:styleId="13">
    <w:name w:val="新正文"/>
    <w:basedOn w:val="1"/>
    <w:qFormat/>
    <w:uiPriority w:val="99"/>
    <w:pPr>
      <w:spacing w:line="610" w:lineRule="exact"/>
      <w:ind w:firstLine="880" w:firstLineChars="200"/>
    </w:pPr>
    <w:rPr>
      <w:rFonts w:eastAsia="仿宋_GB2312"/>
      <w:sz w:val="32"/>
    </w:rPr>
  </w:style>
  <w:style w:type="character" w:customStyle="1" w:styleId="14">
    <w:name w:val="正文文本 Char"/>
    <w:link w:val="2"/>
    <w:qFormat/>
    <w:uiPriority w:val="0"/>
    <w:rPr>
      <w:kern w:val="2"/>
      <w:sz w:val="21"/>
      <w:szCs w:val="24"/>
    </w:rPr>
  </w:style>
  <w:style w:type="character" w:customStyle="1" w:styleId="15">
    <w:name w:val="批注框文本 Char"/>
    <w:link w:val="3"/>
    <w:semiHidden/>
    <w:qFormat/>
    <w:uiPriority w:val="99"/>
    <w:rPr>
      <w:kern w:val="2"/>
      <w:sz w:val="18"/>
      <w:szCs w:val="18"/>
    </w:rPr>
  </w:style>
  <w:style w:type="character" w:customStyle="1" w:styleId="16">
    <w:name w:val="页脚 Char"/>
    <w:link w:val="4"/>
    <w:qFormat/>
    <w:uiPriority w:val="99"/>
    <w:rPr>
      <w:kern w:val="2"/>
      <w:sz w:val="18"/>
      <w:szCs w:val="18"/>
    </w:rPr>
  </w:style>
  <w:style w:type="character" w:customStyle="1" w:styleId="17">
    <w:name w:val="页眉 Char"/>
    <w:link w:val="5"/>
    <w:qFormat/>
    <w:uiPriority w:val="99"/>
    <w:rPr>
      <w:kern w:val="2"/>
      <w:sz w:val="18"/>
      <w:szCs w:val="18"/>
    </w:rPr>
  </w:style>
  <w:style w:type="paragraph" w:customStyle="1" w:styleId="18">
    <w:name w:val="表格内容"/>
    <w:basedOn w:val="2"/>
    <w:qFormat/>
    <w:uiPriority w:val="0"/>
    <w:pPr>
      <w:suppressLineNumbers/>
      <w:suppressAutoHyphens/>
      <w:jc w:val="left"/>
    </w:pPr>
    <w:rPr>
      <w:rFonts w:cs="Tahoma"/>
      <w:kern w:val="0"/>
      <w:sz w:val="24"/>
    </w:rPr>
  </w:style>
  <w:style w:type="paragraph" w:styleId="19">
    <w:name w:val="List Paragraph"/>
    <w:basedOn w:val="1"/>
    <w:qFormat/>
    <w:uiPriority w:val="34"/>
    <w:pPr>
      <w:ind w:firstLine="420" w:firstLineChars="200"/>
    </w:pPr>
    <w:rPr>
      <w:rFonts w:ascii="Calibri" w:hAnsi="Calibri" w:eastAsia="宋体" w:cs="Times New Roman"/>
      <w:szCs w:val="22"/>
    </w:rPr>
  </w:style>
  <w:style w:type="paragraph" w:customStyle="1" w:styleId="2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1">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4132</Words>
  <Characters>4259</Characters>
  <Lines>34</Lines>
  <Paragraphs>9</Paragraphs>
  <TotalTime>49</TotalTime>
  <ScaleCrop>false</ScaleCrop>
  <LinksUpToDate>false</LinksUpToDate>
  <CharactersWithSpaces>4480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2021-05-14T01:57:00Z</dcterms:created>
  <dc:creator>Administrator</dc:creator>
  <cp:lastModifiedBy>Administrator</cp:lastModifiedBy>
  <cp:lastPrinted>2021-05-16T11:47:00Z</cp:lastPrinted>
  <dcterms:modified xsi:type="dcterms:W3CDTF">2023-10-05T08:53:09Z</dcterms:modified>
  <dc:title>湖南省财政厅发文（指标、函）稿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D87FF72059574553A00BECE1426DBB29_13</vt:lpwstr>
  </property>
</Properties>
</file>