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益阳市大通湖区政务中心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spacing w:line="592" w:lineRule="exact"/>
        <w:ind w:firstLine="643" w:firstLineChars="200"/>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 xml:space="preserve">1、贯彻执行中央、省、市有关政务中心建设和政府信息公开工作方针、政策，研究拟定全区政务中心建设和政务公开工作规划，经批准后组织实施； </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 xml:space="preserve">2、指导、协调、监督区直部门集中办理行政许可、行政事业和服务性收费；负责组织指导有关公共便民服务； </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 xml:space="preserve">3、负责政务窗口工作人员的管理、监督和考核工作； 会同有关部门受理、交办、督办政务窗口行政效能投诉； </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 xml:space="preserve">4、负责提供有关行政审批事项及服务事项的代理、办理服务； </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5、组织编制区管委及其部门的政府信息公开指南、公开目录和公开年度工作报告；</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 xml:space="preserve">6、指导协调乡镇（办事处）和区直部门的政务服务和政务公开工作； </w:t>
      </w:r>
    </w:p>
    <w:p>
      <w:pPr>
        <w:spacing w:line="592" w:lineRule="exact"/>
        <w:ind w:firstLine="640" w:firstLineChars="200"/>
        <w:rPr>
          <w:rFonts w:hint="eastAsia" w:ascii="仿宋" w:hAnsi="仿宋" w:eastAsia="仿宋"/>
          <w:sz w:val="32"/>
          <w:szCs w:val="32"/>
        </w:rPr>
      </w:pPr>
      <w:r>
        <w:rPr>
          <w:rFonts w:hint="eastAsia" w:ascii="仿宋" w:hAnsi="仿宋" w:eastAsia="仿宋"/>
          <w:sz w:val="32"/>
          <w:szCs w:val="32"/>
        </w:rPr>
        <w:t>7、根据区委区管委授权，区政务服务中心承担全区税收协控联管的督促协调与监督管理工作以及全区公共资源交易的监督与管理工作。</w:t>
      </w:r>
    </w:p>
    <w:p>
      <w:pPr>
        <w:spacing w:line="592" w:lineRule="exact"/>
        <w:ind w:firstLine="640" w:firstLineChars="200"/>
        <w:rPr>
          <w:rFonts w:hint="eastAsia" w:eastAsia="楷体_GB2312"/>
          <w:b w:val="0"/>
          <w:bCs/>
          <w:sz w:val="32"/>
          <w:szCs w:val="32"/>
          <w:lang w:eastAsia="zh-CN"/>
        </w:rPr>
      </w:pPr>
      <w:r>
        <w:rPr>
          <w:rFonts w:hint="eastAsia" w:ascii="仿宋" w:hAnsi="仿宋" w:eastAsia="仿宋"/>
          <w:sz w:val="32"/>
          <w:szCs w:val="32"/>
        </w:rPr>
        <w:t>8、承办区委区管委交办的其他事项。</w:t>
      </w:r>
    </w:p>
    <w:p>
      <w:pPr>
        <w:spacing w:line="592" w:lineRule="exact"/>
        <w:ind w:firstLine="643" w:firstLineChars="200"/>
        <w:rPr>
          <w:rFonts w:hint="eastAsia" w:ascii="仿宋" w:hAnsi="仿宋" w:eastAsia="仿宋"/>
          <w:color w:val="303030"/>
          <w:sz w:val="32"/>
          <w:szCs w:val="32"/>
          <w:lang w:eastAsia="zh-CN"/>
        </w:rPr>
      </w:pPr>
      <w:r>
        <w:rPr>
          <w:rFonts w:hint="eastAsia" w:ascii="仿宋" w:hAnsi="仿宋" w:eastAsia="仿宋"/>
          <w:b/>
          <w:bCs/>
          <w:color w:val="303030"/>
          <w:sz w:val="32"/>
          <w:szCs w:val="32"/>
        </w:rPr>
        <w:t>（二）机构设置</w:t>
      </w:r>
      <w:r>
        <w:rPr>
          <w:rFonts w:hint="eastAsia" w:ascii="仿宋" w:hAnsi="仿宋" w:eastAsia="仿宋"/>
          <w:b/>
          <w:bCs/>
          <w:color w:val="303030"/>
          <w:sz w:val="32"/>
          <w:szCs w:val="32"/>
          <w:lang w:eastAsia="zh-CN"/>
        </w:rPr>
        <w:t>：</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根据以上职责，区政务服务中心内设3个内设机构：</w:t>
      </w:r>
    </w:p>
    <w:p>
      <w:pPr>
        <w:spacing w:line="592" w:lineRule="exact"/>
        <w:ind w:firstLine="640" w:firstLineChars="200"/>
        <w:rPr>
          <w:rFonts w:hint="eastAsia" w:ascii="楷体" w:hAnsi="楷体" w:eastAsia="楷体" w:cs="楷体"/>
          <w:color w:val="303030"/>
          <w:sz w:val="32"/>
          <w:szCs w:val="32"/>
        </w:rPr>
      </w:pPr>
      <w:r>
        <w:rPr>
          <w:rFonts w:hint="eastAsia" w:ascii="楷体" w:hAnsi="楷体" w:eastAsia="楷体" w:cs="楷体"/>
          <w:color w:val="303030"/>
          <w:sz w:val="32"/>
          <w:szCs w:val="32"/>
        </w:rPr>
        <w:t>（</w:t>
      </w:r>
      <w:r>
        <w:rPr>
          <w:rFonts w:hint="eastAsia" w:ascii="楷体" w:hAnsi="楷体" w:eastAsia="楷体" w:cs="楷体"/>
          <w:color w:val="303030"/>
          <w:sz w:val="32"/>
          <w:szCs w:val="32"/>
          <w:lang w:val="en-US" w:eastAsia="zh-CN"/>
        </w:rPr>
        <w:t>1</w:t>
      </w:r>
      <w:r>
        <w:rPr>
          <w:rFonts w:hint="eastAsia" w:ascii="楷体" w:hAnsi="楷体" w:eastAsia="楷体" w:cs="楷体"/>
          <w:color w:val="303030"/>
          <w:sz w:val="32"/>
          <w:szCs w:val="32"/>
        </w:rPr>
        <w:t>）办公室</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协助中心领导处理日常工作和政务公开工作的综合协调；负责办文办会、上传下达</w:t>
      </w:r>
      <w:r>
        <w:rPr>
          <w:rFonts w:hint="eastAsia" w:ascii="仿宋" w:hAnsi="仿宋" w:eastAsia="仿宋" w:cs="仿宋"/>
          <w:sz w:val="32"/>
          <w:szCs w:val="32"/>
        </w:rPr>
        <w:t>。</w:t>
      </w:r>
      <w:r>
        <w:rPr>
          <w:rFonts w:hint="eastAsia" w:ascii="仿宋" w:hAnsi="仿宋" w:eastAsia="仿宋"/>
          <w:color w:val="303030"/>
          <w:sz w:val="32"/>
          <w:szCs w:val="32"/>
        </w:rPr>
        <w:t>负责中心组织、机构编制、人事劳资、社会保障和综合治理工作；负责中心后勤管理和接待工作。</w:t>
      </w:r>
    </w:p>
    <w:p>
      <w:pPr>
        <w:spacing w:line="592" w:lineRule="exact"/>
        <w:ind w:firstLine="640" w:firstLineChars="200"/>
        <w:rPr>
          <w:rFonts w:hint="eastAsia" w:ascii="楷体" w:hAnsi="楷体" w:eastAsia="楷体" w:cs="楷体"/>
          <w:color w:val="303030"/>
          <w:sz w:val="32"/>
          <w:szCs w:val="32"/>
        </w:rPr>
      </w:pPr>
      <w:r>
        <w:rPr>
          <w:rFonts w:hint="eastAsia" w:ascii="楷体" w:hAnsi="楷体" w:eastAsia="楷体" w:cs="楷体"/>
          <w:color w:val="303030"/>
          <w:sz w:val="32"/>
          <w:szCs w:val="32"/>
        </w:rPr>
        <w:t>（</w:t>
      </w:r>
      <w:r>
        <w:rPr>
          <w:rFonts w:hint="eastAsia" w:ascii="楷体" w:hAnsi="楷体" w:eastAsia="楷体" w:cs="楷体"/>
          <w:color w:val="303030"/>
          <w:sz w:val="32"/>
          <w:szCs w:val="32"/>
          <w:lang w:val="en-US" w:eastAsia="zh-CN"/>
        </w:rPr>
        <w:t>2</w:t>
      </w:r>
      <w:r>
        <w:rPr>
          <w:rFonts w:hint="eastAsia" w:ascii="楷体" w:hAnsi="楷体" w:eastAsia="楷体" w:cs="楷体"/>
          <w:color w:val="303030"/>
          <w:sz w:val="32"/>
          <w:szCs w:val="32"/>
        </w:rPr>
        <w:t>）业务股</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１、负责对窗口项目和办件的日常管理，协调各窗口审批业务，负责涉及多部门行政审批项目联合办理和全程代理对接服务的组织协调；负责对进驻行政服务中心的项目和收费进行审核、公示和动态管理；负责统计、整理各窗口的业务数据，定期分析窗口办件情况；负责中心业务咨询和窗口工作人员的业务培训；负责中心服务内容、办理程序、运行制度的修订和解释工作；负责中心的网络维护管理和信息化建设；负责对乡镇政务中心的业务指导工作。</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２、承担全区税收协控联管的组织协调与监督管理工作。</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３、承担全区公共资源交易的监督与管理工作。</w:t>
      </w:r>
    </w:p>
    <w:p>
      <w:pPr>
        <w:spacing w:line="592" w:lineRule="exact"/>
        <w:ind w:firstLine="640" w:firstLineChars="200"/>
        <w:rPr>
          <w:rFonts w:hint="eastAsia" w:ascii="楷体" w:hAnsi="楷体" w:eastAsia="楷体" w:cs="楷体"/>
          <w:color w:val="303030"/>
          <w:sz w:val="32"/>
          <w:szCs w:val="32"/>
        </w:rPr>
      </w:pPr>
      <w:r>
        <w:rPr>
          <w:rFonts w:hint="eastAsia" w:ascii="楷体" w:hAnsi="楷体" w:eastAsia="楷体" w:cs="楷体"/>
          <w:color w:val="303030"/>
          <w:sz w:val="32"/>
          <w:szCs w:val="32"/>
        </w:rPr>
        <w:t>（</w:t>
      </w:r>
      <w:r>
        <w:rPr>
          <w:rFonts w:hint="eastAsia" w:ascii="楷体" w:hAnsi="楷体" w:eastAsia="楷体" w:cs="楷体"/>
          <w:color w:val="303030"/>
          <w:sz w:val="32"/>
          <w:szCs w:val="32"/>
          <w:lang w:val="en-US" w:eastAsia="zh-CN"/>
        </w:rPr>
        <w:t>3</w:t>
      </w:r>
      <w:r>
        <w:rPr>
          <w:rFonts w:hint="eastAsia" w:ascii="楷体" w:hAnsi="楷体" w:eastAsia="楷体" w:cs="楷体"/>
          <w:color w:val="303030"/>
          <w:sz w:val="32"/>
          <w:szCs w:val="32"/>
        </w:rPr>
        <w:t>）督查股</w:t>
      </w:r>
    </w:p>
    <w:p>
      <w:pPr>
        <w:spacing w:line="592" w:lineRule="exact"/>
        <w:ind w:firstLine="640" w:firstLineChars="200"/>
        <w:rPr>
          <w:rFonts w:hint="eastAsia" w:ascii="仿宋" w:hAnsi="仿宋" w:eastAsia="仿宋"/>
          <w:color w:val="303030"/>
          <w:sz w:val="32"/>
          <w:szCs w:val="32"/>
        </w:rPr>
      </w:pPr>
      <w:r>
        <w:rPr>
          <w:rFonts w:hint="eastAsia" w:ascii="仿宋" w:hAnsi="仿宋" w:eastAsia="仿宋"/>
          <w:color w:val="303030"/>
          <w:sz w:val="32"/>
          <w:szCs w:val="32"/>
        </w:rPr>
        <w:t>负责监督检查中心各项工作制度、管理制度的执行和落实情况；检查窗口及工作人员的服务态度、服务质量、工作纪律和规范化服务情况；负责对窗口及工作人员的日常考勤、巡查和月度、年度考评考核工作；负责投诉受理、处理和反馈工作。</w:t>
      </w:r>
    </w:p>
    <w:p>
      <w:pPr>
        <w:spacing w:line="592" w:lineRule="exact"/>
        <w:ind w:firstLine="640" w:firstLineChars="200"/>
        <w:rPr>
          <w:rFonts w:hint="eastAsia" w:eastAsia="仿宋_GB2312"/>
          <w:sz w:val="32"/>
          <w:szCs w:val="32"/>
        </w:rPr>
      </w:pPr>
      <w:r>
        <w:rPr>
          <w:rFonts w:hint="eastAsia" w:ascii="仿宋" w:hAnsi="仿宋" w:eastAsia="仿宋" w:cs="仿宋"/>
          <w:color w:val="000000"/>
          <w:sz w:val="32"/>
          <w:szCs w:val="32"/>
          <w:shd w:val="clear" w:color="auto" w:fill="FFFFFF"/>
        </w:rPr>
        <w:t>纪检（监察）机构按有关规定设置。</w:t>
      </w:r>
    </w:p>
    <w:p>
      <w:pPr>
        <w:spacing w:line="592" w:lineRule="exact"/>
        <w:rPr>
          <w:rFonts w:eastAsia="黑体"/>
          <w:kern w:val="0"/>
          <w:sz w:val="32"/>
          <w:szCs w:val="32"/>
        </w:rPr>
      </w:pPr>
      <w:r>
        <w:rPr>
          <w:rFonts w:hint="eastAsia" w:ascii="仿宋" w:hAnsi="仿宋" w:eastAsia="仿宋"/>
          <w:color w:val="303030"/>
          <w:sz w:val="32"/>
          <w:szCs w:val="32"/>
        </w:rPr>
        <w:t xml:space="preserve"> </w:t>
      </w:r>
      <w:r>
        <w:rPr>
          <w:rFonts w:hint="eastAsia" w:ascii="仿宋" w:hAnsi="仿宋" w:eastAsia="仿宋"/>
          <w:color w:val="303030"/>
          <w:sz w:val="32"/>
          <w:szCs w:val="32"/>
          <w:lang w:val="en-US" w:eastAsia="zh-CN"/>
        </w:rPr>
        <w:t xml:space="preserve">   </w:t>
      </w:r>
      <w:r>
        <w:rPr>
          <w:rFonts w:eastAsia="黑体"/>
          <w:kern w:val="0"/>
          <w:sz w:val="32"/>
          <w:szCs w:val="32"/>
        </w:rPr>
        <w:t>二、部门预算单位构成</w:t>
      </w:r>
    </w:p>
    <w:p>
      <w:pPr>
        <w:spacing w:line="592" w:lineRule="exact"/>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益阳市大通湖区政务中心部门只有本级，没有其他预算单位，纳入编制范围的预算单位仅含益阳市大通湖区政务中心部门本级。</w:t>
      </w:r>
    </w:p>
    <w:p>
      <w:pPr>
        <w:spacing w:line="592" w:lineRule="exact"/>
        <w:ind w:firstLine="640" w:firstLineChars="200"/>
        <w:rPr>
          <w:rFonts w:eastAsia="黑体"/>
          <w:bCs/>
          <w:kern w:val="0"/>
          <w:sz w:val="32"/>
          <w:szCs w:val="32"/>
        </w:rPr>
      </w:pPr>
      <w:r>
        <w:rPr>
          <w:rFonts w:hint="eastAsia" w:ascii="仿宋" w:hAnsi="仿宋" w:eastAsia="仿宋" w:cs="仿宋"/>
          <w:color w:val="000000"/>
          <w:sz w:val="32"/>
          <w:szCs w:val="32"/>
          <w:shd w:val="clear" w:color="auto" w:fill="FFFFFF"/>
        </w:rPr>
        <w:t>三、</w:t>
      </w:r>
      <w:r>
        <w:rPr>
          <w:rFonts w:eastAsia="黑体"/>
          <w:bCs/>
          <w:kern w:val="0"/>
          <w:sz w:val="32"/>
          <w:szCs w:val="32"/>
        </w:rPr>
        <w:t>部门收支总体情况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118.93</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118.93</w:t>
      </w:r>
      <w:r>
        <w:rPr>
          <w:rFonts w:eastAsia="仿宋_GB2312"/>
          <w:sz w:val="32"/>
          <w:szCs w:val="32"/>
        </w:rPr>
        <w:t>万元。</w:t>
      </w:r>
      <w:r>
        <w:rPr>
          <w:rFonts w:eastAsia="仿宋_GB2312"/>
          <w:b/>
          <w:sz w:val="32"/>
          <w:szCs w:val="32"/>
        </w:rPr>
        <w:t>收入较去年减少</w:t>
      </w:r>
      <w:r>
        <w:rPr>
          <w:rFonts w:hint="eastAsia" w:eastAsia="仿宋_GB2312"/>
          <w:b/>
          <w:sz w:val="32"/>
          <w:szCs w:val="32"/>
          <w:u w:val="single"/>
          <w:lang w:val="en-US" w:eastAsia="zh-CN"/>
        </w:rPr>
        <w:t>43.34</w:t>
      </w:r>
      <w:r>
        <w:rPr>
          <w:rFonts w:eastAsia="仿宋_GB2312"/>
          <w:b/>
          <w:sz w:val="32"/>
          <w:szCs w:val="32"/>
        </w:rPr>
        <w:t>万元，主要是</w:t>
      </w:r>
      <w:r>
        <w:rPr>
          <w:rFonts w:hint="eastAsia" w:eastAsia="仿宋_GB2312"/>
          <w:b w:val="0"/>
          <w:bCs/>
          <w:sz w:val="32"/>
          <w:szCs w:val="32"/>
        </w:rPr>
        <w:t>单位行政人员预算时比去年减少2人，基本收入减少；政务中心窗口人员绩效取消，项目收入减少。</w:t>
      </w:r>
    </w:p>
    <w:p>
      <w:pPr>
        <w:widowControl/>
        <w:spacing w:line="600" w:lineRule="exact"/>
        <w:ind w:firstLine="630" w:firstLineChars="196"/>
        <w:jc w:val="left"/>
        <w:rPr>
          <w:rFonts w:eastAsia="仿宋_GB2312"/>
          <w:b w:val="0"/>
          <w:bCs/>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118.93</w:t>
      </w:r>
      <w:r>
        <w:rPr>
          <w:rFonts w:eastAsia="仿宋_GB2312"/>
          <w:sz w:val="32"/>
          <w:szCs w:val="32"/>
        </w:rPr>
        <w:t>万元，其中，一般公共服务</w:t>
      </w:r>
      <w:r>
        <w:rPr>
          <w:rFonts w:hint="eastAsia" w:eastAsia="仿宋_GB2312"/>
          <w:sz w:val="32"/>
          <w:szCs w:val="32"/>
          <w:u w:val="single"/>
        </w:rPr>
        <w:t>105.47</w:t>
      </w:r>
      <w:r>
        <w:rPr>
          <w:rFonts w:eastAsia="仿宋_GB2312"/>
          <w:sz w:val="32"/>
          <w:szCs w:val="32"/>
        </w:rPr>
        <w:t>万元，</w:t>
      </w:r>
      <w:r>
        <w:rPr>
          <w:rFonts w:hint="eastAsia" w:eastAsia="仿宋_GB2312"/>
          <w:sz w:val="32"/>
          <w:szCs w:val="32"/>
        </w:rPr>
        <w:t>社会保障和就业支出6.87万元，卫生健康支出3.35万元，住房保障支出3.24万元</w:t>
      </w:r>
      <w:r>
        <w:rPr>
          <w:rFonts w:eastAsia="仿宋_GB2312"/>
          <w:sz w:val="32"/>
          <w:szCs w:val="32"/>
        </w:rPr>
        <w:t>。</w:t>
      </w:r>
      <w:r>
        <w:rPr>
          <w:rFonts w:eastAsia="仿宋_GB2312"/>
          <w:b/>
          <w:sz w:val="32"/>
          <w:szCs w:val="32"/>
        </w:rPr>
        <w:t>支出较去年减少</w:t>
      </w:r>
      <w:r>
        <w:rPr>
          <w:rFonts w:hint="eastAsia" w:eastAsia="仿宋_GB2312"/>
          <w:b/>
          <w:sz w:val="32"/>
          <w:szCs w:val="32"/>
          <w:lang w:val="en-US" w:eastAsia="zh-CN"/>
        </w:rPr>
        <w:t>43.34</w:t>
      </w:r>
      <w:r>
        <w:rPr>
          <w:rFonts w:eastAsia="仿宋_GB2312"/>
          <w:b/>
          <w:sz w:val="32"/>
          <w:szCs w:val="32"/>
        </w:rPr>
        <w:t>万元，主要</w:t>
      </w:r>
      <w:r>
        <w:rPr>
          <w:rFonts w:hint="eastAsia" w:eastAsia="仿宋_GB2312"/>
          <w:b/>
          <w:sz w:val="32"/>
          <w:szCs w:val="32"/>
        </w:rPr>
        <w:t>原因</w:t>
      </w:r>
      <w:r>
        <w:rPr>
          <w:rFonts w:eastAsia="仿宋_GB2312"/>
          <w:b/>
          <w:sz w:val="32"/>
          <w:szCs w:val="32"/>
        </w:rPr>
        <w:t>是</w:t>
      </w:r>
      <w:r>
        <w:rPr>
          <w:rFonts w:hint="eastAsia" w:eastAsia="仿宋_GB2312"/>
          <w:b w:val="0"/>
          <w:bCs/>
          <w:sz w:val="32"/>
          <w:szCs w:val="32"/>
        </w:rPr>
        <w:t>单位行政人员预算时比去年减少2人，基本支出减少；政务中心窗口人员绩效取消，项目支出减少。</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hint="eastAsia" w:eastAsia="仿宋_GB2312"/>
          <w:b w:val="0"/>
          <w:bCs/>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lang w:val="en-US" w:eastAsia="zh-CN"/>
        </w:rPr>
        <w:t>118.93</w:t>
      </w:r>
      <w:r>
        <w:rPr>
          <w:rFonts w:eastAsia="仿宋_GB2312"/>
          <w:sz w:val="32"/>
          <w:szCs w:val="32"/>
        </w:rPr>
        <w:t>万元，</w:t>
      </w:r>
      <w:r>
        <w:rPr>
          <w:rFonts w:hint="eastAsia" w:eastAsia="仿宋_GB2312"/>
          <w:b w:val="0"/>
          <w:bCs/>
          <w:sz w:val="32"/>
          <w:szCs w:val="32"/>
        </w:rPr>
        <w:t>其中，一般公共服务支出</w:t>
      </w:r>
      <w:r>
        <w:rPr>
          <w:rFonts w:hint="eastAsia" w:eastAsia="仿宋_GB2312"/>
          <w:b w:val="0"/>
          <w:bCs/>
          <w:sz w:val="32"/>
          <w:szCs w:val="32"/>
          <w:lang w:val="en-US" w:eastAsia="zh-CN"/>
        </w:rPr>
        <w:t>105.47</w:t>
      </w:r>
      <w:r>
        <w:rPr>
          <w:rFonts w:hint="eastAsia" w:eastAsia="仿宋_GB2312"/>
          <w:b w:val="0"/>
          <w:bCs/>
          <w:sz w:val="32"/>
          <w:szCs w:val="32"/>
        </w:rPr>
        <w:t>万元</w:t>
      </w:r>
      <w:r>
        <w:rPr>
          <w:rFonts w:hint="eastAsia" w:eastAsia="仿宋_GB2312"/>
          <w:b w:val="0"/>
          <w:bCs/>
          <w:sz w:val="32"/>
          <w:szCs w:val="32"/>
          <w:lang w:eastAsia="zh-CN"/>
        </w:rPr>
        <w:t>，</w:t>
      </w:r>
      <w:r>
        <w:rPr>
          <w:rFonts w:hint="eastAsia" w:eastAsia="仿宋_GB2312"/>
          <w:b w:val="0"/>
          <w:bCs/>
          <w:sz w:val="32"/>
          <w:szCs w:val="32"/>
        </w:rPr>
        <w:t xml:space="preserve">占 </w:t>
      </w:r>
      <w:r>
        <w:rPr>
          <w:rFonts w:hint="eastAsia" w:eastAsia="仿宋_GB2312"/>
          <w:b w:val="0"/>
          <w:bCs/>
          <w:sz w:val="32"/>
          <w:szCs w:val="32"/>
          <w:lang w:val="en-US" w:eastAsia="zh-CN"/>
        </w:rPr>
        <w:t>88.7</w:t>
      </w:r>
      <w:r>
        <w:rPr>
          <w:rFonts w:hint="eastAsia" w:eastAsia="仿宋_GB2312"/>
          <w:b w:val="0"/>
          <w:bCs/>
          <w:sz w:val="32"/>
          <w:szCs w:val="32"/>
        </w:rPr>
        <w:t xml:space="preserve"> %；公共安全支出 </w:t>
      </w:r>
      <w:r>
        <w:rPr>
          <w:rFonts w:hint="eastAsia" w:eastAsia="仿宋_GB2312"/>
          <w:b w:val="0"/>
          <w:bCs/>
          <w:sz w:val="32"/>
          <w:szCs w:val="32"/>
          <w:lang w:val="en-US" w:eastAsia="zh-CN"/>
        </w:rPr>
        <w:t>0</w:t>
      </w:r>
      <w:r>
        <w:rPr>
          <w:rFonts w:hint="eastAsia" w:eastAsia="仿宋_GB2312"/>
          <w:b w:val="0"/>
          <w:bCs/>
          <w:sz w:val="32"/>
          <w:szCs w:val="32"/>
        </w:rPr>
        <w:t xml:space="preserve">万元，占 </w:t>
      </w:r>
      <w:r>
        <w:rPr>
          <w:rFonts w:hint="eastAsia" w:eastAsia="仿宋_GB2312"/>
          <w:b w:val="0"/>
          <w:bCs/>
          <w:sz w:val="32"/>
          <w:szCs w:val="32"/>
          <w:lang w:val="en-US" w:eastAsia="zh-CN"/>
        </w:rPr>
        <w:t>0</w:t>
      </w:r>
      <w:r>
        <w:rPr>
          <w:rFonts w:hint="eastAsia" w:eastAsia="仿宋_GB2312"/>
          <w:b w:val="0"/>
          <w:bCs/>
          <w:sz w:val="32"/>
          <w:szCs w:val="32"/>
        </w:rPr>
        <w:t xml:space="preserve"> %；</w:t>
      </w:r>
      <w:r>
        <w:rPr>
          <w:rFonts w:hint="eastAsia" w:eastAsia="仿宋_GB2312"/>
          <w:b w:val="0"/>
          <w:bCs/>
          <w:sz w:val="32"/>
          <w:szCs w:val="32"/>
          <w:lang w:val="en-US" w:eastAsia="zh-CN"/>
        </w:rPr>
        <w:t>社会保障和就业支出6.87万元，占5.8%；医疗健康支出3.35万元，占2.8%；住房保障支出3.21万元，占2.70%。</w:t>
      </w:r>
      <w:r>
        <w:rPr>
          <w:rFonts w:hint="eastAsia" w:eastAsia="仿宋_GB2312"/>
          <w:b w:val="0"/>
          <w:bCs/>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55.93</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ascii="Times New Roman" w:hAnsi="Times New Roman" w:eastAsia="仿宋_GB2312" w:cs="Times New Roman"/>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63.00</w:t>
      </w:r>
      <w:r>
        <w:rPr>
          <w:rFonts w:eastAsia="仿宋_GB2312"/>
          <w:sz w:val="32"/>
          <w:szCs w:val="32"/>
        </w:rPr>
        <w:t>万元，主要是部门为完成特定行政工作任务或事业发展目标而发生的支出，包括有关事业发展专项、专项业务费、</w:t>
      </w:r>
      <w:r>
        <w:rPr>
          <w:rFonts w:ascii="Times New Roman" w:hAnsi="Times New Roman" w:eastAsia="仿宋_GB2312" w:cs="Times New Roman"/>
          <w:sz w:val="32"/>
          <w:szCs w:val="32"/>
        </w:rPr>
        <w:t>基本建设</w:t>
      </w:r>
      <w:r>
        <w:rPr>
          <w:rFonts w:eastAsia="仿宋_GB2312"/>
          <w:sz w:val="32"/>
          <w:szCs w:val="32"/>
        </w:rPr>
        <w:t>支出等，</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lang w:val="en-US" w:eastAsia="zh-CN"/>
        </w:rPr>
        <w:t>大厅运行经费</w:t>
      </w:r>
      <w:r>
        <w:rPr>
          <w:rFonts w:ascii="Times New Roman" w:hAnsi="Times New Roman" w:eastAsia="仿宋_GB2312" w:cs="Times New Roman"/>
          <w:sz w:val="32"/>
          <w:szCs w:val="32"/>
        </w:rPr>
        <w:t xml:space="preserve">支出 </w:t>
      </w:r>
      <w:r>
        <w:rPr>
          <w:rFonts w:hint="eastAsia" w:ascii="Times New Roman" w:hAnsi="Times New Roman" w:eastAsia="仿宋_GB2312" w:cs="Times New Roman"/>
          <w:sz w:val="32"/>
          <w:szCs w:val="32"/>
          <w:lang w:val="en-US" w:eastAsia="zh-CN"/>
        </w:rPr>
        <w:t>53</w:t>
      </w:r>
      <w:r>
        <w:rPr>
          <w:rFonts w:ascii="Times New Roman" w:hAnsi="Times New Roman" w:eastAsia="仿宋_GB2312" w:cs="Times New Roman"/>
          <w:sz w:val="32"/>
          <w:szCs w:val="32"/>
        </w:rPr>
        <w:t xml:space="preserve"> 万元，主要用于</w:t>
      </w:r>
      <w:r>
        <w:rPr>
          <w:rFonts w:hint="eastAsia" w:ascii="仿宋" w:hAnsi="仿宋" w:eastAsia="仿宋" w:cs="仿宋"/>
          <w:color w:val="000000"/>
          <w:sz w:val="32"/>
          <w:szCs w:val="32"/>
          <w:lang w:val="en-US" w:eastAsia="zh-CN"/>
        </w:rPr>
        <w:t>大厅水电费、邮电费、维修（护）费、办公耗材、广告宣传、租赁费、劳务费、办公用品、防疫用品等费用；税控联管工作经费</w:t>
      </w:r>
      <w:r>
        <w:rPr>
          <w:rFonts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8</w:t>
      </w:r>
      <w:r>
        <w:rPr>
          <w:rFonts w:hint="eastAsia" w:eastAsia="仿宋_GB2312" w:cs="Times New Roman"/>
          <w:sz w:val="32"/>
          <w:szCs w:val="32"/>
          <w:lang w:val="en-US" w:eastAsia="zh-CN"/>
        </w:rPr>
        <w:t>万</w:t>
      </w:r>
      <w:r>
        <w:rPr>
          <w:rFonts w:ascii="Times New Roman" w:hAnsi="Times New Roman" w:eastAsia="仿宋_GB2312" w:cs="Times New Roman"/>
          <w:sz w:val="32"/>
          <w:szCs w:val="32"/>
        </w:rPr>
        <w:t>元，主要用于税收管理</w:t>
      </w:r>
      <w:r>
        <w:rPr>
          <w:rFonts w:hint="eastAsia" w:ascii="Times New Roman" w:hAnsi="Times New Roman" w:eastAsia="仿宋_GB2312" w:cs="Times New Roman"/>
          <w:sz w:val="32"/>
          <w:szCs w:val="32"/>
          <w:lang w:val="en-US" w:eastAsia="zh-CN"/>
        </w:rPr>
        <w:t>工作的办公费、培训费、会议费、</w:t>
      </w:r>
      <w:r>
        <w:rPr>
          <w:rFonts w:hint="eastAsia" w:eastAsia="仿宋_GB2312" w:cs="Times New Roman"/>
          <w:sz w:val="32"/>
          <w:szCs w:val="32"/>
          <w:lang w:val="en-US" w:eastAsia="zh-CN"/>
        </w:rPr>
        <w:t>差旅费、</w:t>
      </w:r>
      <w:r>
        <w:rPr>
          <w:rFonts w:hint="eastAsia" w:ascii="Times New Roman" w:hAnsi="Times New Roman" w:eastAsia="仿宋_GB2312" w:cs="Times New Roman"/>
          <w:sz w:val="32"/>
          <w:szCs w:val="32"/>
          <w:lang w:val="en-US" w:eastAsia="zh-CN"/>
        </w:rPr>
        <w:t>复印费、公务接待费、劳务费等方面</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招商引资 2万元，主要用于招商工作的办公费、复印费、</w:t>
      </w:r>
      <w:r>
        <w:rPr>
          <w:rFonts w:hint="eastAsia" w:eastAsia="仿宋_GB2312" w:cs="Times New Roman"/>
          <w:sz w:val="32"/>
          <w:szCs w:val="32"/>
          <w:lang w:val="en-US" w:eastAsia="zh-CN"/>
        </w:rPr>
        <w:t>差旅费、</w:t>
      </w:r>
      <w:r>
        <w:rPr>
          <w:rFonts w:hint="eastAsia" w:ascii="Times New Roman" w:hAnsi="Times New Roman" w:eastAsia="仿宋_GB2312" w:cs="Times New Roman"/>
          <w:sz w:val="32"/>
          <w:szCs w:val="32"/>
          <w:lang w:val="en-US" w:eastAsia="zh-CN"/>
        </w:rPr>
        <w:t>公务用车运行费、接待费、会议费等方面</w:t>
      </w:r>
      <w:r>
        <w:rPr>
          <w:rFonts w:ascii="Times New Roman" w:hAnsi="Times New Roman" w:eastAsia="仿宋_GB2312" w:cs="Times New Roman"/>
          <w:sz w:val="32"/>
          <w:szCs w:val="32"/>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5</w:t>
      </w:r>
      <w:r>
        <w:rPr>
          <w:rFonts w:eastAsia="仿宋_GB2312"/>
          <w:sz w:val="32"/>
          <w:szCs w:val="32"/>
        </w:rPr>
        <w:t>万元，比上年预算</w:t>
      </w:r>
      <w:r>
        <w:rPr>
          <w:rFonts w:hint="eastAsia" w:eastAsia="仿宋_GB2312"/>
          <w:sz w:val="32"/>
          <w:szCs w:val="32"/>
          <w:lang w:val="en-US" w:eastAsia="zh-CN"/>
        </w:rPr>
        <w:t>减少2</w:t>
      </w:r>
      <w:r>
        <w:rPr>
          <w:rFonts w:eastAsia="仿宋_GB2312"/>
          <w:sz w:val="32"/>
          <w:szCs w:val="32"/>
        </w:rPr>
        <w:t xml:space="preserve"> 万元，下降</w:t>
      </w:r>
      <w:r>
        <w:rPr>
          <w:rFonts w:hint="eastAsia" w:eastAsia="仿宋_GB2312"/>
          <w:sz w:val="32"/>
          <w:szCs w:val="32"/>
          <w:lang w:val="en-US" w:eastAsia="zh-CN"/>
        </w:rPr>
        <w:t>28</w:t>
      </w:r>
      <w:r>
        <w:rPr>
          <w:rFonts w:eastAsia="仿宋_GB2312"/>
          <w:sz w:val="32"/>
          <w:szCs w:val="32"/>
        </w:rPr>
        <w:t>%，主要是</w:t>
      </w:r>
      <w:r>
        <w:rPr>
          <w:rFonts w:hint="eastAsia" w:eastAsia="仿宋_GB2312"/>
          <w:sz w:val="32"/>
          <w:szCs w:val="32"/>
          <w:lang w:val="en-US" w:eastAsia="zh-CN"/>
        </w:rPr>
        <w:t>因为年在编在岗人员为7人，2022年在编在岗人数为5人，人员比上年减少2人，所以机关运行经费少2万元</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3.8</w:t>
      </w:r>
      <w:r>
        <w:rPr>
          <w:rFonts w:eastAsia="仿宋_GB2312"/>
          <w:sz w:val="32"/>
          <w:szCs w:val="32"/>
        </w:rPr>
        <w:t>万元，其中，公务接待费</w:t>
      </w:r>
      <w:r>
        <w:rPr>
          <w:rFonts w:hint="eastAsia" w:eastAsia="仿宋_GB2312"/>
          <w:sz w:val="32"/>
          <w:szCs w:val="32"/>
          <w:u w:val="single"/>
          <w:lang w:val="en-US" w:eastAsia="zh-CN"/>
        </w:rPr>
        <w:t>2</w:t>
      </w:r>
      <w:r>
        <w:rPr>
          <w:rFonts w:eastAsia="仿宋_GB2312"/>
          <w:sz w:val="32"/>
          <w:szCs w:val="32"/>
        </w:rPr>
        <w:t>万元，公务用车购置及运行费</w:t>
      </w:r>
      <w:r>
        <w:rPr>
          <w:rFonts w:hint="eastAsia" w:eastAsia="仿宋_GB2312"/>
          <w:sz w:val="32"/>
          <w:szCs w:val="32"/>
          <w:u w:val="single"/>
          <w:lang w:val="en-US" w:eastAsia="zh-CN"/>
        </w:rPr>
        <w:t>1.8</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1.8</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年减少</w:t>
      </w:r>
      <w:r>
        <w:rPr>
          <w:rFonts w:hint="eastAsia" w:eastAsia="仿宋_GB2312"/>
          <w:sz w:val="32"/>
          <w:szCs w:val="32"/>
          <w:lang w:val="en-US" w:eastAsia="zh-CN"/>
        </w:rPr>
        <w:t>14.2</w:t>
      </w:r>
      <w:r>
        <w:rPr>
          <w:rFonts w:eastAsia="仿宋_GB2312"/>
          <w:sz w:val="32"/>
          <w:szCs w:val="32"/>
        </w:rPr>
        <w:t>万元，主要</w:t>
      </w:r>
      <w:r>
        <w:rPr>
          <w:rFonts w:hint="eastAsia" w:eastAsia="仿宋_GB2312"/>
          <w:sz w:val="32"/>
          <w:szCs w:val="32"/>
          <w:lang w:val="en-US" w:eastAsia="zh-CN"/>
        </w:rPr>
        <w:t>是上年度的“三公”经费预算与实际支出预算差距较大，预算不够准确，2022年预算依实际支出预算</w:t>
      </w:r>
      <w:r>
        <w:rPr>
          <w:rFonts w:eastAsia="仿宋_GB2312"/>
          <w:sz w:val="32"/>
          <w:szCs w:val="32"/>
        </w:rPr>
        <w:t>。</w:t>
      </w:r>
    </w:p>
    <w:p>
      <w:pPr>
        <w:widowControl/>
        <w:spacing w:line="600" w:lineRule="exact"/>
        <w:ind w:firstLine="660"/>
        <w:rPr>
          <w:rFonts w:eastAsia="楷体_GB2312"/>
          <w:b/>
          <w:sz w:val="32"/>
          <w:szCs w:val="32"/>
        </w:rPr>
      </w:pPr>
      <w:r>
        <w:rPr>
          <w:rFonts w:eastAsia="仿宋_GB2312"/>
          <w:sz w:val="32"/>
          <w:szCs w:val="32"/>
          <w:highlight w:val="none"/>
        </w:rPr>
        <w:t>（三）一般性支出情况：</w:t>
      </w:r>
      <w:r>
        <w:rPr>
          <w:rFonts w:hint="eastAsia" w:eastAsia="仿宋_GB2312"/>
          <w:sz w:val="32"/>
          <w:szCs w:val="32"/>
          <w:highlight w:val="none"/>
        </w:rPr>
        <w:t>2022</w:t>
      </w:r>
      <w:r>
        <w:rPr>
          <w:rFonts w:eastAsia="仿宋_GB2312"/>
          <w:sz w:val="32"/>
          <w:szCs w:val="32"/>
          <w:highlight w:val="none"/>
        </w:rPr>
        <w:t>年本部门会议费预算</w:t>
      </w:r>
      <w:r>
        <w:rPr>
          <w:rFonts w:hint="eastAsia" w:eastAsia="仿宋_GB2312"/>
          <w:sz w:val="32"/>
          <w:szCs w:val="32"/>
          <w:highlight w:val="none"/>
          <w:lang w:val="en-US" w:eastAsia="zh-CN"/>
        </w:rPr>
        <w:t>0.2</w:t>
      </w:r>
      <w:r>
        <w:rPr>
          <w:rFonts w:eastAsia="仿宋_GB2312"/>
          <w:sz w:val="32"/>
          <w:szCs w:val="32"/>
          <w:highlight w:val="none"/>
        </w:rPr>
        <w:t>万元，</w:t>
      </w:r>
      <w:r>
        <w:rPr>
          <w:rFonts w:hint="eastAsia" w:eastAsia="仿宋_GB2312"/>
          <w:sz w:val="32"/>
          <w:szCs w:val="32"/>
          <w:highlight w:val="none"/>
          <w:lang w:val="en-US" w:eastAsia="zh-CN"/>
        </w:rPr>
        <w:t>拟召开</w:t>
      </w:r>
      <w:r>
        <w:rPr>
          <w:rFonts w:hint="eastAsia" w:eastAsia="仿宋_GB2312"/>
          <w:sz w:val="32"/>
          <w:szCs w:val="32"/>
          <w:highlight w:val="none"/>
          <w:u w:val="single"/>
          <w:lang w:val="en-US" w:eastAsia="zh-CN"/>
        </w:rPr>
        <w:t>10</w:t>
      </w:r>
      <w:r>
        <w:rPr>
          <w:rFonts w:hint="eastAsia" w:eastAsia="仿宋_GB2312"/>
          <w:sz w:val="32"/>
          <w:szCs w:val="32"/>
          <w:highlight w:val="none"/>
          <w:lang w:val="en-US" w:eastAsia="zh-CN"/>
        </w:rPr>
        <w:t>次会议，</w:t>
      </w:r>
      <w:r>
        <w:rPr>
          <w:rFonts w:eastAsia="仿宋_GB2312"/>
          <w:sz w:val="32"/>
          <w:szCs w:val="32"/>
          <w:highlight w:val="none"/>
        </w:rPr>
        <w:t>人数</w:t>
      </w:r>
      <w:r>
        <w:rPr>
          <w:rFonts w:hint="eastAsia" w:eastAsia="仿宋_GB2312"/>
          <w:sz w:val="32"/>
          <w:szCs w:val="32"/>
          <w:highlight w:val="none"/>
          <w:u w:val="single"/>
          <w:lang w:val="en-US" w:eastAsia="zh-CN"/>
        </w:rPr>
        <w:t xml:space="preserve"> 82</w:t>
      </w:r>
      <w:r>
        <w:rPr>
          <w:rFonts w:eastAsia="仿宋_GB2312"/>
          <w:sz w:val="32"/>
          <w:szCs w:val="32"/>
          <w:highlight w:val="none"/>
        </w:rPr>
        <w:t>人，内容为</w:t>
      </w:r>
      <w:r>
        <w:rPr>
          <w:rFonts w:hint="eastAsia" w:ascii="仿宋" w:hAnsi="仿宋" w:eastAsia="仿宋" w:cs="仿宋"/>
          <w:sz w:val="32"/>
          <w:szCs w:val="32"/>
          <w:lang w:val="en-US" w:eastAsia="zh-CN"/>
        </w:rPr>
        <w:t>“一件事一次办”改革工作推进会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“三集中三到位”改革、推广“无证明城市”改革、税控联管等会议</w:t>
      </w:r>
      <w:r>
        <w:rPr>
          <w:rFonts w:eastAsia="仿宋_GB2312"/>
          <w:sz w:val="32"/>
          <w:szCs w:val="32"/>
          <w:highlight w:val="none"/>
        </w:rPr>
        <w:t xml:space="preserve"> ；培训费预算</w:t>
      </w:r>
      <w:r>
        <w:rPr>
          <w:rFonts w:hint="eastAsia" w:eastAsia="仿宋_GB2312"/>
          <w:sz w:val="32"/>
          <w:szCs w:val="32"/>
          <w:highlight w:val="none"/>
          <w:u w:val="single"/>
          <w:lang w:val="en-US" w:eastAsia="zh-CN"/>
        </w:rPr>
        <w:t>0.4</w:t>
      </w:r>
      <w:r>
        <w:rPr>
          <w:rFonts w:eastAsia="仿宋_GB2312"/>
          <w:sz w:val="32"/>
          <w:szCs w:val="32"/>
          <w:highlight w:val="none"/>
        </w:rPr>
        <w:t>万元，</w:t>
      </w:r>
      <w:r>
        <w:rPr>
          <w:rFonts w:hint="eastAsia" w:eastAsia="仿宋_GB2312"/>
          <w:sz w:val="32"/>
          <w:szCs w:val="32"/>
          <w:highlight w:val="none"/>
          <w:lang w:val="en-US" w:eastAsia="zh-CN"/>
        </w:rPr>
        <w:t>拟开展</w:t>
      </w:r>
      <w:r>
        <w:rPr>
          <w:rFonts w:hint="eastAsia" w:eastAsia="仿宋_GB2312"/>
          <w:sz w:val="32"/>
          <w:szCs w:val="32"/>
          <w:highlight w:val="none"/>
          <w:u w:val="single"/>
          <w:lang w:val="en-US" w:eastAsia="zh-CN"/>
        </w:rPr>
        <w:t>6</w:t>
      </w:r>
      <w:r>
        <w:rPr>
          <w:rFonts w:hint="eastAsia" w:eastAsia="仿宋_GB2312"/>
          <w:sz w:val="32"/>
          <w:szCs w:val="32"/>
          <w:highlight w:val="none"/>
          <w:lang w:val="en-US" w:eastAsia="zh-CN"/>
        </w:rPr>
        <w:t>次培训，</w:t>
      </w:r>
      <w:r>
        <w:rPr>
          <w:rFonts w:eastAsia="仿宋_GB2312"/>
          <w:sz w:val="32"/>
          <w:szCs w:val="32"/>
          <w:highlight w:val="none"/>
        </w:rPr>
        <w:t>人数</w:t>
      </w:r>
      <w:r>
        <w:rPr>
          <w:rFonts w:hint="eastAsia" w:eastAsia="仿宋_GB2312"/>
          <w:strike w:val="0"/>
          <w:dstrike w:val="0"/>
          <w:sz w:val="32"/>
          <w:szCs w:val="32"/>
          <w:highlight w:val="none"/>
          <w:u w:val="single"/>
          <w:lang w:val="en-US" w:eastAsia="zh-CN"/>
        </w:rPr>
        <w:t>82</w:t>
      </w:r>
      <w:r>
        <w:rPr>
          <w:rFonts w:eastAsia="仿宋_GB2312"/>
          <w:sz w:val="32"/>
          <w:szCs w:val="32"/>
          <w:highlight w:val="none"/>
        </w:rPr>
        <w:t>人，内容为</w:t>
      </w:r>
      <w:r>
        <w:rPr>
          <w:rFonts w:hint="eastAsia" w:ascii="仿宋" w:hAnsi="仿宋" w:eastAsia="仿宋" w:cs="仿宋"/>
          <w:sz w:val="32"/>
          <w:szCs w:val="32"/>
          <w:lang w:val="en-US" w:eastAsia="zh-CN"/>
        </w:rPr>
        <w:t>事项的操作学习、网络安全培训、在编人员业务水平提高</w:t>
      </w:r>
      <w:r>
        <w:rPr>
          <w:rFonts w:eastAsia="仿宋_GB2312"/>
          <w:sz w:val="32"/>
          <w:szCs w:val="32"/>
          <w:highlight w:val="none"/>
        </w:rPr>
        <w:t xml:space="preserve"> </w:t>
      </w:r>
      <w:r>
        <w:rPr>
          <w:rFonts w:hint="eastAsia" w:eastAsia="仿宋_GB2312"/>
          <w:sz w:val="32"/>
          <w:szCs w:val="32"/>
          <w:highlight w:val="none"/>
          <w:lang w:val="en-US" w:eastAsia="zh-CN"/>
        </w:rPr>
        <w:t>；无</w:t>
      </w:r>
      <w:r>
        <w:rPr>
          <w:rFonts w:eastAsia="仿宋_GB2312"/>
          <w:sz w:val="32"/>
          <w:szCs w:val="32"/>
          <w:highlight w:val="none"/>
        </w:rPr>
        <w:t>节庆、晚会、论坛、赛事活动，经费预算</w:t>
      </w:r>
      <w:r>
        <w:rPr>
          <w:rFonts w:hint="eastAsia" w:eastAsia="仿宋_GB2312"/>
          <w:sz w:val="32"/>
          <w:szCs w:val="32"/>
          <w:highlight w:val="none"/>
          <w:lang w:val="en-US" w:eastAsia="zh-CN"/>
        </w:rPr>
        <w:t>0</w:t>
      </w:r>
      <w:r>
        <w:rPr>
          <w:rFonts w:eastAsia="仿宋_GB2312"/>
          <w:sz w:val="32"/>
          <w:szCs w:val="32"/>
          <w:highlight w:val="none"/>
        </w:rPr>
        <w:t>万元。</w:t>
      </w:r>
    </w:p>
    <w:p>
      <w:pPr>
        <w:widowControl/>
        <w:spacing w:line="600" w:lineRule="exact"/>
        <w:ind w:firstLine="643" w:firstLineChars="20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w:t>
      </w:r>
      <w:r>
        <w:rPr>
          <w:rFonts w:hint="eastAsia" w:eastAsia="仿宋_GB2312"/>
          <w:sz w:val="32"/>
          <w:szCs w:val="32"/>
        </w:rPr>
        <w:t>采购预算总额0万元，其中，货物类采购预算0万元；工程类采购预算0万元；服务类采购预算0万元。</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red"/>
        </w:rPr>
      </w:pPr>
      <w:r>
        <w:rPr>
          <w:rFonts w:hint="eastAsia" w:eastAsia="仿宋_GB2312"/>
          <w:sz w:val="32"/>
          <w:szCs w:val="32"/>
        </w:rPr>
        <w:t xml:space="preserve">本部门所有支出实行绩效目标管理，纳入2022年部门整体支出绩效目标的金额为 </w:t>
      </w:r>
      <w:r>
        <w:rPr>
          <w:rFonts w:hint="eastAsia" w:eastAsia="仿宋_GB2312"/>
          <w:sz w:val="32"/>
          <w:szCs w:val="32"/>
          <w:lang w:val="en-US" w:eastAsia="zh-CN"/>
        </w:rPr>
        <w:t>118.93</w:t>
      </w:r>
      <w:r>
        <w:rPr>
          <w:rFonts w:hint="eastAsia" w:eastAsia="仿宋_GB2312"/>
          <w:sz w:val="32"/>
          <w:szCs w:val="32"/>
        </w:rPr>
        <w:t xml:space="preserve">万元，其中，基本支出 </w:t>
      </w:r>
      <w:r>
        <w:rPr>
          <w:rFonts w:hint="eastAsia" w:eastAsia="仿宋_GB2312"/>
          <w:sz w:val="32"/>
          <w:szCs w:val="32"/>
          <w:lang w:val="en-US" w:eastAsia="zh-CN"/>
        </w:rPr>
        <w:t>55.93</w:t>
      </w:r>
      <w:r>
        <w:rPr>
          <w:rFonts w:hint="eastAsia" w:eastAsia="仿宋_GB2312"/>
          <w:sz w:val="32"/>
          <w:szCs w:val="32"/>
        </w:rPr>
        <w:t xml:space="preserve">万元，单位项目支出 </w:t>
      </w:r>
      <w:r>
        <w:rPr>
          <w:rFonts w:hint="eastAsia" w:eastAsia="仿宋_GB2312"/>
          <w:sz w:val="32"/>
          <w:szCs w:val="32"/>
          <w:lang w:val="en-US" w:eastAsia="zh-CN"/>
        </w:rPr>
        <w:t>63</w:t>
      </w:r>
      <w:r>
        <w:rPr>
          <w:rFonts w:hint="eastAsia" w:eastAsia="仿宋_GB2312"/>
          <w:sz w:val="32"/>
          <w:szCs w:val="32"/>
        </w:rPr>
        <w:t xml:space="preserve">万元，重点项目（专项）支出 </w:t>
      </w:r>
      <w:r>
        <w:rPr>
          <w:rFonts w:hint="eastAsia" w:eastAsia="仿宋_GB2312"/>
          <w:sz w:val="32"/>
          <w:szCs w:val="32"/>
          <w:lang w:val="en-US" w:eastAsia="zh-CN"/>
        </w:rPr>
        <w:t>0</w:t>
      </w:r>
      <w:r>
        <w:rPr>
          <w:rFonts w:hint="eastAsia" w:eastAsia="仿宋_GB2312"/>
          <w:sz w:val="32"/>
          <w:szCs w:val="32"/>
        </w:rPr>
        <w:t>万元，具体绩效目标见附表。</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w:t>
      </w:r>
      <w:r>
        <w:rPr>
          <w:rFonts w:hint="eastAsia" w:eastAsia="仿宋_GB2312"/>
          <w:sz w:val="32"/>
          <w:szCs w:val="32"/>
          <w:lang w:val="en-US" w:eastAsia="zh-CN"/>
        </w:rPr>
        <w:t>指国家</w:t>
      </w:r>
      <w:r>
        <w:rPr>
          <w:rFonts w:hint="eastAsia" w:eastAsia="仿宋_GB2312"/>
          <w:sz w:val="32"/>
          <w:szCs w:val="32"/>
        </w:rPr>
        <w:t>以税收为</w:t>
      </w:r>
      <w:r>
        <w:rPr>
          <w:rFonts w:hint="eastAsia" w:eastAsia="仿宋_GB2312"/>
          <w:sz w:val="32"/>
          <w:szCs w:val="32"/>
          <w:lang w:val="en-US" w:eastAsia="zh-CN"/>
        </w:rPr>
        <w:t>主要财政</w:t>
      </w:r>
      <w:r>
        <w:rPr>
          <w:rFonts w:hint="eastAsia" w:eastAsia="仿宋_GB2312"/>
          <w:sz w:val="32"/>
          <w:szCs w:val="32"/>
        </w:rPr>
        <w:t>收入</w:t>
      </w:r>
      <w:r>
        <w:rPr>
          <w:rFonts w:hint="eastAsia" w:eastAsia="仿宋_GB2312"/>
          <w:sz w:val="32"/>
          <w:szCs w:val="32"/>
          <w:lang w:val="en-US" w:eastAsia="zh-CN"/>
        </w:rPr>
        <w:t>来源</w:t>
      </w:r>
      <w:r>
        <w:rPr>
          <w:rFonts w:hint="eastAsia" w:eastAsia="仿宋_GB2312"/>
          <w:sz w:val="32"/>
          <w:szCs w:val="32"/>
        </w:rPr>
        <w:t>，安排用于保障和改善民生、推动经济社会发展、维护国家安全、维持国家机构正常运转等方面的收支预算。一般公共预算收入即通常所指的“财政收入”，按照2015年1月1日起施行的新《预算法》，改称“一般公共预算收入”。</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tabs>
          <w:tab w:val="left" w:pos="5880"/>
        </w:tabs>
        <w:spacing w:line="600" w:lineRule="exact"/>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keepNext w:val="0"/>
        <w:keepLines w:val="0"/>
        <w:widowControl/>
        <w:suppressLineNumbers w:val="0"/>
        <w:jc w:val="both"/>
        <w:textAlignment w:val="center"/>
        <w:rPr>
          <w:rFonts w:hint="eastAsia" w:ascii="宋体" w:hAnsi="宋体" w:eastAsia="宋体" w:cs="宋体"/>
          <w:b/>
          <w:bCs/>
          <w:i w:val="0"/>
          <w:iCs w:val="0"/>
          <w:color w:val="000000"/>
          <w:kern w:val="0"/>
          <w:sz w:val="48"/>
          <w:szCs w:val="48"/>
          <w:u w:val="none"/>
          <w:lang w:val="en-US" w:eastAsia="zh-CN" w:bidi="ar"/>
        </w:rPr>
        <w:sectPr>
          <w:headerReference r:id="rId3" w:type="default"/>
          <w:footerReference r:id="rId4" w:type="default"/>
          <w:pgSz w:w="11905" w:h="16837"/>
          <w:pgMar w:top="1417" w:right="340" w:bottom="1134" w:left="794" w:header="720" w:footer="1701" w:gutter="0"/>
          <w:pgNumType w:fmt="numberInDash" w:start="1"/>
          <w:cols w:space="0" w:num="1"/>
          <w:titlePg/>
          <w:rtlGutter w:val="0"/>
          <w:docGrid w:linePitch="636" w:charSpace="0"/>
        </w:sectPr>
      </w:pPr>
    </w:p>
    <w:tbl>
      <w:tblPr>
        <w:tblStyle w:val="7"/>
        <w:tblW w:w="155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25"/>
        <w:gridCol w:w="1173"/>
        <w:gridCol w:w="496"/>
        <w:gridCol w:w="2092"/>
        <w:gridCol w:w="863"/>
        <w:gridCol w:w="750"/>
        <w:gridCol w:w="1425"/>
        <w:gridCol w:w="637"/>
        <w:gridCol w:w="702"/>
        <w:gridCol w:w="198"/>
        <w:gridCol w:w="2138"/>
        <w:gridCol w:w="244"/>
        <w:gridCol w:w="750"/>
        <w:gridCol w:w="1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05" w:hRule="atLeast"/>
        </w:trPr>
        <w:tc>
          <w:tcPr>
            <w:tcW w:w="155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32" w:type="dxa"/>
          <w:trHeight w:val="360" w:hRule="atLeast"/>
        </w:trPr>
        <w:tc>
          <w:tcPr>
            <w:tcW w:w="3025"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173"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588"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1613" w:type="dxa"/>
            <w:gridSpan w:val="2"/>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2062"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90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138"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994" w:type="dxa"/>
            <w:gridSpan w:val="2"/>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6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1083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项目（部门经济分类）</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项目（政府经济分类）</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功能科目</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一、公共财政预算拨款</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right="271" w:rightChars="129"/>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一、基本支出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一、机关工资福利支出</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二、纳入预算管理的非税收入拨款</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工资福利支出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二、机关商品和服务支出</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705200</w:t>
            </w: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三、政府性基金拨款</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商品和服务支出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三、机关资本性支出（一）</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四、财政专户拨款</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对个人和家庭的补助</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四、对事业单位经常性补助</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五、未纳入财政专户管理的自有资金</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二、项目支出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五、对事业单位资本性补助</w:t>
            </w:r>
          </w:p>
        </w:tc>
        <w:tc>
          <w:tcPr>
            <w:tcW w:w="1339"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项目工资福利支出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六、对企业补助</w:t>
            </w:r>
          </w:p>
        </w:tc>
        <w:tc>
          <w:tcPr>
            <w:tcW w:w="1339"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项目商品和服务支出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c>
          <w:tcPr>
            <w:tcW w:w="217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七、对个人和家庭的补助</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项目对个人和家庭的补助</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八、债务利息及费用支出</w:t>
            </w:r>
          </w:p>
        </w:tc>
        <w:tc>
          <w:tcPr>
            <w:tcW w:w="1339" w:type="dxa"/>
            <w:gridSpan w:val="2"/>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资本性支出</w:t>
            </w:r>
          </w:p>
        </w:tc>
        <w:tc>
          <w:tcPr>
            <w:tcW w:w="863"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九、其他支出</w:t>
            </w:r>
          </w:p>
        </w:tc>
        <w:tc>
          <w:tcPr>
            <w:tcW w:w="1339" w:type="dxa"/>
            <w:gridSpan w:val="2"/>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债务利息及费用支出</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[210]医疗健康支出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对企业补助</w:t>
            </w:r>
          </w:p>
        </w:tc>
        <w:tc>
          <w:tcPr>
            <w:tcW w:w="863"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863"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[220]自然资源海洋气象等支出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六、上级补助收入</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1782" w:type="dxa"/>
            <w:gridSpan w:val="2"/>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八、上年结余（结转）</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1782" w:type="dxa"/>
            <w:gridSpan w:val="2"/>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其中：公共财政预算拨款结余（结转）</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财政专户结余（结转）</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1782" w:type="dxa"/>
            <w:gridSpan w:val="2"/>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政府性基金结余（结转）</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1782" w:type="dxa"/>
            <w:gridSpan w:val="2"/>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纳入预算管理的非税收入拨款结余（结转）</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80" w:type="dxa"/>
            <w:gridSpan w:val="3"/>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1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0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收入总计 </w:t>
            </w:r>
          </w:p>
        </w:tc>
        <w:tc>
          <w:tcPr>
            <w:tcW w:w="11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25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支出总计 </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3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1183328</w:t>
            </w: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782" w:type="dxa"/>
            <w:gridSpan w:val="2"/>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r>
    </w:tbl>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154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20"/>
        <w:gridCol w:w="2999"/>
        <w:gridCol w:w="1665"/>
        <w:gridCol w:w="1665"/>
        <w:gridCol w:w="1199"/>
        <w:gridCol w:w="1665"/>
        <w:gridCol w:w="575"/>
        <w:gridCol w:w="863"/>
        <w:gridCol w:w="937"/>
        <w:gridCol w:w="1069"/>
        <w:gridCol w:w="750"/>
        <w:gridCol w:w="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1" w:type="dxa"/>
          <w:trHeight w:val="1170" w:hRule="atLeast"/>
        </w:trPr>
        <w:tc>
          <w:tcPr>
            <w:tcW w:w="15307"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919"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9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6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3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6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81" w:type="dxa"/>
            <w:gridSpan w:val="2"/>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99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9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20" w:type="dxa"/>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6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6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6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3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6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1"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1034718</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1034718</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2010301</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行政运行（政府办公厅（室）及相关机构事务）</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954718</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954718</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2010302</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一般行政管理事务（政府办公厅（室）及相关机构事务）</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2101102</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事业单位医疗</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9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2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6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9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66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6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1" w:type="dxa"/>
            <w:gridSpan w:val="2"/>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200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36"/>
        <w:gridCol w:w="3936"/>
        <w:gridCol w:w="1435"/>
        <w:gridCol w:w="1082"/>
        <w:gridCol w:w="1030"/>
        <w:gridCol w:w="2415"/>
        <w:gridCol w:w="1491"/>
        <w:gridCol w:w="1894"/>
        <w:gridCol w:w="49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2007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405" w:hRule="atLeast"/>
        </w:trPr>
        <w:tc>
          <w:tcPr>
            <w:tcW w:w="5772"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4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3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41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49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894"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951" w:type="dxa"/>
          <w:trHeight w:val="510" w:hRule="atLeast"/>
        </w:trPr>
        <w:tc>
          <w:tcPr>
            <w:tcW w:w="1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60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1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00" w:hRule="atLeast"/>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4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189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30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9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1034718</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2010301</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行政运行（政府办公厅（室）及相关机构事务）</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954718</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2010302</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一般行政管理事务（政府办公厅（室）及相关机构事务）</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0"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2101102</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事业单位医疗</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951" w:type="dxa"/>
          <w:trHeight w:val="64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0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9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89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213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05"/>
        <w:gridCol w:w="3105"/>
        <w:gridCol w:w="1147"/>
        <w:gridCol w:w="1143"/>
        <w:gridCol w:w="1182"/>
        <w:gridCol w:w="1031"/>
        <w:gridCol w:w="975"/>
        <w:gridCol w:w="806"/>
        <w:gridCol w:w="656"/>
        <w:gridCol w:w="882"/>
        <w:gridCol w:w="843"/>
        <w:gridCol w:w="1219"/>
        <w:gridCol w:w="6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1361" w:type="dxa"/>
            <w:gridSpan w:val="13"/>
            <w:tcBorders>
              <w:top w:val="nil"/>
              <w:left w:val="nil"/>
              <w:bottom w:val="nil"/>
              <w:right w:val="nil"/>
            </w:tcBorders>
            <w:shd w:val="clear" w:color="auto" w:fill="auto"/>
            <w:noWrap/>
            <w:vAlign w:val="center"/>
          </w:tcPr>
          <w:p>
            <w:pPr>
              <w:keepNext w:val="0"/>
              <w:keepLines w:val="0"/>
              <w:widowControl/>
              <w:suppressLineNumbers w:val="0"/>
              <w:ind w:firstLine="4337" w:firstLineChars="9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390" w:hRule="atLeast"/>
        </w:trPr>
        <w:tc>
          <w:tcPr>
            <w:tcW w:w="501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14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4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8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3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0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8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4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219"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315" w:hRule="atLeast"/>
        </w:trPr>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1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2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645" w:hRule="atLeast"/>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255" w:hRule="atLeast"/>
        </w:trPr>
        <w:tc>
          <w:tcPr>
            <w:tcW w:w="19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1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1183328</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705200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1048718</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705200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1034718</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691200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2010301</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行政运行（政府办公厅（室）及相关机构事务）</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954718</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611200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2010302</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一般行政管理事务（政府办公厅（室）及相关机构事务）</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2101102</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事业单位医疗</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467" w:type="dxa"/>
          <w:trHeight w:val="720"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1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8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tbl>
      <w:tblPr>
        <w:tblStyle w:val="7"/>
        <w:tblW w:w="14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96"/>
        <w:gridCol w:w="1635"/>
        <w:gridCol w:w="2646"/>
        <w:gridCol w:w="1455"/>
        <w:gridCol w:w="1455"/>
        <w:gridCol w:w="1455"/>
        <w:gridCol w:w="1413"/>
        <w:gridCol w:w="14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1461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99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一般公共预算拨款</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一、本年收入</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公共财政预算拨款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（二）政府性基金预算拨款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二、上年结转</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（二）政府性基金拨款</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[210]卫生健康支出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[220]国土海洋气象等支出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145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45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结转下年</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收入总计</w:t>
            </w:r>
          </w:p>
        </w:tc>
        <w:tc>
          <w:tcPr>
            <w:tcW w:w="1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tbl>
      <w:tblPr>
        <w:tblStyle w:val="7"/>
        <w:tblW w:w="145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0"/>
        <w:gridCol w:w="4035"/>
        <w:gridCol w:w="2745"/>
        <w:gridCol w:w="2745"/>
        <w:gridCol w:w="2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1458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2022年部门一般公共预算支出表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单位名称：政务中心</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1054718</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1034718</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2010301</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行政运行（政府办公厅（室）及相关机构事务）</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954718</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2010302</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一般行政管理事务（政府办公厅（室）及相关机构事务）</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27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keepNext w:val="0"/>
        <w:keepLines w:val="0"/>
        <w:widowControl/>
        <w:suppressLineNumbers w:val="0"/>
        <w:jc w:val="left"/>
        <w:textAlignment w:val="center"/>
        <w:rPr>
          <w:rFonts w:hint="eastAsia" w:ascii="宋体" w:hAnsi="宋体" w:eastAsia="宋体" w:cs="宋体"/>
          <w:b/>
          <w:bCs/>
          <w:i w:val="0"/>
          <w:iCs w:val="0"/>
          <w:color w:val="000000"/>
          <w:kern w:val="0"/>
          <w:sz w:val="48"/>
          <w:szCs w:val="48"/>
          <w:u w:val="none"/>
          <w:lang w:val="en-US" w:eastAsia="zh-CN" w:bidi="ar"/>
        </w:rPr>
      </w:pPr>
    </w:p>
    <w:tbl>
      <w:tblPr>
        <w:tblStyle w:val="7"/>
        <w:tblW w:w="1431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36"/>
        <w:gridCol w:w="3646"/>
        <w:gridCol w:w="2756"/>
        <w:gridCol w:w="2962"/>
        <w:gridCol w:w="3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4313"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 xml:space="preserve">   2022年部门一般公共预算基本支出表（纵向）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482"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27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96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113"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88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3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劳物费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3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7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keepNext w:val="0"/>
        <w:keepLines w:val="0"/>
        <w:widowControl/>
        <w:suppressLineNumbers w:val="0"/>
        <w:jc w:val="left"/>
        <w:textAlignment w:val="center"/>
        <w:rPr>
          <w:rFonts w:hint="eastAsia" w:ascii="宋体" w:hAnsi="宋体" w:eastAsia="宋体" w:cs="宋体"/>
          <w:b/>
          <w:bCs/>
          <w:i w:val="0"/>
          <w:iCs w:val="0"/>
          <w:color w:val="000000"/>
          <w:kern w:val="0"/>
          <w:sz w:val="48"/>
          <w:szCs w:val="48"/>
          <w:u w:val="none"/>
          <w:lang w:val="en-US" w:eastAsia="zh-CN" w:bidi="ar"/>
        </w:rPr>
      </w:pPr>
    </w:p>
    <w:tbl>
      <w:tblPr>
        <w:tblStyle w:val="7"/>
        <w:tblW w:w="276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7"/>
        <w:gridCol w:w="1331"/>
        <w:gridCol w:w="759"/>
        <w:gridCol w:w="891"/>
        <w:gridCol w:w="825"/>
        <w:gridCol w:w="980"/>
        <w:gridCol w:w="712"/>
        <w:gridCol w:w="743"/>
        <w:gridCol w:w="672"/>
        <w:gridCol w:w="768"/>
        <w:gridCol w:w="746"/>
        <w:gridCol w:w="656"/>
        <w:gridCol w:w="656"/>
        <w:gridCol w:w="811"/>
        <w:gridCol w:w="465"/>
        <w:gridCol w:w="674"/>
        <w:gridCol w:w="694"/>
        <w:gridCol w:w="801"/>
        <w:gridCol w:w="546"/>
        <w:gridCol w:w="522"/>
        <w:gridCol w:w="710"/>
        <w:gridCol w:w="1836"/>
        <w:gridCol w:w="3690"/>
        <w:gridCol w:w="3586"/>
        <w:gridCol w:w="2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27618" w:type="dxa"/>
            <w:gridSpan w:val="25"/>
            <w:tcBorders>
              <w:top w:val="nil"/>
              <w:left w:val="nil"/>
              <w:bottom w:val="nil"/>
              <w:right w:val="nil"/>
            </w:tcBorders>
            <w:shd w:val="clear" w:color="auto" w:fill="auto"/>
            <w:noWrap/>
            <w:vAlign w:val="center"/>
          </w:tcPr>
          <w:p>
            <w:pPr>
              <w:keepNext w:val="0"/>
              <w:keepLines w:val="0"/>
              <w:widowControl/>
              <w:suppressLineNumbers w:val="0"/>
              <w:ind w:firstLine="2891" w:firstLineChars="6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2022年部门一般公共预算基本支出表（横向）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510" w:hRule="atLeast"/>
        </w:trPr>
        <w:tc>
          <w:tcPr>
            <w:tcW w:w="2847" w:type="dxa"/>
            <w:gridSpan w:val="3"/>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89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1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4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6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4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9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579" w:type="dxa"/>
            <w:gridSpan w:val="4"/>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787" w:type="dxa"/>
          <w:trHeight w:val="360"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198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5400" w:firstLineChars="300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787" w:type="dxa"/>
          <w:trHeight w:val="36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08" w:type="dxa"/>
            <w:gridSpan w:val="19"/>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3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35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11899" w:type="dxa"/>
          <w:trHeight w:val="1755"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8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基本工资</w:t>
            </w:r>
          </w:p>
        </w:tc>
        <w:tc>
          <w:tcPr>
            <w:tcW w:w="9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津贴补贴</w:t>
            </w:r>
          </w:p>
        </w:tc>
        <w:tc>
          <w:tcPr>
            <w:tcW w:w="7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奖金</w:t>
            </w:r>
          </w:p>
        </w:tc>
        <w:tc>
          <w:tcPr>
            <w:tcW w:w="74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绩效工资</w:t>
            </w:r>
          </w:p>
        </w:tc>
        <w:tc>
          <w:tcPr>
            <w:tcW w:w="6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w:t>
            </w:r>
          </w:p>
        </w:tc>
        <w:tc>
          <w:tcPr>
            <w:tcW w:w="7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职业年金缴费</w:t>
            </w:r>
          </w:p>
        </w:tc>
        <w:tc>
          <w:tcPr>
            <w:tcW w:w="7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职工基本医疗保险缴费</w:t>
            </w:r>
          </w:p>
        </w:tc>
        <w:tc>
          <w:tcPr>
            <w:tcW w:w="65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公务员医疗补助缴费</w:t>
            </w:r>
          </w:p>
        </w:tc>
        <w:tc>
          <w:tcPr>
            <w:tcW w:w="65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其他社会保障缴费</w:t>
            </w:r>
          </w:p>
        </w:tc>
        <w:tc>
          <w:tcPr>
            <w:tcW w:w="8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其他工资福利支出</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公务费</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其他交通费用（车改补助）</w:t>
            </w:r>
          </w:p>
        </w:tc>
        <w:tc>
          <w:tcPr>
            <w:tcW w:w="5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52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离休费</w:t>
            </w:r>
          </w:p>
        </w:tc>
        <w:tc>
          <w:tcPr>
            <w:tcW w:w="7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300"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478128</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政府办公厅（室）及相关机构事务</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2010301</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行政运行（政府办公厅（室）及相关机构事务）</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424718</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343518</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152904</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22980</w:t>
            </w: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73326</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94308</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81200</w:t>
            </w: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31200</w:t>
            </w: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68652</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64846</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43231</w:t>
            </w: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21615</w:t>
            </w: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3806</w:t>
            </w: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33535</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2101102</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事业单位医疗</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2516</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11899" w:type="dxa"/>
          <w:trHeight w:val="640" w:hRule="atLeast"/>
        </w:trPr>
        <w:tc>
          <w:tcPr>
            <w:tcW w:w="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13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32423</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18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36"/>
        <w:gridCol w:w="1546"/>
        <w:gridCol w:w="2092"/>
        <w:gridCol w:w="2092"/>
        <w:gridCol w:w="1516"/>
        <w:gridCol w:w="2295"/>
        <w:gridCol w:w="1594"/>
        <w:gridCol w:w="2295"/>
        <w:gridCol w:w="33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8600" w:type="dxa"/>
            <w:gridSpan w:val="9"/>
            <w:tcBorders>
              <w:top w:val="nil"/>
              <w:left w:val="nil"/>
              <w:bottom w:val="nil"/>
              <w:right w:val="nil"/>
            </w:tcBorders>
            <w:shd w:val="clear" w:color="auto" w:fill="auto"/>
            <w:noWrap/>
            <w:vAlign w:val="center"/>
          </w:tcPr>
          <w:p>
            <w:pPr>
              <w:keepNext w:val="0"/>
              <w:keepLines w:val="0"/>
              <w:widowControl/>
              <w:suppressLineNumbers w:val="0"/>
              <w:ind w:firstLine="1928" w:firstLineChars="4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4" w:type="dxa"/>
          <w:trHeight w:val="480" w:hRule="atLeast"/>
        </w:trPr>
        <w:tc>
          <w:tcPr>
            <w:tcW w:w="1836" w:type="dxa"/>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单位名称：政务中心</w:t>
            </w:r>
          </w:p>
        </w:tc>
        <w:tc>
          <w:tcPr>
            <w:tcW w:w="1546"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209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209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516"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229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594"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2295" w:type="dxa"/>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4" w:type="dxa"/>
          <w:trHeight w:val="510" w:hRule="atLeast"/>
        </w:trPr>
        <w:tc>
          <w:tcPr>
            <w:tcW w:w="18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15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20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49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2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4" w:type="dxa"/>
          <w:trHeight w:val="435" w:hRule="atLeast"/>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0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092"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516"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29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商品服务支出</w:t>
            </w:r>
          </w:p>
        </w:tc>
        <w:tc>
          <w:tcPr>
            <w:tcW w:w="1594"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2295" w:type="dxa"/>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34" w:type="dxa"/>
          <w:trHeight w:val="360" w:hRule="atLeast"/>
        </w:trPr>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9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4" w:type="dxa"/>
          <w:trHeight w:val="675" w:hRule="atLeast"/>
        </w:trPr>
        <w:tc>
          <w:tcPr>
            <w:tcW w:w="1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2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2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540" w:firstLineChars="30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r>
    </w:tbl>
    <w:p>
      <w:pPr>
        <w:widowControl/>
        <w:spacing w:line="600" w:lineRule="exact"/>
        <w:rPr>
          <w:rFonts w:hint="eastAsia" w:eastAsia="仿宋_GB2312"/>
          <w:color w:val="FF0000"/>
          <w:sz w:val="32"/>
          <w:szCs w:val="32"/>
          <w:lang w:eastAsia="zh-CN"/>
        </w:rPr>
      </w:pPr>
    </w:p>
    <w:p>
      <w:pPr>
        <w:keepNext w:val="0"/>
        <w:keepLines w:val="0"/>
        <w:widowControl/>
        <w:suppressLineNumbers w:val="0"/>
        <w:jc w:val="center"/>
        <w:textAlignment w:val="center"/>
        <w:rPr>
          <w:rFonts w:hint="default" w:ascii="宋体" w:hAnsi="宋体" w:eastAsia="宋体" w:cs="宋体"/>
          <w:b/>
          <w:bCs/>
          <w:i w:val="0"/>
          <w:iCs w:val="0"/>
          <w:color w:val="000000"/>
          <w:kern w:val="0"/>
          <w:sz w:val="48"/>
          <w:szCs w:val="48"/>
          <w:u w:val="none"/>
          <w:lang w:val="en-US" w:eastAsia="zh-CN" w:bidi="ar"/>
        </w:rPr>
      </w:pPr>
      <w:r>
        <w:rPr>
          <w:rFonts w:hint="eastAsia" w:ascii="宋体" w:hAnsi="宋体" w:cs="宋体"/>
          <w:b/>
          <w:bCs/>
          <w:i w:val="0"/>
          <w:iCs w:val="0"/>
          <w:color w:val="000000"/>
          <w:kern w:val="0"/>
          <w:sz w:val="48"/>
          <w:szCs w:val="48"/>
          <w:u w:val="none"/>
          <w:lang w:val="en-US" w:eastAsia="zh-CN" w:bidi="ar"/>
        </w:rPr>
        <w:t>此</w:t>
      </w:r>
      <w:r>
        <w:rPr>
          <w:rFonts w:hint="eastAsia" w:ascii="宋体" w:hAnsi="宋体" w:eastAsia="宋体" w:cs="宋体"/>
          <w:b/>
          <w:bCs/>
          <w:i w:val="0"/>
          <w:iCs w:val="0"/>
          <w:color w:val="000000"/>
          <w:kern w:val="0"/>
          <w:sz w:val="48"/>
          <w:szCs w:val="48"/>
          <w:u w:val="none"/>
          <w:lang w:val="en-US" w:eastAsia="zh-CN" w:bidi="ar"/>
        </w:rPr>
        <w:t>表</w:t>
      </w:r>
      <w:r>
        <w:rPr>
          <w:rFonts w:hint="eastAsia" w:ascii="宋体" w:hAnsi="宋体" w:cs="宋体"/>
          <w:b/>
          <w:bCs/>
          <w:i w:val="0"/>
          <w:iCs w:val="0"/>
          <w:color w:val="000000"/>
          <w:kern w:val="0"/>
          <w:sz w:val="48"/>
          <w:szCs w:val="48"/>
          <w:u w:val="none"/>
          <w:lang w:val="en-US" w:eastAsia="zh-CN" w:bidi="ar"/>
        </w:rPr>
        <w:t>数据为0</w:t>
      </w: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213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05"/>
        <w:gridCol w:w="1627"/>
        <w:gridCol w:w="1312"/>
        <w:gridCol w:w="1102"/>
        <w:gridCol w:w="1129"/>
        <w:gridCol w:w="1144"/>
        <w:gridCol w:w="1635"/>
        <w:gridCol w:w="1635"/>
        <w:gridCol w:w="1635"/>
        <w:gridCol w:w="698"/>
        <w:gridCol w:w="806"/>
        <w:gridCol w:w="937"/>
        <w:gridCol w:w="57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1361" w:type="dxa"/>
            <w:gridSpan w:val="13"/>
            <w:tcBorders>
              <w:top w:val="nil"/>
              <w:left w:val="nil"/>
              <w:bottom w:val="nil"/>
              <w:right w:val="nil"/>
            </w:tcBorders>
            <w:shd w:val="clear" w:color="auto" w:fill="auto"/>
            <w:noWrap/>
            <w:vAlign w:val="center"/>
          </w:tcPr>
          <w:p>
            <w:pPr>
              <w:keepNext w:val="0"/>
              <w:keepLines w:val="0"/>
              <w:widowControl/>
              <w:suppressLineNumbers w:val="0"/>
              <w:ind w:firstLine="1928" w:firstLineChars="4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796" w:type="dxa"/>
          <w:trHeight w:val="525" w:hRule="atLeast"/>
        </w:trPr>
        <w:tc>
          <w:tcPr>
            <w:tcW w:w="1905" w:type="dxa"/>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单位名称：政务中心</w:t>
            </w:r>
          </w:p>
        </w:tc>
        <w:tc>
          <w:tcPr>
            <w:tcW w:w="1627"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1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10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144"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63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698"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806"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937" w:type="dxa"/>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796" w:type="dxa"/>
          <w:trHeight w:val="315" w:hRule="atLeast"/>
        </w:trPr>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3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796" w:type="dxa"/>
          <w:trHeight w:val="645" w:hRule="atLeast"/>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796" w:type="dxa"/>
          <w:trHeight w:val="255" w:hRule="atLeast"/>
        </w:trPr>
        <w:tc>
          <w:tcPr>
            <w:tcW w:w="19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2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0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2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4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3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3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3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9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0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3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796" w:type="dxa"/>
          <w:trHeight w:val="675" w:hRule="atLeast"/>
        </w:trPr>
        <w:tc>
          <w:tcPr>
            <w:tcW w:w="19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627"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3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0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2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4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6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6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6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69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06"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37"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widowControl/>
        <w:spacing w:line="600" w:lineRule="exact"/>
        <w:rPr>
          <w:rFonts w:hint="eastAsia" w:eastAsia="仿宋_GB2312"/>
          <w:color w:val="FF0000"/>
          <w:sz w:val="32"/>
          <w:szCs w:val="32"/>
          <w:lang w:eastAsia="zh-CN"/>
        </w:rPr>
      </w:pPr>
    </w:p>
    <w:p>
      <w:pPr>
        <w:keepNext w:val="0"/>
        <w:keepLines w:val="0"/>
        <w:widowControl/>
        <w:suppressLineNumbers w:val="0"/>
        <w:jc w:val="center"/>
        <w:textAlignment w:val="center"/>
        <w:rPr>
          <w:rFonts w:hint="default" w:ascii="宋体" w:hAnsi="宋体" w:eastAsia="宋体" w:cs="宋体"/>
          <w:b/>
          <w:bCs/>
          <w:i w:val="0"/>
          <w:iCs w:val="0"/>
          <w:color w:val="000000"/>
          <w:kern w:val="0"/>
          <w:sz w:val="48"/>
          <w:szCs w:val="48"/>
          <w:u w:val="none"/>
          <w:lang w:val="en-US" w:eastAsia="zh-CN" w:bidi="ar"/>
        </w:rPr>
      </w:pPr>
      <w:r>
        <w:rPr>
          <w:rFonts w:hint="eastAsia" w:ascii="宋体" w:hAnsi="宋体" w:cs="宋体"/>
          <w:b/>
          <w:bCs/>
          <w:i w:val="0"/>
          <w:iCs w:val="0"/>
          <w:color w:val="000000"/>
          <w:kern w:val="0"/>
          <w:sz w:val="48"/>
          <w:szCs w:val="48"/>
          <w:u w:val="none"/>
          <w:lang w:val="en-US" w:eastAsia="zh-CN" w:bidi="ar"/>
        </w:rPr>
        <w:t>此</w:t>
      </w:r>
      <w:r>
        <w:rPr>
          <w:rFonts w:hint="eastAsia" w:ascii="宋体" w:hAnsi="宋体" w:eastAsia="宋体" w:cs="宋体"/>
          <w:b/>
          <w:bCs/>
          <w:i w:val="0"/>
          <w:iCs w:val="0"/>
          <w:color w:val="000000"/>
          <w:kern w:val="0"/>
          <w:sz w:val="48"/>
          <w:szCs w:val="48"/>
          <w:u w:val="none"/>
          <w:lang w:val="en-US" w:eastAsia="zh-CN" w:bidi="ar"/>
        </w:rPr>
        <w:t>表</w:t>
      </w:r>
      <w:r>
        <w:rPr>
          <w:rFonts w:hint="eastAsia" w:ascii="宋体" w:hAnsi="宋体" w:cs="宋体"/>
          <w:b/>
          <w:bCs/>
          <w:i w:val="0"/>
          <w:iCs w:val="0"/>
          <w:color w:val="000000"/>
          <w:kern w:val="0"/>
          <w:sz w:val="48"/>
          <w:szCs w:val="48"/>
          <w:u w:val="none"/>
          <w:lang w:val="en-US" w:eastAsia="zh-CN" w:bidi="ar"/>
        </w:rPr>
        <w:t>数据为0</w:t>
      </w: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15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78"/>
        <w:gridCol w:w="1136"/>
        <w:gridCol w:w="1137"/>
        <w:gridCol w:w="1137"/>
        <w:gridCol w:w="1139"/>
        <w:gridCol w:w="1139"/>
        <w:gridCol w:w="1139"/>
        <w:gridCol w:w="1527"/>
        <w:gridCol w:w="1350"/>
        <w:gridCol w:w="3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15363" w:type="dxa"/>
            <w:gridSpan w:val="10"/>
            <w:tcBorders>
              <w:top w:val="nil"/>
              <w:left w:val="nil"/>
              <w:bottom w:val="nil"/>
              <w:right w:val="nil"/>
            </w:tcBorders>
            <w:shd w:val="clear" w:color="auto" w:fill="auto"/>
            <w:noWrap/>
            <w:vAlign w:val="center"/>
          </w:tcPr>
          <w:p>
            <w:pPr>
              <w:keepNext w:val="0"/>
              <w:keepLines w:val="0"/>
              <w:widowControl/>
              <w:suppressLineNumbers w:val="0"/>
              <w:ind w:firstLine="4337" w:firstLineChars="9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914"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13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3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2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50" w:type="dxa"/>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18"/>
                <w:szCs w:val="18"/>
                <w:u w:val="none"/>
              </w:rPr>
            </w:pPr>
          </w:p>
        </w:tc>
        <w:tc>
          <w:tcPr>
            <w:tcW w:w="3881"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三公经费项目</w:t>
            </w:r>
          </w:p>
        </w:tc>
        <w:tc>
          <w:tcPr>
            <w:tcW w:w="45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2021年预算完成数</w:t>
            </w:r>
          </w:p>
        </w:tc>
        <w:tc>
          <w:tcPr>
            <w:tcW w:w="51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2022年预算数</w:t>
            </w:r>
          </w:p>
        </w:tc>
        <w:tc>
          <w:tcPr>
            <w:tcW w:w="3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“三公”经费增减变化情况说明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6" w:type="dxa"/>
            <w:tcBorders>
              <w:top w:val="nil"/>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137"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137"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113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13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139"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527"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1350"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3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7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3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52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881" w:type="dxa"/>
            <w:tcBorders>
              <w:top w:val="single" w:color="000000" w:sz="4" w:space="0"/>
              <w:left w:val="single" w:color="000000" w:sz="4" w:space="0"/>
              <w:bottom w:val="single" w:color="000000" w:sz="4" w:space="0"/>
              <w:right w:val="single" w:color="000000" w:sz="4" w:space="0"/>
            </w:tcBorders>
            <w:shd w:val="clear" w:color="auto"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根据2021年实际发生“三公”经费实际发生额，预算2022年“三公”费发生。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7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政务中心</w:t>
            </w:r>
          </w:p>
        </w:tc>
        <w:tc>
          <w:tcPr>
            <w:tcW w:w="113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152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8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7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13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52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8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7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13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w:t>
            </w:r>
          </w:p>
        </w:tc>
        <w:tc>
          <w:tcPr>
            <w:tcW w:w="113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w:t>
            </w:r>
          </w:p>
        </w:tc>
        <w:tc>
          <w:tcPr>
            <w:tcW w:w="11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w:t>
            </w:r>
          </w:p>
        </w:tc>
        <w:tc>
          <w:tcPr>
            <w:tcW w:w="1527"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8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197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90"/>
        <w:gridCol w:w="1510"/>
        <w:gridCol w:w="1390"/>
        <w:gridCol w:w="525"/>
        <w:gridCol w:w="495"/>
        <w:gridCol w:w="1350"/>
        <w:gridCol w:w="1350"/>
        <w:gridCol w:w="1350"/>
        <w:gridCol w:w="772"/>
        <w:gridCol w:w="603"/>
        <w:gridCol w:w="1222"/>
        <w:gridCol w:w="825"/>
        <w:gridCol w:w="1218"/>
        <w:gridCol w:w="1182"/>
        <w:gridCol w:w="2278"/>
        <w:gridCol w:w="1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19785" w:type="dxa"/>
            <w:gridSpan w:val="16"/>
            <w:tcBorders>
              <w:top w:val="nil"/>
              <w:left w:val="nil"/>
              <w:bottom w:val="nil"/>
              <w:right w:val="nil"/>
            </w:tcBorders>
            <w:shd w:val="clear" w:color="auto" w:fill="auto"/>
            <w:noWrap/>
            <w:vAlign w:val="center"/>
          </w:tcPr>
          <w:p>
            <w:pPr>
              <w:keepNext w:val="0"/>
              <w:keepLines w:val="0"/>
              <w:widowControl/>
              <w:suppressLineNumbers w:val="0"/>
              <w:ind w:firstLine="3855" w:firstLineChars="8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2022年部门政府采购预算表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103" w:type="dxa"/>
          <w:trHeight w:val="480" w:hRule="atLeast"/>
        </w:trPr>
        <w:tc>
          <w:tcPr>
            <w:tcW w:w="3400" w:type="dxa"/>
            <w:gridSpan w:val="2"/>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139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52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49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5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5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35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77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603"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22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82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218"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182" w:type="dxa"/>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25" w:type="dxa"/>
          <w:trHeight w:val="255" w:hRule="atLeast"/>
        </w:trPr>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采购项目</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采购目录</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采购数量</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1215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103" w:type="dxa"/>
          <w:trHeight w:val="255" w:hRule="atLeast"/>
        </w:trPr>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3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3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7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政府性基金拨款</w:t>
            </w:r>
          </w:p>
        </w:tc>
        <w:tc>
          <w:tcPr>
            <w:tcW w:w="60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12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82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121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118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103" w:type="dxa"/>
          <w:trHeight w:val="900" w:hRule="atLeast"/>
        </w:trPr>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0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103" w:type="dxa"/>
          <w:trHeight w:val="255" w:hRule="atLeast"/>
        </w:trPr>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103" w:type="dxa"/>
          <w:trHeight w:val="630" w:hRule="atLeast"/>
        </w:trPr>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r>
    </w:tbl>
    <w:p>
      <w:pPr>
        <w:widowControl/>
        <w:spacing w:line="600" w:lineRule="exact"/>
        <w:rPr>
          <w:rFonts w:hint="eastAsia" w:eastAsia="仿宋_GB2312"/>
          <w:color w:val="FF0000"/>
          <w:sz w:val="32"/>
          <w:szCs w:val="32"/>
          <w:lang w:eastAsia="zh-CN"/>
        </w:rPr>
      </w:pPr>
    </w:p>
    <w:p>
      <w:pPr>
        <w:keepNext w:val="0"/>
        <w:keepLines w:val="0"/>
        <w:widowControl/>
        <w:suppressLineNumbers w:val="0"/>
        <w:jc w:val="center"/>
        <w:textAlignment w:val="center"/>
        <w:rPr>
          <w:rFonts w:hint="default" w:ascii="宋体" w:hAnsi="宋体" w:eastAsia="宋体" w:cs="宋体"/>
          <w:b/>
          <w:bCs/>
          <w:i w:val="0"/>
          <w:iCs w:val="0"/>
          <w:color w:val="000000"/>
          <w:kern w:val="0"/>
          <w:sz w:val="48"/>
          <w:szCs w:val="48"/>
          <w:u w:val="none"/>
          <w:lang w:val="en-US" w:eastAsia="zh-CN" w:bidi="ar"/>
        </w:rPr>
      </w:pPr>
      <w:r>
        <w:rPr>
          <w:rFonts w:hint="eastAsia" w:ascii="宋体" w:hAnsi="宋体" w:cs="宋体"/>
          <w:b/>
          <w:bCs/>
          <w:i w:val="0"/>
          <w:iCs w:val="0"/>
          <w:color w:val="000000"/>
          <w:kern w:val="0"/>
          <w:sz w:val="48"/>
          <w:szCs w:val="48"/>
          <w:u w:val="none"/>
          <w:lang w:val="en-US" w:eastAsia="zh-CN" w:bidi="ar"/>
        </w:rPr>
        <w:t>此</w:t>
      </w:r>
      <w:r>
        <w:rPr>
          <w:rFonts w:hint="eastAsia" w:ascii="宋体" w:hAnsi="宋体" w:eastAsia="宋体" w:cs="宋体"/>
          <w:b/>
          <w:bCs/>
          <w:i w:val="0"/>
          <w:iCs w:val="0"/>
          <w:color w:val="000000"/>
          <w:kern w:val="0"/>
          <w:sz w:val="48"/>
          <w:szCs w:val="48"/>
          <w:u w:val="none"/>
          <w:lang w:val="en-US" w:eastAsia="zh-CN" w:bidi="ar"/>
        </w:rPr>
        <w:t>表</w:t>
      </w:r>
      <w:r>
        <w:rPr>
          <w:rFonts w:hint="eastAsia" w:ascii="宋体" w:hAnsi="宋体" w:cs="宋体"/>
          <w:b/>
          <w:bCs/>
          <w:i w:val="0"/>
          <w:iCs w:val="0"/>
          <w:color w:val="000000"/>
          <w:kern w:val="0"/>
          <w:sz w:val="48"/>
          <w:szCs w:val="48"/>
          <w:u w:val="none"/>
          <w:lang w:val="en-US" w:eastAsia="zh-CN" w:bidi="ar"/>
        </w:rPr>
        <w:t>数据为0</w:t>
      </w: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p>
      <w:pPr>
        <w:widowControl/>
        <w:spacing w:line="600" w:lineRule="exact"/>
        <w:rPr>
          <w:rFonts w:hint="eastAsia" w:eastAsia="仿宋_GB2312"/>
          <w:color w:val="FF0000"/>
          <w:sz w:val="32"/>
          <w:szCs w:val="32"/>
          <w:lang w:eastAsia="zh-CN"/>
        </w:rPr>
      </w:pPr>
    </w:p>
    <w:tbl>
      <w:tblPr>
        <w:tblStyle w:val="7"/>
        <w:tblW w:w="2410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89"/>
        <w:gridCol w:w="817"/>
        <w:gridCol w:w="817"/>
        <w:gridCol w:w="673"/>
        <w:gridCol w:w="815"/>
        <w:gridCol w:w="1092"/>
        <w:gridCol w:w="38"/>
        <w:gridCol w:w="811"/>
        <w:gridCol w:w="1013"/>
        <w:gridCol w:w="900"/>
        <w:gridCol w:w="862"/>
        <w:gridCol w:w="57"/>
        <w:gridCol w:w="617"/>
        <w:gridCol w:w="779"/>
        <w:gridCol w:w="1120"/>
        <w:gridCol w:w="709"/>
        <w:gridCol w:w="740"/>
        <w:gridCol w:w="591"/>
        <w:gridCol w:w="758"/>
        <w:gridCol w:w="203"/>
        <w:gridCol w:w="723"/>
        <w:gridCol w:w="4"/>
        <w:gridCol w:w="8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4106" w:type="dxa"/>
            <w:gridSpan w:val="23"/>
            <w:tcBorders>
              <w:top w:val="nil"/>
              <w:left w:val="nil"/>
              <w:bottom w:val="nil"/>
              <w:right w:val="nil"/>
            </w:tcBorders>
            <w:shd w:val="clear" w:color="auto" w:fill="auto"/>
            <w:noWrap/>
            <w:vAlign w:val="center"/>
          </w:tcPr>
          <w:p>
            <w:pPr>
              <w:keepNext w:val="0"/>
              <w:keepLines w:val="0"/>
              <w:widowControl/>
              <w:suppressLineNumbers w:val="0"/>
              <w:ind w:firstLine="4337" w:firstLineChars="900"/>
              <w:jc w:val="both"/>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2022年部门非税收入征收计划表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9505" w:type="dxa"/>
          <w:trHeight w:val="555" w:hRule="atLeast"/>
        </w:trPr>
        <w:tc>
          <w:tcPr>
            <w:tcW w:w="2823" w:type="dxa"/>
            <w:gridSpan w:val="3"/>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单位名称：区政务中心</w:t>
            </w:r>
          </w:p>
        </w:tc>
        <w:tc>
          <w:tcPr>
            <w:tcW w:w="673"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815"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92"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849" w:type="dxa"/>
            <w:gridSpan w:val="2"/>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13"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90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919" w:type="dxa"/>
            <w:gridSpan w:val="2"/>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617"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779"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12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709"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740" w:type="dxa"/>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1552" w:type="dxa"/>
            <w:gridSpan w:val="3"/>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8782" w:type="dxa"/>
          <w:trHeight w:val="270" w:hRule="atLeast"/>
        </w:trPr>
        <w:tc>
          <w:tcPr>
            <w:tcW w:w="1189"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634" w:type="dxa"/>
            <w:gridSpan w:val="1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本级执收收入计划</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8782" w:type="dxa"/>
          <w:trHeight w:val="308"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本级非税收入预计合计</w:t>
            </w:r>
          </w:p>
        </w:tc>
        <w:tc>
          <w:tcPr>
            <w:tcW w:w="10817" w:type="dxa"/>
            <w:gridSpan w:val="1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本级非税收入预算</w:t>
            </w:r>
          </w:p>
        </w:tc>
        <w:tc>
          <w:tcPr>
            <w:tcW w:w="758"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926" w:type="dxa"/>
            <w:gridSpan w:val="2"/>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未纳入专户管理的其他收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8782" w:type="dxa"/>
          <w:trHeight w:val="27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204"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纳入预算管理</w:t>
            </w:r>
          </w:p>
        </w:tc>
        <w:tc>
          <w:tcPr>
            <w:tcW w:w="4613"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财政专户管理</w:t>
            </w:r>
          </w:p>
        </w:tc>
        <w:tc>
          <w:tcPr>
            <w:tcW w:w="758" w:type="dxa"/>
            <w:vMerge w:val="continue"/>
            <w:tcBorders>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926" w:type="dxa"/>
            <w:gridSpan w:val="2"/>
            <w:vMerge w:val="continue"/>
            <w:tcBorders>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778" w:type="dxa"/>
          <w:trHeight w:val="27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61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收入预算数（纳入预算）</w:t>
            </w:r>
          </w:p>
        </w:tc>
        <w:tc>
          <w:tcPr>
            <w:tcW w:w="272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政府统筹（纳入预算）</w:t>
            </w:r>
          </w:p>
        </w:tc>
        <w:tc>
          <w:tcPr>
            <w:tcW w:w="8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单位可支配收入（纳入预算）</w:t>
            </w:r>
          </w:p>
        </w:tc>
        <w:tc>
          <w:tcPr>
            <w:tcW w:w="328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收入预算数（财政专户）</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政府统筹（财政专户）</w:t>
            </w:r>
          </w:p>
        </w:tc>
        <w:tc>
          <w:tcPr>
            <w:tcW w:w="758"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单位可支配收入（财政专户）</w:t>
            </w:r>
          </w:p>
        </w:tc>
        <w:tc>
          <w:tcPr>
            <w:tcW w:w="930" w:type="dxa"/>
            <w:gridSpan w:val="3"/>
            <w:vMerge w:val="restart"/>
            <w:tcBorders>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778" w:type="dxa"/>
          <w:trHeight w:val="27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分成后本级收入（纳入预算）</w:t>
            </w:r>
          </w:p>
        </w:tc>
        <w:tc>
          <w:tcPr>
            <w:tcW w:w="10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w:t>
            </w:r>
          </w:p>
        </w:tc>
        <w:tc>
          <w:tcPr>
            <w:tcW w:w="84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小计（纳入预算政府统筹）</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剔除成本后（纳入预算）</w:t>
            </w:r>
          </w:p>
        </w:tc>
        <w:tc>
          <w:tcPr>
            <w:tcW w:w="919" w:type="dxa"/>
            <w:gridSpan w:val="2"/>
            <w:vMerge w:val="restart"/>
            <w:tcBorders>
              <w:top w:val="single" w:color="000000" w:sz="4" w:space="0"/>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小计（财政专户）</w:t>
            </w:r>
          </w:p>
        </w:tc>
        <w:tc>
          <w:tcPr>
            <w:tcW w:w="7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分成后本级收入（财政专户）</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上级返还（财政专户）</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小计（财政专户政府统筹）</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w:t>
            </w:r>
          </w:p>
        </w:tc>
        <w:tc>
          <w:tcPr>
            <w:tcW w:w="758" w:type="dxa"/>
            <w:vMerge w:val="continue"/>
            <w:tcBorders>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0" w:type="dxa"/>
            <w:gridSpan w:val="3"/>
            <w:vMerge w:val="continue"/>
            <w:tcBorders>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778" w:type="dxa"/>
          <w:trHeight w:val="1613"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统筹比例％（纳入预算）</w:t>
            </w: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统筹额（纳入预算）</w:t>
            </w:r>
          </w:p>
        </w:tc>
        <w:tc>
          <w:tcPr>
            <w:tcW w:w="91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统筹比例％（财政专户）</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统筹额（财政专户）</w:t>
            </w:r>
          </w:p>
        </w:tc>
        <w:tc>
          <w:tcPr>
            <w:tcW w:w="758" w:type="dxa"/>
            <w:vMerge w:val="continue"/>
            <w:tcBorders>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30" w:type="dxa"/>
            <w:gridSpan w:val="3"/>
            <w:vMerge w:val="continue"/>
            <w:tcBorders>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778" w:type="dxa"/>
          <w:trHeight w:val="255"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778" w:type="dxa"/>
          <w:trHeight w:val="795" w:hRule="atLeast"/>
        </w:trPr>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0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8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7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r>
    </w:tbl>
    <w:p>
      <w:pPr>
        <w:keepNext w:val="0"/>
        <w:keepLines w:val="0"/>
        <w:widowControl/>
        <w:suppressLineNumbers w:val="0"/>
        <w:jc w:val="center"/>
        <w:textAlignment w:val="center"/>
        <w:rPr>
          <w:rFonts w:hint="eastAsia" w:ascii="宋体" w:hAnsi="宋体" w:cs="宋体"/>
          <w:b/>
          <w:bCs/>
          <w:i w:val="0"/>
          <w:iCs w:val="0"/>
          <w:color w:val="000000"/>
          <w:kern w:val="0"/>
          <w:sz w:val="48"/>
          <w:szCs w:val="48"/>
          <w:u w:val="none"/>
          <w:lang w:val="en-US" w:eastAsia="zh-CN" w:bidi="ar"/>
        </w:rPr>
      </w:pPr>
      <w:r>
        <w:rPr>
          <w:rFonts w:hint="eastAsia" w:ascii="宋体" w:hAnsi="宋体" w:cs="宋体"/>
          <w:b/>
          <w:bCs/>
          <w:i w:val="0"/>
          <w:iCs w:val="0"/>
          <w:color w:val="000000"/>
          <w:kern w:val="0"/>
          <w:sz w:val="48"/>
          <w:szCs w:val="48"/>
          <w:u w:val="none"/>
          <w:lang w:val="en-US" w:eastAsia="zh-CN" w:bidi="ar"/>
        </w:rPr>
        <w:t>此</w:t>
      </w:r>
      <w:r>
        <w:rPr>
          <w:rFonts w:hint="eastAsia" w:ascii="宋体" w:hAnsi="宋体" w:eastAsia="宋体" w:cs="宋体"/>
          <w:b/>
          <w:bCs/>
          <w:i w:val="0"/>
          <w:iCs w:val="0"/>
          <w:color w:val="000000"/>
          <w:kern w:val="0"/>
          <w:sz w:val="48"/>
          <w:szCs w:val="48"/>
          <w:u w:val="none"/>
          <w:lang w:val="en-US" w:eastAsia="zh-CN" w:bidi="ar"/>
        </w:rPr>
        <w:t>表</w:t>
      </w:r>
      <w:r>
        <w:rPr>
          <w:rFonts w:hint="eastAsia" w:ascii="宋体" w:hAnsi="宋体" w:cs="宋体"/>
          <w:b/>
          <w:bCs/>
          <w:i w:val="0"/>
          <w:iCs w:val="0"/>
          <w:color w:val="000000"/>
          <w:kern w:val="0"/>
          <w:sz w:val="48"/>
          <w:szCs w:val="48"/>
          <w:u w:val="none"/>
          <w:lang w:val="en-US" w:eastAsia="zh-CN" w:bidi="ar"/>
        </w:rPr>
        <w:t>数据为0</w:t>
      </w:r>
      <w:bookmarkStart w:id="0" w:name="_GoBack"/>
      <w:bookmarkEnd w:id="0"/>
    </w:p>
    <w:p>
      <w:pPr>
        <w:keepNext w:val="0"/>
        <w:keepLines w:val="0"/>
        <w:widowControl/>
        <w:suppressLineNumbers w:val="0"/>
        <w:jc w:val="center"/>
        <w:textAlignment w:val="center"/>
        <w:rPr>
          <w:rFonts w:hint="default" w:ascii="宋体" w:hAnsi="宋体" w:cs="宋体"/>
          <w:b/>
          <w:bCs/>
          <w:i w:val="0"/>
          <w:iCs w:val="0"/>
          <w:color w:val="000000"/>
          <w:kern w:val="0"/>
          <w:sz w:val="48"/>
          <w:szCs w:val="48"/>
          <w:u w:val="none"/>
          <w:lang w:val="en-US" w:eastAsia="zh-CN" w:bidi="ar"/>
        </w:rPr>
      </w:pPr>
    </w:p>
    <w:tbl>
      <w:tblPr>
        <w:tblStyle w:val="7"/>
        <w:tblW w:w="2808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2"/>
        <w:gridCol w:w="315"/>
        <w:gridCol w:w="184"/>
        <w:gridCol w:w="296"/>
        <w:gridCol w:w="236"/>
        <w:gridCol w:w="58"/>
        <w:gridCol w:w="182"/>
        <w:gridCol w:w="371"/>
        <w:gridCol w:w="143"/>
        <w:gridCol w:w="196"/>
        <w:gridCol w:w="322"/>
        <w:gridCol w:w="393"/>
        <w:gridCol w:w="89"/>
        <w:gridCol w:w="250"/>
        <w:gridCol w:w="393"/>
        <w:gridCol w:w="125"/>
        <w:gridCol w:w="367"/>
        <w:gridCol w:w="23"/>
        <w:gridCol w:w="92"/>
        <w:gridCol w:w="193"/>
        <w:gridCol w:w="307"/>
        <w:gridCol w:w="127"/>
        <w:gridCol w:w="355"/>
        <w:gridCol w:w="143"/>
        <w:gridCol w:w="371"/>
        <w:gridCol w:w="135"/>
        <w:gridCol w:w="17"/>
        <w:gridCol w:w="495"/>
        <w:gridCol w:w="480"/>
        <w:gridCol w:w="302"/>
        <w:gridCol w:w="676"/>
        <w:gridCol w:w="1143"/>
        <w:gridCol w:w="714"/>
        <w:gridCol w:w="109"/>
        <w:gridCol w:w="391"/>
        <w:gridCol w:w="703"/>
        <w:gridCol w:w="1232"/>
        <w:gridCol w:w="393"/>
        <w:gridCol w:w="285"/>
        <w:gridCol w:w="1233"/>
        <w:gridCol w:w="982"/>
        <w:gridCol w:w="1219"/>
        <w:gridCol w:w="972"/>
        <w:gridCol w:w="882"/>
        <w:gridCol w:w="4"/>
        <w:gridCol w:w="7799"/>
        <w:gridCol w:w="1176"/>
        <w:gridCol w:w="9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9971" w:type="dxa"/>
          <w:trHeight w:val="405" w:hRule="atLeast"/>
        </w:trPr>
        <w:tc>
          <w:tcPr>
            <w:tcW w:w="18116" w:type="dxa"/>
            <w:gridSpan w:val="44"/>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44"/>
                <w:szCs w:val="44"/>
                <w:u w:val="none"/>
                <w:lang w:val="en-US" w:eastAsia="zh-CN" w:bidi="ar"/>
              </w:rPr>
              <w:t>部门整体支出绩效目标申报表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9971" w:type="dxa"/>
          <w:trHeight w:val="360" w:hRule="atLeast"/>
        </w:trPr>
        <w:tc>
          <w:tcPr>
            <w:tcW w:w="9824" w:type="dxa"/>
            <w:gridSpan w:val="34"/>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单位：大通湖区政务中心</w:t>
            </w:r>
          </w:p>
        </w:tc>
        <w:tc>
          <w:tcPr>
            <w:tcW w:w="2719" w:type="dxa"/>
            <w:gridSpan w:val="4"/>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500" w:type="dxa"/>
            <w:gridSpan w:val="3"/>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p>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w:t>
            </w:r>
          </w:p>
        </w:tc>
        <w:tc>
          <w:tcPr>
            <w:tcW w:w="3073" w:type="dxa"/>
            <w:gridSpan w:val="3"/>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9971" w:type="dxa"/>
          <w:trHeight w:val="113" w:hRule="atLeast"/>
        </w:trPr>
        <w:tc>
          <w:tcPr>
            <w:tcW w:w="721"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排序序号</w:t>
            </w:r>
          </w:p>
        </w:tc>
        <w:tc>
          <w:tcPr>
            <w:tcW w:w="590"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项目主管单位</w:t>
            </w:r>
          </w:p>
        </w:tc>
        <w:tc>
          <w:tcPr>
            <w:tcW w:w="696"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包含预算单位明细</w:t>
            </w:r>
          </w:p>
        </w:tc>
        <w:tc>
          <w:tcPr>
            <w:tcW w:w="5175" w:type="dxa"/>
            <w:gridSpan w:val="21"/>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年度预算申请金额（元）</w:t>
            </w:r>
          </w:p>
        </w:tc>
        <w:tc>
          <w:tcPr>
            <w:tcW w:w="2642" w:type="dxa"/>
            <w:gridSpan w:val="4"/>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部门职能职责概述</w:t>
            </w:r>
          </w:p>
        </w:tc>
        <w:tc>
          <w:tcPr>
            <w:tcW w:w="5219" w:type="dxa"/>
            <w:gridSpan w:val="7"/>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部门整体支出年度绩效指标</w:t>
            </w:r>
          </w:p>
        </w:tc>
        <w:tc>
          <w:tcPr>
            <w:tcW w:w="3073"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4"/>
          <w:wAfter w:w="9971" w:type="dxa"/>
          <w:trHeight w:val="113" w:hRule="atLeast"/>
        </w:trPr>
        <w:tc>
          <w:tcPr>
            <w:tcW w:w="721"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11"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2835" w:type="dxa"/>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按收入资金来源</w:t>
            </w:r>
          </w:p>
        </w:tc>
        <w:tc>
          <w:tcPr>
            <w:tcW w:w="1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按支出性质</w:t>
            </w:r>
          </w:p>
        </w:tc>
        <w:tc>
          <w:tcPr>
            <w:tcW w:w="2642"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719"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500"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07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9967" w:type="dxa"/>
          <w:trHeight w:val="2453" w:hRule="atLeast"/>
        </w:trPr>
        <w:tc>
          <w:tcPr>
            <w:tcW w:w="721"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9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11"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3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公共财政拨款</w:t>
            </w:r>
          </w:p>
        </w:tc>
        <w:tc>
          <w:tcPr>
            <w:tcW w:w="60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政府性基金拨款</w:t>
            </w:r>
          </w:p>
        </w:tc>
        <w:tc>
          <w:tcPr>
            <w:tcW w:w="6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纳入专户管理的非税收入拨款</w:t>
            </w:r>
          </w:p>
        </w:tc>
        <w:tc>
          <w:tcPr>
            <w:tcW w:w="3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64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c>
          <w:tcPr>
            <w:tcW w:w="2642" w:type="dxa"/>
            <w:gridSpan w:val="4"/>
            <w:tcBorders>
              <w:top w:val="single" w:color="000000" w:sz="4" w:space="0"/>
              <w:left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719" w:type="dxa"/>
            <w:gridSpan w:val="4"/>
            <w:tcBorders>
              <w:top w:val="single" w:color="000000" w:sz="4" w:space="0"/>
              <w:left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500" w:type="dxa"/>
            <w:gridSpan w:val="3"/>
            <w:tcBorders>
              <w:top w:val="single" w:color="000000" w:sz="4" w:space="0"/>
              <w:left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077" w:type="dxa"/>
            <w:gridSpan w:val="4"/>
            <w:tcBorders>
              <w:top w:val="single" w:color="000000" w:sz="4" w:space="0"/>
              <w:left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9967" w:type="dxa"/>
          <w:trHeight w:val="113" w:hRule="atLeast"/>
        </w:trPr>
        <w:tc>
          <w:tcPr>
            <w:tcW w:w="7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9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大通湖区政务中心</w:t>
            </w:r>
          </w:p>
        </w:tc>
        <w:tc>
          <w:tcPr>
            <w:tcW w:w="6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大通湖区政务中心</w:t>
            </w:r>
          </w:p>
        </w:tc>
        <w:tc>
          <w:tcPr>
            <w:tcW w:w="91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73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1,189,328</w:t>
            </w:r>
          </w:p>
        </w:tc>
        <w:tc>
          <w:tcPr>
            <w:tcW w:w="60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4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559,328</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630,000</w:t>
            </w:r>
          </w:p>
        </w:tc>
        <w:tc>
          <w:tcPr>
            <w:tcW w:w="26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1、指导、协调、监督区直和驻区部门单位集中办理行政权力事项（依申请类）和公共服务事项（依申请类）。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2、承担政务服务大厅的运行管理，负责拟订政务服务大厅管理制度、规范；负责政务窗口工作人员的管是、监督和考核工作；会同有关部门受理、交力、督力政务窗口行政效能投诉。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3、负责提供有关行政审批事项及服务事项的代理、办理服务。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4、指导协调各镇、南湾湖办事处和区直和驻区部门的政务服务工作。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5、协助推进全区放管服务改革、“互联网+政务服务”“马上办、网上办、就近办、一次办”改革工作。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6、根据区管委会授权，区政务中心承担全区政务公开工作、税收协控联管工作以及公共资源交易的监督与管理工作。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7、完成区委、区管委会交办的其他工作任务</w:t>
            </w:r>
          </w:p>
        </w:tc>
        <w:tc>
          <w:tcPr>
            <w:tcW w:w="271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1、全中心工作人员数量16人（行政人员6人，临聘人员2人、劳务派遣8人），人员支出率100%。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2、服务全区人员数量14万人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3、全中心机构设置3个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4、全年三公经费：3.8万元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5、可直接面向企业和群众的依申请办理政务服务事项和便民服务事项1508项。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6、固定资产使用率100%。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7、打造政务服务“一窗式办理、一条龙服务”100%。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8、建立健全政务服务管理的各项规章制度并组织实施100%。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9、部门整体支出使用率100%。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10、预算执行情况100%。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11、资金使用时间202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年1月-12月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12、资金拨付时效：202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年1月-12月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13、全年基本支出：55.93万元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14、全年项目支出总金额：63万元</w:t>
            </w:r>
          </w:p>
        </w:tc>
        <w:tc>
          <w:tcPr>
            <w:tcW w:w="25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1、带动全区人员、政治、经济、文化、社会、生态文明的建设和有效发展100%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2、保证全区人员的社会治理治安100%。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3、保障全区人员的生命财产安全100%。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4、维护全区人员的生产生活环境100%。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5、促进经济文化可持续发展长期有效。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6、促进生态文明环境可持续发展长期有效。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7、公众服务满意度100%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8、政府机构人员满意率100%</w:t>
            </w:r>
          </w:p>
        </w:tc>
        <w:tc>
          <w:tcPr>
            <w:tcW w:w="3077"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2168" w:type="dxa"/>
          <w:trHeight w:val="405" w:hRule="atLeast"/>
        </w:trPr>
        <w:tc>
          <w:tcPr>
            <w:tcW w:w="25919" w:type="dxa"/>
            <w:gridSpan w:val="46"/>
            <w:tcBorders>
              <w:top w:val="nil"/>
              <w:left w:val="nil"/>
              <w:bottom w:val="nil"/>
              <w:right w:val="nil"/>
            </w:tcBorders>
            <w:shd w:val="clear" w:color="auto" w:fill="FFFFFF"/>
            <w:noWrap/>
            <w:vAlign w:val="center"/>
          </w:tcPr>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2880" w:firstLineChars="900"/>
              <w:jc w:val="both"/>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ind w:firstLine="7360" w:firstLineChars="2300"/>
              <w:jc w:val="both"/>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单位项目支出绩效目标申报表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2168" w:type="dxa"/>
          <w:trHeight w:val="460" w:hRule="atLeast"/>
        </w:trPr>
        <w:tc>
          <w:tcPr>
            <w:tcW w:w="25919" w:type="dxa"/>
            <w:gridSpan w:val="4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单位：大通湖区政务中心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2" w:type="dxa"/>
          <w:trHeight w:val="580" w:hRule="atLeast"/>
        </w:trPr>
        <w:tc>
          <w:tcPr>
            <w:tcW w:w="22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排序序号</w:t>
            </w:r>
          </w:p>
        </w:tc>
        <w:tc>
          <w:tcPr>
            <w:tcW w:w="3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主管部门名称</w:t>
            </w:r>
          </w:p>
        </w:tc>
        <w:tc>
          <w:tcPr>
            <w:tcW w:w="4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项目实施单位名称</w:t>
            </w:r>
          </w:p>
        </w:tc>
        <w:tc>
          <w:tcPr>
            <w:tcW w:w="236"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24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项目属性</w:t>
            </w:r>
          </w:p>
        </w:tc>
        <w:tc>
          <w:tcPr>
            <w:tcW w:w="37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项目起止时间</w:t>
            </w:r>
          </w:p>
        </w:tc>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项目概况</w:t>
            </w:r>
          </w:p>
        </w:tc>
        <w:tc>
          <w:tcPr>
            <w:tcW w:w="161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项目申报金额（元）</w:t>
            </w:r>
          </w:p>
        </w:tc>
        <w:tc>
          <w:tcPr>
            <w:tcW w:w="1746" w:type="dxa"/>
            <w:gridSpan w:val="9"/>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项目绩效目标</w:t>
            </w:r>
          </w:p>
        </w:tc>
        <w:tc>
          <w:tcPr>
            <w:tcW w:w="10374" w:type="dxa"/>
            <w:gridSpan w:val="16"/>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年度绩效目标</w:t>
            </w:r>
          </w:p>
        </w:tc>
        <w:tc>
          <w:tcPr>
            <w:tcW w:w="1083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其他需说明的问题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4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36"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4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3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开始时间</w:t>
            </w:r>
          </w:p>
        </w:tc>
        <w:tc>
          <w:tcPr>
            <w:tcW w:w="32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结束时间</w:t>
            </w:r>
          </w:p>
        </w:tc>
        <w:tc>
          <w:tcPr>
            <w:tcW w:w="482" w:type="dxa"/>
            <w:gridSpan w:val="2"/>
            <w:vMerge w:val="restart"/>
            <w:tcBorders>
              <w:top w:val="single" w:color="000000" w:sz="4" w:space="0"/>
              <w:left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50"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51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39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w:t>
            </w:r>
          </w:p>
        </w:tc>
        <w:tc>
          <w:tcPr>
            <w:tcW w:w="28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c>
          <w:tcPr>
            <w:tcW w:w="43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纳入专户管理的非税收入</w:t>
            </w: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666" w:type="dxa"/>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三年目标</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年度目标</w:t>
            </w:r>
          </w:p>
        </w:tc>
        <w:tc>
          <w:tcPr>
            <w:tcW w:w="333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7019"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853" w:type="dxa"/>
            <w:gridSpan w:val="5"/>
            <w:vMerge w:val="restart"/>
            <w:tcBorders>
              <w:top w:val="single" w:color="000000" w:sz="4" w:space="0"/>
              <w:left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22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4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36"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4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3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32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482"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5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9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43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666"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7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1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1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17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社会公众或服务对象满意度指标</w:t>
            </w:r>
          </w:p>
        </w:tc>
        <w:tc>
          <w:tcPr>
            <w:tcW w:w="10853"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2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2,661</w:t>
            </w:r>
          </w:p>
        </w:tc>
        <w:tc>
          <w:tcPr>
            <w:tcW w:w="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大通湖区政务中心</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大通胡区政务中心</w:t>
            </w:r>
          </w:p>
        </w:tc>
        <w:tc>
          <w:tcPr>
            <w:tcW w:w="2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行政运行-大厅公用经费</w:t>
            </w:r>
          </w:p>
        </w:tc>
        <w:tc>
          <w:tcPr>
            <w:tcW w:w="24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常年性项目</w:t>
            </w:r>
          </w:p>
        </w:tc>
        <w:tc>
          <w:tcPr>
            <w:tcW w:w="3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刘立根</w:t>
            </w:r>
          </w:p>
        </w:tc>
        <w:tc>
          <w:tcPr>
            <w:tcW w:w="33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2022年01月</w:t>
            </w:r>
          </w:p>
        </w:tc>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w:t>
            </w:r>
          </w:p>
        </w:tc>
        <w:tc>
          <w:tcPr>
            <w:tcW w:w="482"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本项目为区政务中心大厅运行维护费，主要包括：大厅水电费、电脑、网络维护费、租赁费、服务购置费、办公费等费用。旨在为群众提供规范、优质的政务服务</w:t>
            </w:r>
          </w:p>
        </w:tc>
        <w:tc>
          <w:tcPr>
            <w:tcW w:w="2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530,000</w:t>
            </w:r>
          </w:p>
        </w:tc>
        <w:tc>
          <w:tcPr>
            <w:tcW w:w="51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530,000</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3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年目标，每年53万元，三年共159万元，促进部门改进文风会风，加强经费及资产管理，推动网上办事，提高行政效能，提升政务服务、政务公开水平。抓好疫情情防控，保障办事安全。深化税控联管，保障税收入库</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1、全面落实“放管服”“互联网+政务服务”"一件事一次办”“四办”改革各项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部署要求，推动网上办事，提高行政效能，提升政务服务、政务公开水平。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2、抓好疫情防控，保障办事安全。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3、细化工作部署，深化推进政务公平。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4、深化税控联管，保障税收入库。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5、加强公共资源交易监管</w:t>
            </w: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1、全中心工作人员数理16人，（行政人员16人、临聘人员2人、劳务派遣人员8人），人员支出率100%，。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2、可直接面向企业和群众的依申请办理政务服务事项和便民服务事项1508项。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3、固定资产使用率100%。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4、打造政务服务“一窗式办理”“一条龙服务”100%。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5、建立健全政务服务管理的各项规章制度并组织实施100%。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6、政务服务事项提质上档99%。</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1、固定资产使用率100%。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2、打造政务服务“一窗式办理”“一条龙服务”100%。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3、建立健全政务服务管理的各项规章制度并组织实施100%。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4、政务服务事项提质上档100%。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5、部门整体支出完成率100%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6、预算执行100%。</w:t>
            </w:r>
          </w:p>
        </w:tc>
        <w:tc>
          <w:tcPr>
            <w:tcW w:w="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1、资金使用时间：2022年1月-12月。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2、资金拨付时效：2022年1月-12月</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1、全年项目支出53万元</w:t>
            </w:r>
          </w:p>
        </w:tc>
        <w:tc>
          <w:tcPr>
            <w:tcW w:w="70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承担全区政务服务、税控联管，税控联管占入库税收的30%以上。</w:t>
            </w:r>
          </w:p>
        </w:tc>
        <w:tc>
          <w:tcPr>
            <w:tcW w:w="1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1、深化“放管服”改革，大力推进“互联网+政务服务”减少群众时间成本，力争网上可办率92%以上。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2、三集中三到位“工作，可直接面向企业或群众办理政务服务事项履盖92%以上。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3、疫情防控，保障工作人员及群众安全100%。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4、力争群众满意度95%以上。</w:t>
            </w:r>
          </w:p>
        </w:tc>
        <w:tc>
          <w:tcPr>
            <w:tcW w:w="67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维护全区人员生产生活环境100%</w:t>
            </w:r>
          </w:p>
        </w:tc>
        <w:tc>
          <w:tcPr>
            <w:tcW w:w="1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1、促进部门改进文风会风，加强经遇及资产管理，进一步推进”政务服务+互联网”工作，提高行政效率，降低行政成本。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促进窗口工作人员工作积极性，进一步提高服务水平，服务质量，群众满意度不断提升。</w:t>
            </w:r>
          </w:p>
        </w:tc>
        <w:tc>
          <w:tcPr>
            <w:tcW w:w="3173"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促时和加强政务服务与政务公开工作，力争使群众和企业对政务中心满意度达95%以上。</w:t>
            </w:r>
          </w:p>
        </w:tc>
        <w:tc>
          <w:tcPr>
            <w:tcW w:w="10853"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18"/>
          <w:szCs w:val="18"/>
          <w:lang w:eastAsia="zh-CN"/>
        </w:rPr>
      </w:pPr>
    </w:p>
    <w:sectPr>
      <w:pgSz w:w="16837" w:h="11905" w:orient="landscape"/>
      <w:pgMar w:top="794" w:right="1417" w:bottom="340" w:left="1134" w:header="720" w:footer="1701" w:gutter="0"/>
      <w:pgNumType w:fmt="numberInDash" w:start="1"/>
      <w:cols w:space="0" w:num="1"/>
      <w:titlePg/>
      <w:rtlGutter w:val="0"/>
      <w:docGrid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jYzI5NDIyMzllZGFlN2E5MjkxMzliNWY5MmY3Yjc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BA0FD7"/>
    <w:rsid w:val="04D236AF"/>
    <w:rsid w:val="05177476"/>
    <w:rsid w:val="05343D27"/>
    <w:rsid w:val="05805BEC"/>
    <w:rsid w:val="05C6234C"/>
    <w:rsid w:val="05CF5FA2"/>
    <w:rsid w:val="06530982"/>
    <w:rsid w:val="06741B71"/>
    <w:rsid w:val="072145DC"/>
    <w:rsid w:val="0869448C"/>
    <w:rsid w:val="088F5575"/>
    <w:rsid w:val="08CA47FF"/>
    <w:rsid w:val="09AC055E"/>
    <w:rsid w:val="09DC47EA"/>
    <w:rsid w:val="0A252635"/>
    <w:rsid w:val="0A3E54A5"/>
    <w:rsid w:val="0B4E7A0D"/>
    <w:rsid w:val="0B980BE5"/>
    <w:rsid w:val="0C3C487B"/>
    <w:rsid w:val="0CC807DA"/>
    <w:rsid w:val="0ECD4593"/>
    <w:rsid w:val="0EF44384"/>
    <w:rsid w:val="0FAD62D5"/>
    <w:rsid w:val="103716AC"/>
    <w:rsid w:val="10F42D61"/>
    <w:rsid w:val="1173012A"/>
    <w:rsid w:val="122907E8"/>
    <w:rsid w:val="12DF5990"/>
    <w:rsid w:val="12FD797B"/>
    <w:rsid w:val="131D659F"/>
    <w:rsid w:val="139B3968"/>
    <w:rsid w:val="14011A1D"/>
    <w:rsid w:val="14570BE4"/>
    <w:rsid w:val="14AE01CA"/>
    <w:rsid w:val="14BE790E"/>
    <w:rsid w:val="15FE79D5"/>
    <w:rsid w:val="160722D1"/>
    <w:rsid w:val="16350C1E"/>
    <w:rsid w:val="16D50F3F"/>
    <w:rsid w:val="177C13BA"/>
    <w:rsid w:val="17A403CF"/>
    <w:rsid w:val="17DD62FD"/>
    <w:rsid w:val="185C1918"/>
    <w:rsid w:val="185E1C23"/>
    <w:rsid w:val="18C63235"/>
    <w:rsid w:val="18ED431E"/>
    <w:rsid w:val="18FE633B"/>
    <w:rsid w:val="193A48B3"/>
    <w:rsid w:val="195B1BCF"/>
    <w:rsid w:val="1A3D3625"/>
    <w:rsid w:val="1B065B6B"/>
    <w:rsid w:val="1B177FA3"/>
    <w:rsid w:val="1B8B42C2"/>
    <w:rsid w:val="1C116575"/>
    <w:rsid w:val="1C790312"/>
    <w:rsid w:val="1DC75A85"/>
    <w:rsid w:val="1FCF54B9"/>
    <w:rsid w:val="1FEA374C"/>
    <w:rsid w:val="1FF22B62"/>
    <w:rsid w:val="215F45AC"/>
    <w:rsid w:val="219E0C0B"/>
    <w:rsid w:val="22356D36"/>
    <w:rsid w:val="225301BC"/>
    <w:rsid w:val="226A340F"/>
    <w:rsid w:val="226C6BFB"/>
    <w:rsid w:val="22873A35"/>
    <w:rsid w:val="231D6147"/>
    <w:rsid w:val="239E43A3"/>
    <w:rsid w:val="23BC770E"/>
    <w:rsid w:val="23D164F9"/>
    <w:rsid w:val="24480FA2"/>
    <w:rsid w:val="24727DCD"/>
    <w:rsid w:val="24B30B11"/>
    <w:rsid w:val="25BD32CA"/>
    <w:rsid w:val="25D03E97"/>
    <w:rsid w:val="25F50CB6"/>
    <w:rsid w:val="261F20D3"/>
    <w:rsid w:val="27710810"/>
    <w:rsid w:val="277B343D"/>
    <w:rsid w:val="27A961FC"/>
    <w:rsid w:val="27D019DA"/>
    <w:rsid w:val="29396B13"/>
    <w:rsid w:val="2A495A74"/>
    <w:rsid w:val="2A8803C7"/>
    <w:rsid w:val="2B667F60"/>
    <w:rsid w:val="2B8C6E9D"/>
    <w:rsid w:val="2C0949D2"/>
    <w:rsid w:val="2CE524C2"/>
    <w:rsid w:val="2D51332B"/>
    <w:rsid w:val="2EE93382"/>
    <w:rsid w:val="2EEE2746"/>
    <w:rsid w:val="2EFC1307"/>
    <w:rsid w:val="2F0B779C"/>
    <w:rsid w:val="2F527179"/>
    <w:rsid w:val="30313232"/>
    <w:rsid w:val="30416F37"/>
    <w:rsid w:val="307E2DE3"/>
    <w:rsid w:val="311F308B"/>
    <w:rsid w:val="316B4522"/>
    <w:rsid w:val="31DB5204"/>
    <w:rsid w:val="32036508"/>
    <w:rsid w:val="320A09B7"/>
    <w:rsid w:val="32461B94"/>
    <w:rsid w:val="32746D1F"/>
    <w:rsid w:val="32B75C71"/>
    <w:rsid w:val="32CB5AE7"/>
    <w:rsid w:val="33AF6948"/>
    <w:rsid w:val="33D26ADA"/>
    <w:rsid w:val="33E95AF0"/>
    <w:rsid w:val="3422536C"/>
    <w:rsid w:val="349F69BC"/>
    <w:rsid w:val="35976CEB"/>
    <w:rsid w:val="359E61BF"/>
    <w:rsid w:val="36160F00"/>
    <w:rsid w:val="36541A28"/>
    <w:rsid w:val="36625F86"/>
    <w:rsid w:val="36794FEB"/>
    <w:rsid w:val="37AC319E"/>
    <w:rsid w:val="37C8622A"/>
    <w:rsid w:val="383B361B"/>
    <w:rsid w:val="384B0C09"/>
    <w:rsid w:val="38FD63A7"/>
    <w:rsid w:val="39495149"/>
    <w:rsid w:val="3A775CE5"/>
    <w:rsid w:val="3AA52853"/>
    <w:rsid w:val="3B567FF1"/>
    <w:rsid w:val="3B702E61"/>
    <w:rsid w:val="3B8E1539"/>
    <w:rsid w:val="3B985F13"/>
    <w:rsid w:val="3BE267DD"/>
    <w:rsid w:val="3C025A83"/>
    <w:rsid w:val="3CF61996"/>
    <w:rsid w:val="3D3F6F8E"/>
    <w:rsid w:val="3D821FDB"/>
    <w:rsid w:val="3DE73182"/>
    <w:rsid w:val="3DFF08E6"/>
    <w:rsid w:val="3E007984"/>
    <w:rsid w:val="3EB02FC3"/>
    <w:rsid w:val="3F4D1B61"/>
    <w:rsid w:val="3F7722E4"/>
    <w:rsid w:val="3FB13A48"/>
    <w:rsid w:val="3FB13F1F"/>
    <w:rsid w:val="40205632"/>
    <w:rsid w:val="402650E2"/>
    <w:rsid w:val="40E57E4D"/>
    <w:rsid w:val="410B4D57"/>
    <w:rsid w:val="4130208A"/>
    <w:rsid w:val="415B4202"/>
    <w:rsid w:val="41B44778"/>
    <w:rsid w:val="41F32F91"/>
    <w:rsid w:val="42653A20"/>
    <w:rsid w:val="43BB4E95"/>
    <w:rsid w:val="446A1543"/>
    <w:rsid w:val="44B85878"/>
    <w:rsid w:val="44DA759D"/>
    <w:rsid w:val="453942C3"/>
    <w:rsid w:val="454B049A"/>
    <w:rsid w:val="458A2875"/>
    <w:rsid w:val="45AD4ECA"/>
    <w:rsid w:val="45E2495B"/>
    <w:rsid w:val="45E843AD"/>
    <w:rsid w:val="462C5BD6"/>
    <w:rsid w:val="465C535A"/>
    <w:rsid w:val="46C37B6D"/>
    <w:rsid w:val="47095F17"/>
    <w:rsid w:val="4723522B"/>
    <w:rsid w:val="48645AFB"/>
    <w:rsid w:val="48A41128"/>
    <w:rsid w:val="48E22EC4"/>
    <w:rsid w:val="48F50E49"/>
    <w:rsid w:val="490B241B"/>
    <w:rsid w:val="493763C7"/>
    <w:rsid w:val="493F20C4"/>
    <w:rsid w:val="4B1D4687"/>
    <w:rsid w:val="4C2C2DD4"/>
    <w:rsid w:val="4CF431C6"/>
    <w:rsid w:val="4D120D9C"/>
    <w:rsid w:val="4D162A8A"/>
    <w:rsid w:val="4D3161C8"/>
    <w:rsid w:val="4D553C64"/>
    <w:rsid w:val="4D892E0C"/>
    <w:rsid w:val="4E5B4984"/>
    <w:rsid w:val="4E65437B"/>
    <w:rsid w:val="4EB7595F"/>
    <w:rsid w:val="506643DA"/>
    <w:rsid w:val="51B3364F"/>
    <w:rsid w:val="51E5342F"/>
    <w:rsid w:val="5233653E"/>
    <w:rsid w:val="528C74F9"/>
    <w:rsid w:val="53FF6904"/>
    <w:rsid w:val="545C1D7C"/>
    <w:rsid w:val="54EF4C03"/>
    <w:rsid w:val="55621D22"/>
    <w:rsid w:val="55675FB5"/>
    <w:rsid w:val="55825812"/>
    <w:rsid w:val="55DB7040"/>
    <w:rsid w:val="575907F5"/>
    <w:rsid w:val="57D165DD"/>
    <w:rsid w:val="594A4899"/>
    <w:rsid w:val="5954396A"/>
    <w:rsid w:val="59DB1995"/>
    <w:rsid w:val="5AE26D53"/>
    <w:rsid w:val="5AF34ABD"/>
    <w:rsid w:val="5B490B80"/>
    <w:rsid w:val="5B6A2FD1"/>
    <w:rsid w:val="5B8273B6"/>
    <w:rsid w:val="5BFB631F"/>
    <w:rsid w:val="5C4557EC"/>
    <w:rsid w:val="5CE172C2"/>
    <w:rsid w:val="5CE223C5"/>
    <w:rsid w:val="5D5E0FF9"/>
    <w:rsid w:val="5DA622BA"/>
    <w:rsid w:val="5E825EB9"/>
    <w:rsid w:val="5EC92704"/>
    <w:rsid w:val="5ED13367"/>
    <w:rsid w:val="5FE64BF0"/>
    <w:rsid w:val="60116111"/>
    <w:rsid w:val="603E2C7E"/>
    <w:rsid w:val="605424A1"/>
    <w:rsid w:val="60BF5B6D"/>
    <w:rsid w:val="613F394C"/>
    <w:rsid w:val="61406582"/>
    <w:rsid w:val="616B1851"/>
    <w:rsid w:val="618741B1"/>
    <w:rsid w:val="61CB6793"/>
    <w:rsid w:val="61D218D0"/>
    <w:rsid w:val="62600C89"/>
    <w:rsid w:val="62620EA5"/>
    <w:rsid w:val="629467D8"/>
    <w:rsid w:val="62C84A81"/>
    <w:rsid w:val="62CA6A4B"/>
    <w:rsid w:val="62E23D94"/>
    <w:rsid w:val="630C186C"/>
    <w:rsid w:val="633D721D"/>
    <w:rsid w:val="634A7272"/>
    <w:rsid w:val="635705AB"/>
    <w:rsid w:val="638D1F52"/>
    <w:rsid w:val="63E43B3C"/>
    <w:rsid w:val="64D94D23"/>
    <w:rsid w:val="651A0D5B"/>
    <w:rsid w:val="65410FF9"/>
    <w:rsid w:val="65763C78"/>
    <w:rsid w:val="657A4758"/>
    <w:rsid w:val="65985CED"/>
    <w:rsid w:val="66492C0F"/>
    <w:rsid w:val="665C100F"/>
    <w:rsid w:val="66AB0941"/>
    <w:rsid w:val="67A70AB4"/>
    <w:rsid w:val="67F26C39"/>
    <w:rsid w:val="684D1CB0"/>
    <w:rsid w:val="68C61A62"/>
    <w:rsid w:val="699658D9"/>
    <w:rsid w:val="6A4D2E13"/>
    <w:rsid w:val="6B1940CB"/>
    <w:rsid w:val="6B4A697B"/>
    <w:rsid w:val="6BB32772"/>
    <w:rsid w:val="6C1D762E"/>
    <w:rsid w:val="6C68355C"/>
    <w:rsid w:val="6C8B2DA7"/>
    <w:rsid w:val="6CE75F46"/>
    <w:rsid w:val="6E494CC8"/>
    <w:rsid w:val="6E5D69C5"/>
    <w:rsid w:val="6E645FA5"/>
    <w:rsid w:val="6E7D516F"/>
    <w:rsid w:val="6EED7D49"/>
    <w:rsid w:val="6FF05370"/>
    <w:rsid w:val="70333E81"/>
    <w:rsid w:val="70E67ED5"/>
    <w:rsid w:val="71412EFE"/>
    <w:rsid w:val="7216423E"/>
    <w:rsid w:val="72873462"/>
    <w:rsid w:val="72B03567"/>
    <w:rsid w:val="72FA22B7"/>
    <w:rsid w:val="733E6DC5"/>
    <w:rsid w:val="736E51D0"/>
    <w:rsid w:val="745873B8"/>
    <w:rsid w:val="745919DD"/>
    <w:rsid w:val="74653176"/>
    <w:rsid w:val="748702F8"/>
    <w:rsid w:val="74C34365"/>
    <w:rsid w:val="74DD43BC"/>
    <w:rsid w:val="75305CA7"/>
    <w:rsid w:val="75466405"/>
    <w:rsid w:val="758546AA"/>
    <w:rsid w:val="75954C96"/>
    <w:rsid w:val="75AA29F3"/>
    <w:rsid w:val="75D92DD5"/>
    <w:rsid w:val="75F3609C"/>
    <w:rsid w:val="7601398D"/>
    <w:rsid w:val="76320737"/>
    <w:rsid w:val="76522B87"/>
    <w:rsid w:val="76553CD3"/>
    <w:rsid w:val="766F7295"/>
    <w:rsid w:val="76F37914"/>
    <w:rsid w:val="76FD0776"/>
    <w:rsid w:val="771B64D2"/>
    <w:rsid w:val="77F51A1C"/>
    <w:rsid w:val="7826607A"/>
    <w:rsid w:val="783C589D"/>
    <w:rsid w:val="78852DA0"/>
    <w:rsid w:val="79675F84"/>
    <w:rsid w:val="79D902FA"/>
    <w:rsid w:val="7A147527"/>
    <w:rsid w:val="7A1F4AEE"/>
    <w:rsid w:val="7ACC115A"/>
    <w:rsid w:val="7ACC2F08"/>
    <w:rsid w:val="7AD52652"/>
    <w:rsid w:val="7AFC7FCE"/>
    <w:rsid w:val="7B2745E3"/>
    <w:rsid w:val="7B4C4049"/>
    <w:rsid w:val="7BB73BB8"/>
    <w:rsid w:val="7BD649D7"/>
    <w:rsid w:val="7C1D1542"/>
    <w:rsid w:val="7CBE2D25"/>
    <w:rsid w:val="7CD408E6"/>
    <w:rsid w:val="7DCE343B"/>
    <w:rsid w:val="7DD32800"/>
    <w:rsid w:val="7E290672"/>
    <w:rsid w:val="7ECF6BAF"/>
    <w:rsid w:val="7F517E80"/>
    <w:rsid w:val="7FD034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34</Pages>
  <Words>10051</Words>
  <Characters>12809</Characters>
  <Lines>34</Lines>
  <Paragraphs>9</Paragraphs>
  <TotalTime>42</TotalTime>
  <ScaleCrop>false</ScaleCrop>
  <LinksUpToDate>false</LinksUpToDate>
  <CharactersWithSpaces>13572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幸运</cp:lastModifiedBy>
  <cp:lastPrinted>2021-05-16T11:47:00Z</cp:lastPrinted>
  <dcterms:modified xsi:type="dcterms:W3CDTF">2023-10-07T00:59:57Z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BAE6F1F4002C46579740F7981031A4FD_13</vt:lpwstr>
  </property>
</Properties>
</file>