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70"/>
          <w:tab w:val="left" w:pos="1933"/>
          <w:tab w:val="left" w:pos="2813"/>
          <w:tab w:val="left" w:pos="3933"/>
          <w:tab w:val="left" w:pos="4733"/>
          <w:tab w:val="left" w:pos="5473"/>
          <w:tab w:val="left" w:pos="6493"/>
          <w:tab w:val="left" w:pos="7653"/>
          <w:tab w:val="left" w:pos="8933"/>
          <w:tab w:val="left" w:pos="9953"/>
          <w:tab w:val="left" w:pos="10933"/>
          <w:tab w:val="left" w:pos="12233"/>
          <w:tab w:val="left" w:pos="13393"/>
          <w:tab w:val="left" w:pos="14413"/>
          <w:tab w:val="left" w:pos="15433"/>
          <w:tab w:val="left" w:pos="16593"/>
          <w:tab w:val="left" w:pos="17753"/>
        </w:tabs>
        <w:spacing w:line="500" w:lineRule="exact"/>
        <w:jc w:val="left"/>
        <w:rPr>
          <w:rFonts w:hint="eastAsia" w:ascii="黑体" w:hAnsi="宋体" w:eastAsia="黑体" w:cs="宋体"/>
          <w:kern w:val="0"/>
          <w:szCs w:val="32"/>
        </w:rPr>
      </w:pPr>
      <w:r>
        <w:rPr>
          <w:rFonts w:hint="eastAsia" w:ascii="黑体" w:hAnsi="宋体" w:eastAsia="黑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-229235</wp:posOffset>
                </wp:positionH>
                <wp:positionV relativeFrom="paragraph">
                  <wp:posOffset>-104775</wp:posOffset>
                </wp:positionV>
                <wp:extent cx="200660" cy="63366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0660" cy="6336665"/>
                        </a:xfrm>
                        <a:prstGeom prst="rect">
                          <a:avLst/>
                        </a:prstGeom>
                        <a:noFill/>
                        <a:ln w="9525">
                          <a:noFill/>
                        </a:ln>
                      </wps:spPr>
                      <wps:txbx>
                        <w:txbxContent>
                          <w:p>
                            <w:pPr>
                              <w:wordWrap w:val="0"/>
                              <w:spacing w:line="360" w:lineRule="exact"/>
                              <w:jc w:val="right"/>
                              <w:rPr>
                                <w:rFonts w:hint="eastAsia" w:ascii="宋体" w:hAnsi="宋体" w:eastAsia="宋体"/>
                                <w:sz w:val="28"/>
                                <w:szCs w:val="28"/>
                              </w:rPr>
                            </w:pPr>
                            <w:r>
                              <w:rPr>
                                <w:rFonts w:hint="eastAsia" w:ascii="宋体" w:hAnsi="宋体" w:eastAsia="宋体"/>
                                <w:sz w:val="28"/>
                                <w:szCs w:val="28"/>
                              </w:rPr>
                              <w:t xml:space="preserve"> </w:t>
                            </w:r>
                          </w:p>
                        </w:txbxContent>
                      </wps:txbx>
                      <wps:bodyPr vert="eaVert" lIns="0" tIns="0" rIns="0" bIns="0" upright="1"/>
                    </wps:wsp>
                  </a:graphicData>
                </a:graphic>
              </wp:anchor>
            </w:drawing>
          </mc:Choice>
          <mc:Fallback>
            <w:pict>
              <v:shape id="_x0000_s1026" o:spid="_x0000_s1026" o:spt="202" type="#_x0000_t202" style="position:absolute;left:0pt;margin-left:-18.05pt;margin-top:-8.25pt;height:498.95pt;width:15.8pt;z-index:251660288;mso-width-relative:page;mso-height-relative:page;" filled="f" stroked="f" coordsize="21600,21600" o:gfxdata="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3F54zXAAAACgEAAA8AAAAAAAAAAQAgAAAAIgAAAGRycy9k&#10;b3ducmV2LnhtbFBLAQIUABQAAAAIAIdO4kCdyQmyygEAAIkDAAAOAAAAAAAAAAEAIAAAACYBAABk&#10;cnMvZTJvRG9jLnhtbFBLBQYAAAAABgAGAFkBAABiBQAAAAA=&#10;">
                <v:fill on="f" focussize="0,0"/>
                <v:stroke on="f"/>
                <v:imagedata o:title=""/>
                <o:lock v:ext="edit" aspectratio="f"/>
                <v:textbox inset="0mm,0mm,0mm,0mm" style="layout-flow:vertical-ideographic;">
                  <w:txbxContent>
                    <w:p>
                      <w:pPr>
                        <w:wordWrap w:val="0"/>
                        <w:spacing w:line="360" w:lineRule="exact"/>
                        <w:jc w:val="right"/>
                        <w:rPr>
                          <w:rFonts w:hint="eastAsia" w:ascii="宋体" w:hAnsi="宋体" w:eastAsia="宋体"/>
                          <w:sz w:val="28"/>
                          <w:szCs w:val="28"/>
                        </w:rPr>
                      </w:pPr>
                      <w:r>
                        <w:rPr>
                          <w:rFonts w:hint="eastAsia" w:ascii="宋体" w:hAnsi="宋体" w:eastAsia="宋体"/>
                          <w:sz w:val="28"/>
                          <w:szCs w:val="28"/>
                        </w:rPr>
                        <w:t xml:space="preserve"> </w:t>
                      </w:r>
                    </w:p>
                  </w:txbxContent>
                </v:textbox>
              </v:shape>
            </w:pict>
          </mc:Fallback>
        </mc:AlternateContent>
      </w:r>
      <w:r>
        <w:rPr>
          <w:rFonts w:hint="eastAsia" w:ascii="黑体" w:hAnsi="宋体" w:eastAsia="黑体" w:cs="宋体"/>
          <w:kern w:val="0"/>
          <w:sz w:val="24"/>
          <w:szCs w:val="24"/>
        </w:rPr>
        <w:t>附件：</w:t>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p>
    <w:p>
      <w:pPr>
        <w:widowControl/>
        <w:spacing w:after="117" w:afterLines="20" w:line="500" w:lineRule="exact"/>
        <w:ind w:left="91"/>
        <w:jc w:val="center"/>
        <w:rPr>
          <w:rFonts w:hint="eastAsia" w:ascii="黑体" w:hAnsi="宋体" w:eastAsia="黑体" w:cs="宋体"/>
          <w:bCs/>
          <w:kern w:val="0"/>
          <w:sz w:val="36"/>
          <w:szCs w:val="36"/>
        </w:rPr>
      </w:pPr>
      <w:r>
        <w:rPr>
          <w:rFonts w:hint="eastAsia" w:ascii="黑体" w:hAnsi="宋体" w:eastAsia="黑体" w:cs="宋体"/>
          <w:bCs/>
          <w:kern w:val="0"/>
          <w:sz w:val="36"/>
          <w:szCs w:val="36"/>
          <w:lang w:val="en-US" w:eastAsia="zh-CN"/>
        </w:rPr>
        <w:t>项目</w:t>
      </w:r>
      <w:r>
        <w:rPr>
          <w:rFonts w:hint="eastAsia" w:ascii="黑体" w:hAnsi="宋体" w:eastAsia="黑体" w:cs="宋体"/>
          <w:bCs/>
          <w:kern w:val="0"/>
          <w:sz w:val="36"/>
          <w:szCs w:val="36"/>
        </w:rPr>
        <w:t>资金绩效监控情况表</w:t>
      </w:r>
    </w:p>
    <w:p>
      <w:pPr>
        <w:widowControl/>
        <w:tabs>
          <w:tab w:val="left" w:pos="1933"/>
          <w:tab w:val="left" w:pos="2813"/>
          <w:tab w:val="left" w:pos="3933"/>
          <w:tab w:val="left" w:pos="6493"/>
          <w:tab w:val="left" w:pos="7653"/>
          <w:tab w:val="left" w:pos="8933"/>
          <w:tab w:val="left" w:pos="9953"/>
          <w:tab w:val="left" w:pos="10933"/>
          <w:tab w:val="left" w:pos="12233"/>
          <w:tab w:val="left" w:pos="13393"/>
          <w:tab w:val="left" w:pos="14413"/>
          <w:tab w:val="left" w:pos="15433"/>
          <w:tab w:val="left" w:pos="16593"/>
          <w:tab w:val="left" w:pos="17753"/>
        </w:tabs>
        <w:snapToGrid w:val="0"/>
        <w:ind w:left="91"/>
        <w:jc w:val="left"/>
        <w:rPr>
          <w:rFonts w:ascii="宋体" w:hAnsi="宋体" w:eastAsia="宋体" w:cs="宋体"/>
          <w:kern w:val="0"/>
          <w:sz w:val="18"/>
          <w:szCs w:val="18"/>
        </w:rPr>
      </w:pPr>
      <w:r>
        <w:rPr>
          <w:rFonts w:hint="eastAsia" w:ascii="宋体" w:hAnsi="宋体" w:eastAsia="宋体" w:cs="宋体"/>
          <w:kern w:val="0"/>
          <w:sz w:val="24"/>
          <w:szCs w:val="24"/>
        </w:rPr>
        <w:t>填报单位（盖章）</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益阳市大通湖区交通运输局</w:t>
      </w:r>
      <w:r>
        <w:rPr>
          <w:rFonts w:ascii="宋体" w:hAnsi="宋体" w:eastAsia="宋体" w:cs="宋体"/>
          <w:kern w:val="0"/>
          <w:sz w:val="18"/>
          <w:szCs w:val="18"/>
        </w:rPr>
        <w:tab/>
      </w:r>
    </w:p>
    <w:p>
      <w:pPr>
        <w:widowControl/>
        <w:tabs>
          <w:tab w:val="left" w:pos="1933"/>
          <w:tab w:val="left" w:pos="2813"/>
          <w:tab w:val="left" w:pos="3933"/>
          <w:tab w:val="left" w:pos="6493"/>
          <w:tab w:val="left" w:pos="7653"/>
          <w:tab w:val="left" w:pos="8933"/>
          <w:tab w:val="left" w:pos="9953"/>
          <w:tab w:val="left" w:pos="10933"/>
          <w:tab w:val="left" w:pos="12233"/>
          <w:tab w:val="left" w:pos="13393"/>
          <w:tab w:val="left" w:pos="14413"/>
          <w:tab w:val="left" w:pos="15433"/>
          <w:tab w:val="left" w:pos="16593"/>
          <w:tab w:val="left" w:pos="17753"/>
        </w:tabs>
        <w:snapToGrid w:val="0"/>
        <w:ind w:left="91"/>
        <w:jc w:val="left"/>
        <w:rPr>
          <w:rFonts w:ascii="宋体" w:hAnsi="宋体" w:eastAsia="宋体" w:cs="宋体"/>
          <w:kern w:val="0"/>
          <w:sz w:val="24"/>
          <w:szCs w:val="24"/>
        </w:rPr>
      </w:pP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p>
    <w:tbl>
      <w:tblPr>
        <w:tblStyle w:val="4"/>
        <w:tblW w:w="15548" w:type="dxa"/>
        <w:tblInd w:w="-686" w:type="dxa"/>
        <w:tblLayout w:type="fixed"/>
        <w:tblCellMar>
          <w:top w:w="0" w:type="dxa"/>
          <w:left w:w="28" w:type="dxa"/>
          <w:bottom w:w="0" w:type="dxa"/>
          <w:right w:w="28" w:type="dxa"/>
        </w:tblCellMar>
      </w:tblPr>
      <w:tblGrid>
        <w:gridCol w:w="1051"/>
        <w:gridCol w:w="125"/>
        <w:gridCol w:w="1443"/>
        <w:gridCol w:w="621"/>
        <w:gridCol w:w="61"/>
        <w:gridCol w:w="1034"/>
        <w:gridCol w:w="952"/>
        <w:gridCol w:w="734"/>
        <w:gridCol w:w="953"/>
        <w:gridCol w:w="725"/>
        <w:gridCol w:w="1160"/>
        <w:gridCol w:w="888"/>
        <w:gridCol w:w="571"/>
        <w:gridCol w:w="547"/>
        <w:gridCol w:w="588"/>
        <w:gridCol w:w="183"/>
        <w:gridCol w:w="1074"/>
        <w:gridCol w:w="61"/>
        <w:gridCol w:w="871"/>
        <w:gridCol w:w="426"/>
        <w:gridCol w:w="730"/>
        <w:gridCol w:w="750"/>
      </w:tblGrid>
      <w:tr>
        <w:tblPrEx>
          <w:tblCellMar>
            <w:top w:w="0" w:type="dxa"/>
            <w:left w:w="28" w:type="dxa"/>
            <w:bottom w:w="0" w:type="dxa"/>
            <w:right w:w="28" w:type="dxa"/>
          </w:tblCellMar>
        </w:tblPrEx>
        <w:trPr>
          <w:trHeight w:val="789" w:hRule="atLeast"/>
        </w:trPr>
        <w:tc>
          <w:tcPr>
            <w:tcW w:w="10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基本情况</w:t>
            </w: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27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执法专项</w:t>
            </w:r>
            <w:r>
              <w:rPr>
                <w:rFonts w:hint="eastAsia" w:ascii="宋体" w:hAnsi="宋体" w:eastAsia="宋体" w:cs="宋体"/>
                <w:kern w:val="0"/>
                <w:sz w:val="24"/>
                <w:szCs w:val="24"/>
              </w:rPr>
              <w:t>　</w:t>
            </w:r>
          </w:p>
        </w:tc>
        <w:tc>
          <w:tcPr>
            <w:tcW w:w="16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预算安排资金(万元)</w:t>
            </w:r>
          </w:p>
        </w:tc>
        <w:tc>
          <w:tcPr>
            <w:tcW w:w="26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50</w:t>
            </w:r>
            <w:r>
              <w:rPr>
                <w:rFonts w:hint="eastAsia" w:ascii="宋体" w:hAnsi="宋体" w:eastAsia="宋体" w:cs="宋体"/>
                <w:kern w:val="0"/>
                <w:sz w:val="24"/>
                <w:szCs w:val="24"/>
              </w:rPr>
              <w:t>　</w:t>
            </w:r>
          </w:p>
        </w:tc>
        <w:tc>
          <w:tcPr>
            <w:tcW w:w="239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功能科目编码及名称</w:t>
            </w:r>
          </w:p>
        </w:tc>
        <w:tc>
          <w:tcPr>
            <w:tcW w:w="2838"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2140112公路运输管理　</w:t>
            </w:r>
          </w:p>
        </w:tc>
      </w:tr>
      <w:tr>
        <w:tblPrEx>
          <w:tblCellMar>
            <w:top w:w="0" w:type="dxa"/>
            <w:left w:w="28" w:type="dxa"/>
            <w:bottom w:w="0" w:type="dxa"/>
            <w:right w:w="28" w:type="dxa"/>
          </w:tblCellMar>
        </w:tblPrEx>
        <w:trPr>
          <w:trHeight w:val="759" w:hRule="atLeast"/>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项目实施单位</w:t>
            </w:r>
          </w:p>
        </w:tc>
        <w:tc>
          <w:tcPr>
            <w:tcW w:w="272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益阳市大通湖区交通运输局</w:t>
            </w:r>
          </w:p>
        </w:tc>
        <w:tc>
          <w:tcPr>
            <w:tcW w:w="16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项目类型</w:t>
            </w:r>
          </w:p>
        </w:tc>
        <w:tc>
          <w:tcPr>
            <w:tcW w:w="2619"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延续项目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新增项目□ </w:t>
            </w:r>
          </w:p>
        </w:tc>
        <w:tc>
          <w:tcPr>
            <w:tcW w:w="113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联络人：</w:t>
            </w:r>
          </w:p>
        </w:tc>
        <w:tc>
          <w:tcPr>
            <w:tcW w:w="12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钟甜</w:t>
            </w:r>
            <w:r>
              <w:rPr>
                <w:rFonts w:hint="eastAsia" w:ascii="宋体" w:hAnsi="宋体" w:eastAsia="宋体" w:cs="宋体"/>
                <w:kern w:val="0"/>
                <w:sz w:val="24"/>
                <w:szCs w:val="24"/>
              </w:rPr>
              <w:t>　</w:t>
            </w:r>
          </w:p>
        </w:tc>
        <w:tc>
          <w:tcPr>
            <w:tcW w:w="1358"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1480"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17873571765</w:t>
            </w:r>
          </w:p>
        </w:tc>
      </w:tr>
      <w:tr>
        <w:tblPrEx>
          <w:tblCellMar>
            <w:top w:w="0" w:type="dxa"/>
            <w:left w:w="28" w:type="dxa"/>
            <w:bottom w:w="0" w:type="dxa"/>
            <w:right w:w="28" w:type="dxa"/>
          </w:tblCellMar>
        </w:tblPrEx>
        <w:trPr>
          <w:trHeight w:val="910" w:hRule="atLeast"/>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项目概况</w:t>
            </w:r>
          </w:p>
        </w:tc>
        <w:tc>
          <w:tcPr>
            <w:tcW w:w="12247" w:type="dxa"/>
            <w:gridSpan w:val="17"/>
            <w:tcBorders>
              <w:top w:val="single" w:color="auto" w:sz="4" w:space="0"/>
              <w:left w:val="nil"/>
              <w:bottom w:val="single" w:color="auto" w:sz="4" w:space="0"/>
              <w:right w:val="single" w:color="auto" w:sz="4" w:space="0"/>
            </w:tcBorders>
            <w:vAlign w:val="center"/>
          </w:tcPr>
          <w:p>
            <w:pPr>
              <w:widowControl/>
              <w:jc w:val="left"/>
              <w:rPr>
                <w:rFonts w:ascii="仿宋_GB2312" w:hAnsi="宋体" w:cs="宋体"/>
                <w:kern w:val="0"/>
                <w:sz w:val="24"/>
                <w:szCs w:val="24"/>
              </w:rPr>
            </w:pPr>
            <w:r>
              <w:rPr>
                <w:rFonts w:hint="eastAsia" w:ascii="仿宋_GB2312" w:hAnsi="宋体" w:cs="宋体"/>
                <w:kern w:val="0"/>
                <w:sz w:val="24"/>
                <w:szCs w:val="24"/>
                <w:lang w:val="en-US" w:eastAsia="zh-CN"/>
              </w:rPr>
              <w:t>1、</w:t>
            </w:r>
            <w:r>
              <w:rPr>
                <w:rFonts w:hint="eastAsia" w:ascii="仿宋_GB2312" w:hAnsi="宋体" w:cs="宋体"/>
                <w:kern w:val="0"/>
                <w:sz w:val="24"/>
                <w:szCs w:val="24"/>
              </w:rPr>
              <w:t>负责全区交通行业管理和运输组织管理</w:t>
            </w:r>
            <w:r>
              <w:rPr>
                <w:rFonts w:hint="eastAsia" w:ascii="仿宋_GB2312" w:hAnsi="宋体" w:cs="宋体"/>
                <w:kern w:val="0"/>
                <w:sz w:val="24"/>
                <w:szCs w:val="24"/>
                <w:lang w:eastAsia="zh-CN"/>
              </w:rPr>
              <w:t>。</w:t>
            </w:r>
            <w:r>
              <w:rPr>
                <w:rFonts w:hint="eastAsia" w:ascii="仿宋_GB2312" w:hAnsi="宋体" w:cs="宋体"/>
                <w:kern w:val="0"/>
                <w:sz w:val="24"/>
                <w:szCs w:val="24"/>
                <w:lang w:val="en-US" w:eastAsia="zh-CN"/>
              </w:rPr>
              <w:t>2、</w:t>
            </w:r>
            <w:r>
              <w:rPr>
                <w:rFonts w:hint="eastAsia" w:ascii="仿宋_GB2312" w:hAnsi="宋体" w:cs="宋体"/>
                <w:kern w:val="0"/>
                <w:sz w:val="24"/>
                <w:szCs w:val="24"/>
              </w:rPr>
              <w:t>拟定地方性交通运输行业科技标准，规划并实施监督。</w:t>
            </w:r>
            <w:r>
              <w:rPr>
                <w:rFonts w:hint="eastAsia" w:ascii="仿宋_GB2312" w:hAnsi="宋体" w:cs="宋体"/>
                <w:kern w:val="0"/>
                <w:sz w:val="24"/>
                <w:szCs w:val="24"/>
                <w:lang w:val="en-US" w:eastAsia="zh-CN"/>
              </w:rPr>
              <w:t>3、</w:t>
            </w:r>
            <w:r>
              <w:rPr>
                <w:rFonts w:hint="eastAsia" w:ascii="仿宋_GB2312" w:hAnsi="宋体" w:cs="宋体"/>
                <w:kern w:val="0"/>
                <w:sz w:val="24"/>
                <w:szCs w:val="24"/>
              </w:rPr>
              <w:t>指导全区公路，水路行业安全生产和应急管理工作。按规定组织协调全区重点物资和紧急客货运输全区道路，水路网运行监测和应急处置协调工作。</w:t>
            </w:r>
            <w:r>
              <w:rPr>
                <w:rFonts w:hint="eastAsia" w:ascii="仿宋_GB2312" w:hAnsi="宋体" w:cs="宋体"/>
                <w:kern w:val="0"/>
                <w:sz w:val="24"/>
                <w:szCs w:val="24"/>
                <w:lang w:val="en-US" w:eastAsia="zh-CN"/>
              </w:rPr>
              <w:t>4、</w:t>
            </w:r>
            <w:r>
              <w:rPr>
                <w:rFonts w:hint="eastAsia" w:ascii="仿宋_GB2312" w:hAnsi="宋体" w:cs="宋体"/>
                <w:kern w:val="0"/>
                <w:sz w:val="24"/>
                <w:szCs w:val="24"/>
              </w:rPr>
              <w:t xml:space="preserve">承担铁路，航运专用线管理，监督与协调职责，负责铁路，航空建设工程质量监督工作。  </w:t>
            </w:r>
          </w:p>
        </w:tc>
      </w:tr>
      <w:tr>
        <w:tblPrEx>
          <w:tblCellMar>
            <w:top w:w="0" w:type="dxa"/>
            <w:left w:w="28" w:type="dxa"/>
            <w:bottom w:w="0" w:type="dxa"/>
            <w:right w:w="28" w:type="dxa"/>
          </w:tblCellMar>
        </w:tblPrEx>
        <w:trPr>
          <w:trHeight w:val="698" w:hRule="atLeast"/>
        </w:trPr>
        <w:tc>
          <w:tcPr>
            <w:tcW w:w="10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项目组织管理情况</w:t>
            </w: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是否实施招投标</w:t>
            </w:r>
          </w:p>
        </w:tc>
        <w:tc>
          <w:tcPr>
            <w:tcW w:w="2720"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□是</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无该项内容</w:t>
            </w:r>
          </w:p>
        </w:tc>
        <w:tc>
          <w:tcPr>
            <w:tcW w:w="16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是否实施政府采购</w:t>
            </w:r>
          </w:p>
        </w:tc>
        <w:tc>
          <w:tcPr>
            <w:tcW w:w="7849"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□是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否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无该项内容</w:t>
            </w:r>
          </w:p>
        </w:tc>
      </w:tr>
      <w:tr>
        <w:tblPrEx>
          <w:tblCellMar>
            <w:top w:w="0" w:type="dxa"/>
            <w:left w:w="28" w:type="dxa"/>
            <w:bottom w:w="0" w:type="dxa"/>
            <w:right w:w="28" w:type="dxa"/>
          </w:tblCellMar>
        </w:tblPrEx>
        <w:trPr>
          <w:trHeight w:val="778"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是否实行合同管理制</w:t>
            </w:r>
          </w:p>
        </w:tc>
        <w:tc>
          <w:tcPr>
            <w:tcW w:w="2720"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sym w:font="Wingdings 2" w:char="00A3"/>
            </w:r>
            <w:r>
              <w:rPr>
                <w:rFonts w:hint="eastAsia" w:ascii="宋体" w:hAnsi="宋体" w:eastAsia="宋体" w:cs="宋体"/>
                <w:kern w:val="0"/>
                <w:sz w:val="24"/>
                <w:szCs w:val="24"/>
              </w:rPr>
              <w:t xml:space="preserve">是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无该项内容</w:t>
            </w:r>
          </w:p>
        </w:tc>
        <w:tc>
          <w:tcPr>
            <w:tcW w:w="16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采购金额</w:t>
            </w:r>
          </w:p>
        </w:tc>
        <w:tc>
          <w:tcPr>
            <w:tcW w:w="7849"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应采购金额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实际采购金额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无该项内容</w:t>
            </w:r>
          </w:p>
        </w:tc>
      </w:tr>
      <w:tr>
        <w:tblPrEx>
          <w:tblCellMar>
            <w:top w:w="0" w:type="dxa"/>
            <w:left w:w="28" w:type="dxa"/>
            <w:bottom w:w="0" w:type="dxa"/>
            <w:right w:w="28" w:type="dxa"/>
          </w:tblCellMar>
        </w:tblPrEx>
        <w:trPr>
          <w:trHeight w:val="687"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项目调整内容及报批程序和手续</w:t>
            </w:r>
          </w:p>
        </w:tc>
        <w:tc>
          <w:tcPr>
            <w:tcW w:w="12247" w:type="dxa"/>
            <w:gridSpan w:val="17"/>
            <w:tcBorders>
              <w:top w:val="single" w:color="auto" w:sz="4" w:space="0"/>
              <w:left w:val="nil"/>
              <w:bottom w:val="single" w:color="auto" w:sz="4" w:space="0"/>
              <w:right w:val="single" w:color="auto" w:sz="4" w:space="0"/>
            </w:tcBorders>
            <w:vAlign w:val="center"/>
          </w:tcPr>
          <w:p>
            <w:pPr>
              <w:widowControl/>
              <w:jc w:val="left"/>
              <w:rPr>
                <w:rFonts w:ascii="仿宋_GB2312" w:hAnsi="宋体" w:cs="宋体"/>
                <w:kern w:val="0"/>
                <w:sz w:val="24"/>
                <w:szCs w:val="24"/>
              </w:rPr>
            </w:pPr>
            <w:r>
              <w:rPr>
                <w:rFonts w:hint="eastAsia" w:ascii="仿宋_GB2312" w:hAnsi="宋体" w:cs="宋体"/>
                <w:kern w:val="0"/>
                <w:sz w:val="24"/>
                <w:szCs w:val="24"/>
              </w:rPr>
              <w:t>经手人（队（股、室）、所经办人）填制报账单及票据→证明人（队（股、室）、所负责人）签字→单位审核人（分管副局长）签字→会计审核→会审复核→出纳支付，专项开支经局党组会议研究确定后再按程序办理。　</w:t>
            </w:r>
          </w:p>
        </w:tc>
      </w:tr>
      <w:tr>
        <w:tblPrEx>
          <w:tblCellMar>
            <w:top w:w="0" w:type="dxa"/>
            <w:left w:w="28" w:type="dxa"/>
            <w:bottom w:w="0" w:type="dxa"/>
            <w:right w:w="28" w:type="dxa"/>
          </w:tblCellMar>
        </w:tblPrEx>
        <w:trPr>
          <w:trHeight w:val="578"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单位已有的（或拟订的）保证项目实施的制度、措施</w:t>
            </w:r>
          </w:p>
        </w:tc>
        <w:tc>
          <w:tcPr>
            <w:tcW w:w="12247" w:type="dxa"/>
            <w:gridSpan w:val="17"/>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宋体" w:cs="宋体"/>
                <w:kern w:val="0"/>
                <w:sz w:val="24"/>
                <w:szCs w:val="24"/>
                <w:lang w:eastAsia="zh-CN"/>
              </w:rPr>
            </w:pPr>
            <w:r>
              <w:rPr>
                <w:rFonts w:hint="eastAsia" w:ascii="宋体" w:hAnsi="宋体" w:eastAsia="宋体" w:cs="宋体"/>
                <w:kern w:val="0"/>
                <w:sz w:val="24"/>
                <w:szCs w:val="24"/>
                <w:lang w:eastAsia="zh-CN"/>
              </w:rPr>
              <w:t>交通运输局</w:t>
            </w:r>
            <w:r>
              <w:rPr>
                <w:rFonts w:hint="eastAsia" w:ascii="宋体" w:hAnsi="宋体" w:eastAsia="宋体" w:cs="宋体"/>
                <w:kern w:val="0"/>
                <w:sz w:val="24"/>
                <w:szCs w:val="24"/>
              </w:rPr>
              <w:t>专项资金管理严格按照中华人民共和国预算法》、《湖南省财政厅关于印发&lt;2019-2021年省级专项资金清单&gt;的通知》</w:t>
            </w:r>
            <w:r>
              <w:rPr>
                <w:rFonts w:hint="eastAsia" w:ascii="宋体" w:hAnsi="宋体" w:eastAsia="宋体" w:cs="宋体"/>
                <w:kern w:val="0"/>
                <w:sz w:val="24"/>
                <w:szCs w:val="24"/>
                <w:lang w:eastAsia="zh-CN"/>
              </w:rPr>
              <w:t>、《湖南道路运输条例》</w:t>
            </w:r>
            <w:r>
              <w:rPr>
                <w:rFonts w:hint="eastAsia" w:ascii="宋体" w:hAnsi="宋体" w:eastAsia="宋体" w:cs="宋体"/>
                <w:kern w:val="0"/>
                <w:sz w:val="24"/>
                <w:szCs w:val="24"/>
              </w:rPr>
              <w:t>等有关法律法规和规定执行</w:t>
            </w:r>
            <w:r>
              <w:rPr>
                <w:rFonts w:hint="eastAsia" w:ascii="宋体" w:hAnsi="宋体" w:eastAsia="宋体" w:cs="宋体"/>
                <w:kern w:val="0"/>
                <w:sz w:val="24"/>
                <w:szCs w:val="24"/>
                <w:lang w:eastAsia="zh-CN"/>
              </w:rPr>
              <w:t>。</w:t>
            </w:r>
          </w:p>
        </w:tc>
      </w:tr>
      <w:tr>
        <w:tblPrEx>
          <w:tblCellMar>
            <w:top w:w="0" w:type="dxa"/>
            <w:left w:w="28" w:type="dxa"/>
            <w:bottom w:w="0" w:type="dxa"/>
            <w:right w:w="28" w:type="dxa"/>
          </w:tblCellMar>
        </w:tblPrEx>
        <w:trPr>
          <w:trHeight w:val="673"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具体工作措施</w:t>
            </w:r>
          </w:p>
        </w:tc>
        <w:tc>
          <w:tcPr>
            <w:tcW w:w="12247" w:type="dxa"/>
            <w:gridSpan w:val="17"/>
            <w:tcBorders>
              <w:top w:val="single" w:color="auto" w:sz="4" w:space="0"/>
              <w:left w:val="nil"/>
              <w:bottom w:val="single" w:color="auto" w:sz="4" w:space="0"/>
              <w:right w:val="single" w:color="auto" w:sz="4" w:space="0"/>
            </w:tcBorders>
            <w:vAlign w:val="center"/>
          </w:tcPr>
          <w:p>
            <w:pPr>
              <w:widowControl/>
              <w:ind w:firstLine="480" w:firstLineChars="200"/>
              <w:jc w:val="left"/>
              <w:rPr>
                <w:rFonts w:ascii="仿宋_GB2312" w:hAnsi="宋体" w:cs="宋体"/>
                <w:kern w:val="0"/>
                <w:sz w:val="24"/>
                <w:szCs w:val="24"/>
              </w:rPr>
            </w:pPr>
            <w:r>
              <w:rPr>
                <w:rFonts w:hint="eastAsia" w:ascii="宋体" w:hAnsi="宋体" w:eastAsia="宋体" w:cs="宋体"/>
                <w:kern w:val="0"/>
                <w:sz w:val="24"/>
                <w:szCs w:val="24"/>
                <w:lang w:val="en-US" w:eastAsia="zh-CN" w:bidi="ar-SA"/>
              </w:rPr>
              <w:t>成立了由局长任组长，分管副局长为副组长，执法大队主要负责人为成员的大通湖区交通运输局执法专项整治领导小组，多次召开安全生产专题会议，明确工作职责、时间节点和任务分工，提高道路安全，降低道路安全事故率，保障交通出行安全。</w:t>
            </w:r>
          </w:p>
        </w:tc>
      </w:tr>
      <w:tr>
        <w:tblPrEx>
          <w:tblCellMar>
            <w:top w:w="0" w:type="dxa"/>
            <w:left w:w="28" w:type="dxa"/>
            <w:bottom w:w="0" w:type="dxa"/>
            <w:right w:w="28" w:type="dxa"/>
          </w:tblCellMar>
        </w:tblPrEx>
        <w:trPr>
          <w:trHeight w:val="930" w:hRule="atLeast"/>
        </w:trPr>
        <w:tc>
          <w:tcPr>
            <w:tcW w:w="15548" w:type="dxa"/>
            <w:gridSpan w:val="2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分 季 度 执 行 情 况 （一）</w:t>
            </w:r>
          </w:p>
        </w:tc>
      </w:tr>
      <w:tr>
        <w:tblPrEx>
          <w:tblCellMar>
            <w:top w:w="0" w:type="dxa"/>
            <w:left w:w="28" w:type="dxa"/>
            <w:bottom w:w="0" w:type="dxa"/>
            <w:right w:w="28" w:type="dxa"/>
          </w:tblCellMar>
        </w:tblPrEx>
        <w:trPr>
          <w:trHeight w:val="705" w:hRule="atLeast"/>
        </w:trPr>
        <w:tc>
          <w:tcPr>
            <w:tcW w:w="117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资金安排使用情况（万元）</w:t>
            </w:r>
          </w:p>
        </w:tc>
        <w:tc>
          <w:tcPr>
            <w:tcW w:w="2064"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p>
        </w:tc>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全年安排资金额</w:t>
            </w:r>
          </w:p>
        </w:tc>
        <w:tc>
          <w:tcPr>
            <w:tcW w:w="336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第1季度</w:t>
            </w:r>
          </w:p>
        </w:tc>
        <w:tc>
          <w:tcPr>
            <w:tcW w:w="3937"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rPr>
              <w:t>季度</w:t>
            </w:r>
          </w:p>
        </w:tc>
        <w:tc>
          <w:tcPr>
            <w:tcW w:w="3912"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1-3</w:t>
            </w:r>
            <w:r>
              <w:rPr>
                <w:rFonts w:hint="eastAsia" w:asciiTheme="minorEastAsia" w:hAnsiTheme="minorEastAsia" w:eastAsiaTheme="minorEastAsia" w:cstheme="minorEastAsia"/>
                <w:kern w:val="0"/>
                <w:sz w:val="24"/>
                <w:szCs w:val="24"/>
              </w:rPr>
              <w:t>季度</w:t>
            </w:r>
          </w:p>
        </w:tc>
      </w:tr>
      <w:tr>
        <w:tblPrEx>
          <w:tblCellMar>
            <w:top w:w="0" w:type="dxa"/>
            <w:left w:w="28" w:type="dxa"/>
            <w:bottom w:w="0" w:type="dxa"/>
            <w:right w:w="28" w:type="dxa"/>
          </w:tblCellMar>
        </w:tblPrEx>
        <w:trPr>
          <w:trHeight w:val="1451" w:hRule="atLeast"/>
        </w:trPr>
        <w:tc>
          <w:tcPr>
            <w:tcW w:w="117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95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已到位资金（万元）</w:t>
            </w:r>
          </w:p>
        </w:tc>
        <w:tc>
          <w:tcPr>
            <w:tcW w:w="7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w:t>
            </w:r>
          </w:p>
        </w:tc>
        <w:tc>
          <w:tcPr>
            <w:tcW w:w="95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实际支</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出资金(万元)</w:t>
            </w:r>
          </w:p>
        </w:tc>
        <w:tc>
          <w:tcPr>
            <w:tcW w:w="72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支出实现率</w:t>
            </w:r>
          </w:p>
        </w:tc>
        <w:tc>
          <w:tcPr>
            <w:tcW w:w="116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已到位资金(万元)</w:t>
            </w:r>
          </w:p>
        </w:tc>
        <w:tc>
          <w:tcPr>
            <w:tcW w:w="88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w:t>
            </w:r>
          </w:p>
        </w:tc>
        <w:tc>
          <w:tcPr>
            <w:tcW w:w="1118"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实际支</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出资金(万元)</w:t>
            </w:r>
          </w:p>
        </w:tc>
        <w:tc>
          <w:tcPr>
            <w:tcW w:w="771"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支出实现率</w:t>
            </w:r>
          </w:p>
        </w:tc>
        <w:tc>
          <w:tcPr>
            <w:tcW w:w="1135"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累计已到位资金（万元）</w:t>
            </w:r>
          </w:p>
        </w:tc>
        <w:tc>
          <w:tcPr>
            <w:tcW w:w="87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w:t>
            </w:r>
          </w:p>
        </w:tc>
        <w:tc>
          <w:tcPr>
            <w:tcW w:w="1156"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实际支</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出资金</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75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实现率</w:t>
            </w:r>
          </w:p>
        </w:tc>
      </w:tr>
      <w:tr>
        <w:tblPrEx>
          <w:tblCellMar>
            <w:top w:w="0" w:type="dxa"/>
            <w:left w:w="28" w:type="dxa"/>
            <w:bottom w:w="0" w:type="dxa"/>
            <w:right w:w="28" w:type="dxa"/>
          </w:tblCellMar>
        </w:tblPrEx>
        <w:trPr>
          <w:trHeight w:val="745" w:hRule="atLeast"/>
        </w:trPr>
        <w:tc>
          <w:tcPr>
            <w:tcW w:w="117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资金总额 (=1+2+3)</w:t>
            </w:r>
          </w:p>
        </w:tc>
        <w:tc>
          <w:tcPr>
            <w:tcW w:w="109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50</w:t>
            </w:r>
            <w:r>
              <w:rPr>
                <w:rFonts w:hint="eastAsia" w:asciiTheme="minorEastAsia" w:hAnsiTheme="minorEastAsia" w:eastAsiaTheme="minorEastAsia" w:cstheme="minorEastAsia"/>
                <w:kern w:val="0"/>
                <w:sz w:val="24"/>
                <w:szCs w:val="24"/>
              </w:rPr>
              <w:t>　</w:t>
            </w:r>
          </w:p>
        </w:tc>
        <w:tc>
          <w:tcPr>
            <w:tcW w:w="952"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50</w:t>
            </w:r>
          </w:p>
        </w:tc>
        <w:tc>
          <w:tcPr>
            <w:tcW w:w="7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100%</w:t>
            </w:r>
          </w:p>
        </w:tc>
        <w:tc>
          <w:tcPr>
            <w:tcW w:w="953"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13.6</w:t>
            </w:r>
          </w:p>
        </w:tc>
        <w:tc>
          <w:tcPr>
            <w:tcW w:w="72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27.2%　</w:t>
            </w:r>
          </w:p>
        </w:tc>
        <w:tc>
          <w:tcPr>
            <w:tcW w:w="116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50</w:t>
            </w:r>
          </w:p>
        </w:tc>
        <w:tc>
          <w:tcPr>
            <w:tcW w:w="88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100%</w:t>
            </w:r>
          </w:p>
        </w:tc>
        <w:tc>
          <w:tcPr>
            <w:tcW w:w="1118" w:type="dxa"/>
            <w:gridSpan w:val="2"/>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12.2</w:t>
            </w:r>
          </w:p>
        </w:tc>
        <w:tc>
          <w:tcPr>
            <w:tcW w:w="771" w:type="dxa"/>
            <w:gridSpan w:val="2"/>
            <w:tcBorders>
              <w:top w:val="nil"/>
              <w:left w:val="nil"/>
              <w:bottom w:val="single" w:color="auto" w:sz="4" w:space="0"/>
              <w:right w:val="single" w:color="auto" w:sz="4" w:space="0"/>
            </w:tcBorders>
            <w:vAlign w:val="center"/>
          </w:tcPr>
          <w:p>
            <w:pPr>
              <w:widowControl/>
              <w:jc w:val="center"/>
              <w:rPr>
                <w:rFonts w:hint="default"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24.4%</w:t>
            </w:r>
          </w:p>
        </w:tc>
        <w:tc>
          <w:tcPr>
            <w:tcW w:w="1135" w:type="dxa"/>
            <w:gridSpan w:val="2"/>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50</w:t>
            </w:r>
          </w:p>
        </w:tc>
        <w:tc>
          <w:tcPr>
            <w:tcW w:w="87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100%</w:t>
            </w:r>
          </w:p>
        </w:tc>
        <w:tc>
          <w:tcPr>
            <w:tcW w:w="1156" w:type="dxa"/>
            <w:gridSpan w:val="2"/>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13.25</w:t>
            </w:r>
          </w:p>
        </w:tc>
        <w:tc>
          <w:tcPr>
            <w:tcW w:w="750"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26.5%</w:t>
            </w:r>
          </w:p>
        </w:tc>
      </w:tr>
      <w:tr>
        <w:tblPrEx>
          <w:tblCellMar>
            <w:top w:w="0" w:type="dxa"/>
            <w:left w:w="28" w:type="dxa"/>
            <w:bottom w:w="0" w:type="dxa"/>
            <w:right w:w="28" w:type="dxa"/>
          </w:tblCellMar>
        </w:tblPrEx>
        <w:trPr>
          <w:trHeight w:val="765"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其中：1.财政拨款 </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50</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100%</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13.6</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27.2%　　</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50</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100%</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12.2</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24.4%</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50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100%</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13.25</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26.5%</w:t>
            </w:r>
          </w:p>
        </w:tc>
      </w:tr>
      <w:tr>
        <w:tblPrEx>
          <w:tblCellMar>
            <w:top w:w="0" w:type="dxa"/>
            <w:left w:w="28" w:type="dxa"/>
            <w:bottom w:w="0" w:type="dxa"/>
            <w:right w:w="28" w:type="dxa"/>
          </w:tblCellMar>
        </w:tblPrEx>
        <w:trPr>
          <w:trHeight w:val="685"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2.自有资金  </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715"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其中:事业收入</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553"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经营性收入</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654"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其他</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674"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3.其他 </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1194" w:hRule="atLeast"/>
        </w:trPr>
        <w:tc>
          <w:tcPr>
            <w:tcW w:w="15548" w:type="dxa"/>
            <w:gridSpan w:val="2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监    控    报    告</w:t>
            </w:r>
          </w:p>
        </w:tc>
      </w:tr>
      <w:tr>
        <w:tblPrEx>
          <w:tblCellMar>
            <w:top w:w="0" w:type="dxa"/>
            <w:left w:w="28" w:type="dxa"/>
            <w:bottom w:w="0" w:type="dxa"/>
            <w:right w:w="28" w:type="dxa"/>
          </w:tblCellMar>
        </w:tblPrEx>
        <w:trPr>
          <w:trHeight w:val="2739" w:hRule="atLeast"/>
        </w:trPr>
        <w:tc>
          <w:tcPr>
            <w:tcW w:w="26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产出成果</w:t>
            </w:r>
          </w:p>
        </w:tc>
        <w:tc>
          <w:tcPr>
            <w:tcW w:w="12929" w:type="dxa"/>
            <w:gridSpan w:val="19"/>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atLeas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加大宣传力度、营造良好氛围</w:t>
            </w:r>
          </w:p>
          <w:p>
            <w:pPr>
              <w:keepNext w:val="0"/>
              <w:keepLines w:val="0"/>
              <w:pageBreakBefore w:val="0"/>
              <w:widowControl/>
              <w:numPr>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项整治期间，超限检测点利用LED电子屏幕滚动播放宣传标语，悬挂宣传条幅2条，并在超限检测(站)点对过往货车进行发放宣传单1000余份，使广大运输者对治超政策和标准做到心中有数，及超限运输违法行为的严重性、危害性，进一步加强了治超的关键环节，保证了治超专项行动工作的平稳、有序开展，为治理超限超载奠定了良好的坚实基础。</w:t>
            </w:r>
          </w:p>
          <w:p>
            <w:pPr>
              <w:keepNext w:val="0"/>
              <w:keepLines w:val="0"/>
              <w:pageBreakBefore w:val="0"/>
              <w:widowControl/>
              <w:numPr>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eastAsia="宋体" w:cs="宋体"/>
                <w:kern w:val="0"/>
                <w:sz w:val="24"/>
                <w:szCs w:val="2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tLeast"/>
              <w:ind w:left="0" w:leftChars="0"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开展专项治理工作</w:t>
            </w:r>
          </w:p>
          <w:p>
            <w:pPr>
              <w:keepNext w:val="0"/>
              <w:keepLines w:val="0"/>
              <w:pageBreakBefore w:val="0"/>
              <w:widowControl/>
              <w:numPr>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default" w:ascii="宋体" w:hAnsi="宋体" w:eastAsia="宋体" w:cs="宋体"/>
                <w:kern w:val="0"/>
                <w:sz w:val="24"/>
                <w:szCs w:val="24"/>
                <w:lang w:val="en-US" w:eastAsia="zh-CN"/>
              </w:rPr>
              <w:t>对货源单位严格监管，强化货源单位的主体责任</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追究相关人员的责任。</w:t>
            </w:r>
          </w:p>
          <w:p>
            <w:pPr>
              <w:keepNext w:val="0"/>
              <w:keepLines w:val="0"/>
              <w:pageBreakBefore w:val="0"/>
              <w:widowControl/>
              <w:numPr>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整治情况。今年以来共检测车辆97000余台，查处违法超限超载车辆78台，卸载货物407.738吨，行政罚款14.84万元；查处非法改装车辆2台，自行恢复2台，行政处罚1万元；查处非法营运车辆43台次，行政处罚13.14万元，损坏公路附属设施11起，行政处罚0.25万元。</w:t>
            </w:r>
          </w:p>
        </w:tc>
      </w:tr>
      <w:tr>
        <w:tblPrEx>
          <w:tblCellMar>
            <w:top w:w="0" w:type="dxa"/>
            <w:left w:w="28" w:type="dxa"/>
            <w:bottom w:w="0" w:type="dxa"/>
            <w:right w:w="28" w:type="dxa"/>
          </w:tblCellMar>
        </w:tblPrEx>
        <w:trPr>
          <w:trHeight w:val="1940" w:hRule="atLeast"/>
        </w:trPr>
        <w:tc>
          <w:tcPr>
            <w:tcW w:w="26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存在的问题</w:t>
            </w:r>
          </w:p>
        </w:tc>
        <w:tc>
          <w:tcPr>
            <w:tcW w:w="12929" w:type="dxa"/>
            <w:gridSpan w:val="19"/>
            <w:tcBorders>
              <w:top w:val="single" w:color="auto" w:sz="4" w:space="0"/>
              <w:left w:val="nil"/>
              <w:bottom w:val="single" w:color="auto" w:sz="4" w:space="0"/>
              <w:right w:val="single" w:color="auto" w:sz="4" w:space="0"/>
            </w:tcBorders>
            <w:vAlign w:val="center"/>
          </w:tcPr>
          <w:p>
            <w:pPr>
              <w:widowControl/>
              <w:numPr>
                <w:ilvl w:val="0"/>
                <w:numId w:val="2"/>
              </w:num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执法过程繁琐。执法人员在现场执法是需要进行大量程序性操作，如填写执法笔录、拍摄照片等，这些操作可能会好的过多的时间，延缓了执法效率；</w:t>
            </w:r>
          </w:p>
          <w:p>
            <w:pPr>
              <w:widowControl/>
              <w:numPr>
                <w:ilvl w:val="0"/>
                <w:numId w:val="2"/>
              </w:num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执法证据不足。执法人员在现场执法是存在不能及时收集到足够的执法证据，导致执法结果的可信度不高；</w:t>
            </w:r>
          </w:p>
          <w:p>
            <w:pPr>
              <w:widowControl/>
              <w:numPr>
                <w:ilvl w:val="0"/>
                <w:numId w:val="2"/>
              </w:num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执法透明度不高。执法人员在现场执法时可能没有充分向当事人解释执法原因和执法结果，导致执法的透明度不高，容易引发纠纷；</w:t>
            </w:r>
          </w:p>
          <w:p>
            <w:pPr>
              <w:widowControl/>
              <w:numPr>
                <w:ilvl w:val="0"/>
                <w:numId w:val="2"/>
              </w:num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执法效果难以评估。执法过程往往是现场实时执法，难以进行全面的监督和评估，导致执法效果难以评估和改进。</w:t>
            </w:r>
          </w:p>
        </w:tc>
      </w:tr>
      <w:tr>
        <w:tblPrEx>
          <w:tblCellMar>
            <w:top w:w="0" w:type="dxa"/>
            <w:left w:w="28" w:type="dxa"/>
            <w:bottom w:w="0" w:type="dxa"/>
            <w:right w:w="28" w:type="dxa"/>
          </w:tblCellMar>
        </w:tblPrEx>
        <w:trPr>
          <w:trHeight w:val="2264" w:hRule="atLeast"/>
        </w:trPr>
        <w:tc>
          <w:tcPr>
            <w:tcW w:w="26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下一步改进意见</w:t>
            </w:r>
          </w:p>
        </w:tc>
        <w:tc>
          <w:tcPr>
            <w:tcW w:w="12929" w:type="dxa"/>
            <w:gridSpan w:val="19"/>
            <w:tcBorders>
              <w:top w:val="single" w:color="auto" w:sz="4" w:space="0"/>
              <w:left w:val="nil"/>
              <w:bottom w:val="single" w:color="auto" w:sz="4" w:space="0"/>
              <w:right w:val="single" w:color="auto" w:sz="4" w:space="0"/>
            </w:tcBorders>
            <w:vAlign w:val="center"/>
          </w:tcPr>
          <w:p>
            <w:pPr>
              <w:widowControl/>
              <w:numPr>
                <w:ilvl w:val="0"/>
                <w:numId w:val="3"/>
              </w:num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完善执法手段，简化执法程序。加强对执法手段的投入，完善执法手段，优化执法程序，提高执法效率，保障道路交通安全。</w:t>
            </w:r>
          </w:p>
          <w:p>
            <w:pPr>
              <w:widowControl/>
              <w:numPr>
                <w:numId w:val="0"/>
              </w:num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2、自觉接受社会监督，深化执法公示制。要大力推进执法公示，充分利用政府网站、新闻媒体、执法窗口等有效载体，将行政执法主</w:t>
            </w:r>
            <w:bookmarkStart w:id="0" w:name="_GoBack"/>
            <w:bookmarkEnd w:id="0"/>
            <w:r>
              <w:rPr>
                <w:rFonts w:hint="eastAsia" w:ascii="宋体" w:hAnsi="宋体" w:eastAsia="宋体" w:cs="宋体"/>
                <w:kern w:val="0"/>
                <w:sz w:val="24"/>
                <w:szCs w:val="24"/>
                <w:lang w:val="en-US" w:eastAsia="zh-CN"/>
              </w:rPr>
              <w:t>体、执法依据、执法职权、执法结果、等向社会公示，确保权力在阳光下运行，主动接受社会公众的监督。</w:t>
            </w:r>
          </w:p>
          <w:p>
            <w:pPr>
              <w:widowControl/>
              <w:numPr>
                <w:numId w:val="0"/>
              </w:num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加强执法监管。要促进形成更有效的监督机制，将事后外部监督与事前内部监督相结合，将查案纠错监督与超前防范监督相结合，将个案监督与全面监督相结合，推动形成行政执法监督的长效机制，保障执法公正、规范。</w:t>
            </w:r>
          </w:p>
        </w:tc>
      </w:tr>
    </w:tbl>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b w:val="0"/>
                              <w:bCs w:val="0"/>
                              <w:sz w:val="30"/>
                              <w:szCs w:val="30"/>
                              <w:lang w:eastAsia="zh-CN"/>
                            </w:rPr>
                            <w:fldChar w:fldCharType="begin"/>
                          </w:r>
                          <w:r>
                            <w:rPr>
                              <w:rFonts w:hint="eastAsia" w:ascii="仿宋_GB2312" w:hAnsi="仿宋_GB2312" w:eastAsia="仿宋_GB2312" w:cs="仿宋_GB2312"/>
                              <w:b w:val="0"/>
                              <w:bCs w:val="0"/>
                              <w:sz w:val="30"/>
                              <w:szCs w:val="30"/>
                              <w:lang w:eastAsia="zh-CN"/>
                            </w:rPr>
                            <w:instrText xml:space="preserve"> PAGE  \* MERGEFORMAT </w:instrText>
                          </w:r>
                          <w:r>
                            <w:rPr>
                              <w:rFonts w:hint="eastAsia" w:ascii="仿宋_GB2312" w:hAnsi="仿宋_GB2312" w:eastAsia="仿宋_GB2312" w:cs="仿宋_GB2312"/>
                              <w:b w:val="0"/>
                              <w:bCs w:val="0"/>
                              <w:sz w:val="30"/>
                              <w:szCs w:val="30"/>
                              <w:lang w:eastAsia="zh-CN"/>
                            </w:rPr>
                            <w:fldChar w:fldCharType="separate"/>
                          </w:r>
                          <w:r>
                            <w:rPr>
                              <w:rFonts w:hint="eastAsia" w:ascii="仿宋_GB2312" w:hAnsi="仿宋_GB2312" w:eastAsia="仿宋_GB2312" w:cs="仿宋_GB2312"/>
                              <w:b w:val="0"/>
                              <w:bCs w:val="0"/>
                              <w:sz w:val="30"/>
                              <w:szCs w:val="30"/>
                              <w:lang w:eastAsia="zh-CN"/>
                            </w:rPr>
                            <w:t>1</w:t>
                          </w:r>
                          <w:r>
                            <w:rPr>
                              <w:rFonts w:hint="eastAsia" w:ascii="仿宋_GB2312" w:hAnsi="仿宋_GB2312" w:eastAsia="仿宋_GB2312" w:cs="仿宋_GB2312"/>
                              <w:b w:val="0"/>
                              <w:bCs w:val="0"/>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b w:val="0"/>
                        <w:bCs w:val="0"/>
                        <w:sz w:val="30"/>
                        <w:szCs w:val="30"/>
                        <w:lang w:eastAsia="zh-CN"/>
                      </w:rPr>
                      <w:fldChar w:fldCharType="begin"/>
                    </w:r>
                    <w:r>
                      <w:rPr>
                        <w:rFonts w:hint="eastAsia" w:ascii="仿宋_GB2312" w:hAnsi="仿宋_GB2312" w:eastAsia="仿宋_GB2312" w:cs="仿宋_GB2312"/>
                        <w:b w:val="0"/>
                        <w:bCs w:val="0"/>
                        <w:sz w:val="30"/>
                        <w:szCs w:val="30"/>
                        <w:lang w:eastAsia="zh-CN"/>
                      </w:rPr>
                      <w:instrText xml:space="preserve"> PAGE  \* MERGEFORMAT </w:instrText>
                    </w:r>
                    <w:r>
                      <w:rPr>
                        <w:rFonts w:hint="eastAsia" w:ascii="仿宋_GB2312" w:hAnsi="仿宋_GB2312" w:eastAsia="仿宋_GB2312" w:cs="仿宋_GB2312"/>
                        <w:b w:val="0"/>
                        <w:bCs w:val="0"/>
                        <w:sz w:val="30"/>
                        <w:szCs w:val="30"/>
                        <w:lang w:eastAsia="zh-CN"/>
                      </w:rPr>
                      <w:fldChar w:fldCharType="separate"/>
                    </w:r>
                    <w:r>
                      <w:rPr>
                        <w:rFonts w:hint="eastAsia" w:ascii="仿宋_GB2312" w:hAnsi="仿宋_GB2312" w:eastAsia="仿宋_GB2312" w:cs="仿宋_GB2312"/>
                        <w:b w:val="0"/>
                        <w:bCs w:val="0"/>
                        <w:sz w:val="30"/>
                        <w:szCs w:val="30"/>
                        <w:lang w:eastAsia="zh-CN"/>
                      </w:rPr>
                      <w:t>1</w:t>
                    </w:r>
                    <w:r>
                      <w:rPr>
                        <w:rFonts w:hint="eastAsia" w:ascii="仿宋_GB2312" w:hAnsi="仿宋_GB2312" w:eastAsia="仿宋_GB2312" w:cs="仿宋_GB2312"/>
                        <w:b w:val="0"/>
                        <w:bCs w:val="0"/>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3CE4C"/>
    <w:multiLevelType w:val="singleLevel"/>
    <w:tmpl w:val="9483CE4C"/>
    <w:lvl w:ilvl="0" w:tentative="0">
      <w:start w:val="1"/>
      <w:numFmt w:val="decimal"/>
      <w:suff w:val="nothing"/>
      <w:lvlText w:val="%1、"/>
      <w:lvlJc w:val="left"/>
    </w:lvl>
  </w:abstractNum>
  <w:abstractNum w:abstractNumId="1">
    <w:nsid w:val="28CED0C6"/>
    <w:multiLevelType w:val="singleLevel"/>
    <w:tmpl w:val="28CED0C6"/>
    <w:lvl w:ilvl="0" w:tentative="0">
      <w:start w:val="1"/>
      <w:numFmt w:val="decimal"/>
      <w:suff w:val="nothing"/>
      <w:lvlText w:val="%1、"/>
      <w:lvlJc w:val="left"/>
    </w:lvl>
  </w:abstractNum>
  <w:abstractNum w:abstractNumId="2">
    <w:nsid w:val="3CCFDEEA"/>
    <w:multiLevelType w:val="singleLevel"/>
    <w:tmpl w:val="3CCFDEE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ZjgwMzY2ZmJjZDgzZjM2MGZiYzQ5YThlMmJlYWQifQ=="/>
  </w:docVars>
  <w:rsids>
    <w:rsidRoot w:val="524175C4"/>
    <w:rsid w:val="00F55858"/>
    <w:rsid w:val="011D3433"/>
    <w:rsid w:val="09F75FDB"/>
    <w:rsid w:val="0B267C63"/>
    <w:rsid w:val="0E485E4D"/>
    <w:rsid w:val="1340228E"/>
    <w:rsid w:val="14D266C1"/>
    <w:rsid w:val="15DC7CAB"/>
    <w:rsid w:val="18862F3B"/>
    <w:rsid w:val="18B207F9"/>
    <w:rsid w:val="2677074C"/>
    <w:rsid w:val="2E175813"/>
    <w:rsid w:val="2E825946"/>
    <w:rsid w:val="340355D0"/>
    <w:rsid w:val="39D24F94"/>
    <w:rsid w:val="3CC72A80"/>
    <w:rsid w:val="43C609F8"/>
    <w:rsid w:val="46731A57"/>
    <w:rsid w:val="46A95479"/>
    <w:rsid w:val="49055FA9"/>
    <w:rsid w:val="49382AE4"/>
    <w:rsid w:val="4EB4279B"/>
    <w:rsid w:val="524175C4"/>
    <w:rsid w:val="52650CB5"/>
    <w:rsid w:val="5307381F"/>
    <w:rsid w:val="56F616D2"/>
    <w:rsid w:val="5706139C"/>
    <w:rsid w:val="6AC65D4A"/>
    <w:rsid w:val="6BB51466"/>
    <w:rsid w:val="6CB33D8F"/>
    <w:rsid w:val="6F59718C"/>
    <w:rsid w:val="742F1F17"/>
    <w:rsid w:val="775748F9"/>
    <w:rsid w:val="794E7D81"/>
    <w:rsid w:val="7BC30D3A"/>
    <w:rsid w:val="7C1123E2"/>
    <w:rsid w:val="7DC9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qFormat/>
    <w:uiPriority w:val="99"/>
    <w:pPr>
      <w:widowControl w:val="0"/>
      <w:jc w:val="both"/>
    </w:pPr>
    <w:rPr>
      <w:rFonts w:ascii="宋体" w:cs="Courier New" w:hAnsiTheme="minorHAnsi" w:eastAsiaTheme="minorEastAsia"/>
      <w:kern w:val="2"/>
      <w:sz w:val="21"/>
      <w:szCs w:val="21"/>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customStyle="1" w:styleId="6">
    <w:name w:val="新正文"/>
    <w:qFormat/>
    <w:uiPriority w:val="99"/>
    <w:pPr>
      <w:widowControl w:val="0"/>
      <w:spacing w:line="600" w:lineRule="exact"/>
      <w:ind w:firstLine="880"/>
      <w:contextualSpacing/>
      <w:jc w:val="both"/>
    </w:pPr>
    <w:rPr>
      <w:rFonts w:ascii="Times New Roman" w:hAnsi="Times New Roman"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1863</Words>
  <Characters>1926</Characters>
  <Lines>0</Lines>
  <Paragraphs>0</Paragraphs>
  <TotalTime>9</TotalTime>
  <ScaleCrop>false</ScaleCrop>
  <LinksUpToDate>false</LinksUpToDate>
  <CharactersWithSpaces>2194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2022-10-12T08:36:00Z</dcterms:created>
  <dc:creator>奶茶</dc:creator>
  <cp:lastModifiedBy>Administrator</cp:lastModifiedBy>
  <cp:lastPrinted>2023-09-20T07:19:00Z</cp:lastPrinted>
  <dcterms:modified xsi:type="dcterms:W3CDTF">2023-10-27T08:36:21Z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72BF805467FC46D78753F20A389BFCBF</vt:lpwstr>
  </property>
</Properties>
</file>