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EA" w:rsidRDefault="00441B26">
      <w:pPr>
        <w:widowControl/>
        <w:tabs>
          <w:tab w:val="left" w:pos="770"/>
          <w:tab w:val="left" w:pos="1933"/>
          <w:tab w:val="left" w:pos="2813"/>
          <w:tab w:val="left" w:pos="3933"/>
          <w:tab w:val="left" w:pos="4733"/>
          <w:tab w:val="left" w:pos="5473"/>
          <w:tab w:val="left" w:pos="6493"/>
          <w:tab w:val="left" w:pos="7653"/>
          <w:tab w:val="left" w:pos="8933"/>
          <w:tab w:val="left" w:pos="9953"/>
          <w:tab w:val="left" w:pos="10933"/>
          <w:tab w:val="left" w:pos="12233"/>
          <w:tab w:val="left" w:pos="13393"/>
          <w:tab w:val="left" w:pos="14413"/>
          <w:tab w:val="left" w:pos="15433"/>
          <w:tab w:val="left" w:pos="16593"/>
          <w:tab w:val="left" w:pos="17753"/>
        </w:tabs>
        <w:spacing w:line="500" w:lineRule="exact"/>
        <w:jc w:val="left"/>
        <w:rPr>
          <w:rFonts w:ascii="黑体" w:eastAsia="黑体" w:hAnsi="宋体" w:cs="宋体"/>
          <w:kern w:val="0"/>
          <w:szCs w:val="32"/>
        </w:rPr>
      </w:pPr>
      <w:r>
        <w:rPr>
          <w:rFonts w:ascii="黑体" w:eastAsia="黑体" w:hAnsi="宋体" w:cs="宋体"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-104775</wp:posOffset>
                </wp:positionV>
                <wp:extent cx="200660" cy="63366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0660" cy="6336665"/>
                        </a:xfrm>
                        <a:prstGeom prst="rect">
                          <a:avLst/>
                        </a:prstGeom>
                        <a:noFill/>
                        <a:ln w="9525">
                          <a:noFill/>
                        </a:ln>
                      </wps:spPr>
                      <wps:txbx>
                        <w:txbxContent>
                          <w:p w:rsidR="00CD43EA" w:rsidRDefault="00441B26">
                            <w:pPr>
                              <w:wordWrap w:val="0"/>
                              <w:spacing w:line="360" w:lineRule="exact"/>
                              <w:jc w:val="right"/>
                              <w:rPr>
                                <w:rFonts w:ascii="宋体" w:eastAsia="宋体" w:hAnsi="宋体"/>
                                <w:sz w:val="28"/>
                                <w:szCs w:val="28"/>
                              </w:rPr>
                            </w:pPr>
                            <w:r>
                              <w:rPr>
                                <w:rFonts w:ascii="宋体" w:eastAsia="宋体" w:hAnsi="宋体" w:hint="eastAsia"/>
                                <w:sz w:val="28"/>
                                <w:szCs w:val="28"/>
                              </w:rPr>
                              <w:t xml:space="preserve"> </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8.05pt;margin-top:-8.25pt;width:15.8pt;height:49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" filled="f" stroked="f">
                <v:textbox style="layout-flow:vertical-ideographic" inset="0,0,0,0">
                  <w:txbxContent>
                    <w:p w:rsidR="00CD43EA" w:rsidRDefault="00441B26">
                      <w:pPr>
                        <w:wordWrap w:val="0"/>
                        <w:spacing w:line="360" w:lineRule="exact"/>
                        <w:jc w:val="right"/>
                        <w:rPr>
                          <w:rFonts w:ascii="宋体" w:eastAsia="宋体" w:hAnsi="宋体"/>
                          <w:sz w:val="28"/>
                          <w:szCs w:val="28"/>
                        </w:rPr>
                      </w:pPr>
                      <w:r>
                        <w:rPr>
                          <w:rFonts w:ascii="宋体" w:eastAsia="宋体" w:hAnsi="宋体" w:hint="eastAsia"/>
                          <w:sz w:val="28"/>
                          <w:szCs w:val="28"/>
                        </w:rPr>
                        <w:t xml:space="preserve"> </w:t>
                      </w:r>
                    </w:p>
                  </w:txbxContent>
                </v:textbox>
              </v:shape>
            </w:pict>
          </mc:Fallback>
        </mc:AlternateContent>
      </w:r>
      <w:r>
        <w:rPr>
          <w:rFonts w:ascii="黑体" w:eastAsia="黑体" w:hAnsi="宋体" w:cs="宋体" w:hint="eastAsia"/>
          <w:kern w:val="0"/>
          <w:sz w:val="24"/>
        </w:rPr>
        <w:t>附件：</w:t>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r>
        <w:rPr>
          <w:rFonts w:ascii="黑体" w:eastAsia="黑体" w:hAnsi="宋体" w:cs="宋体" w:hint="eastAsia"/>
          <w:kern w:val="0"/>
          <w:szCs w:val="32"/>
        </w:rPr>
        <w:tab/>
      </w:r>
    </w:p>
    <w:p w:rsidR="00CD43EA" w:rsidRDefault="00441B26">
      <w:pPr>
        <w:widowControl/>
        <w:spacing w:afterLines="20" w:after="62" w:line="500" w:lineRule="exact"/>
        <w:ind w:left="91"/>
        <w:jc w:val="center"/>
        <w:rPr>
          <w:rFonts w:ascii="黑体" w:eastAsia="黑体" w:hAnsi="宋体" w:cs="宋体"/>
          <w:bCs/>
          <w:kern w:val="0"/>
          <w:sz w:val="36"/>
          <w:szCs w:val="36"/>
        </w:rPr>
      </w:pPr>
      <w:r>
        <w:rPr>
          <w:rFonts w:ascii="黑体" w:eastAsia="黑体" w:hAnsi="宋体" w:cs="宋体" w:hint="eastAsia"/>
          <w:bCs/>
          <w:kern w:val="0"/>
          <w:sz w:val="36"/>
          <w:szCs w:val="36"/>
        </w:rPr>
        <w:t>项目资金绩效监控情况表</w:t>
      </w:r>
    </w:p>
    <w:p w:rsidR="00CD43EA" w:rsidRDefault="00441B26">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eastAsia="宋体" w:hAnsi="宋体" w:cs="宋体"/>
          <w:kern w:val="0"/>
          <w:sz w:val="18"/>
          <w:szCs w:val="18"/>
        </w:rPr>
      </w:pPr>
      <w:r>
        <w:rPr>
          <w:rFonts w:ascii="宋体" w:eastAsia="宋体" w:hAnsi="宋体" w:cs="宋体" w:hint="eastAsia"/>
          <w:kern w:val="0"/>
          <w:sz w:val="24"/>
        </w:rPr>
        <w:t>填报单位（盖章）</w:t>
      </w:r>
      <w:r>
        <w:rPr>
          <w:rFonts w:ascii="宋体" w:eastAsia="宋体" w:hAnsi="宋体" w:cs="宋体"/>
          <w:kern w:val="0"/>
          <w:sz w:val="18"/>
          <w:szCs w:val="18"/>
        </w:rPr>
        <w:tab/>
      </w:r>
    </w:p>
    <w:p w:rsidR="00CD43EA" w:rsidRDefault="00441B26">
      <w:pPr>
        <w:widowControl/>
        <w:tabs>
          <w:tab w:val="left" w:pos="1933"/>
          <w:tab w:val="left" w:pos="2813"/>
          <w:tab w:val="left" w:pos="3933"/>
          <w:tab w:val="left" w:pos="6493"/>
          <w:tab w:val="left" w:pos="7653"/>
          <w:tab w:val="left" w:pos="8933"/>
          <w:tab w:val="left" w:pos="9953"/>
          <w:tab w:val="left" w:pos="10933"/>
          <w:tab w:val="left" w:pos="12233"/>
          <w:tab w:val="left" w:pos="13393"/>
          <w:tab w:val="left" w:pos="14413"/>
          <w:tab w:val="left" w:pos="15433"/>
          <w:tab w:val="left" w:pos="16593"/>
          <w:tab w:val="left" w:pos="17753"/>
        </w:tabs>
        <w:snapToGrid w:val="0"/>
        <w:ind w:left="91"/>
        <w:jc w:val="left"/>
        <w:rPr>
          <w:rFonts w:ascii="宋体" w:eastAsia="宋体" w:hAnsi="宋体" w:cs="宋体"/>
          <w:kern w:val="0"/>
          <w:sz w:val="24"/>
        </w:rPr>
      </w:pP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r>
        <w:rPr>
          <w:rFonts w:ascii="宋体" w:eastAsia="宋体" w:hAnsi="宋体" w:cs="宋体"/>
          <w:kern w:val="0"/>
          <w:sz w:val="24"/>
        </w:rPr>
        <w:tab/>
      </w:r>
    </w:p>
    <w:tbl>
      <w:tblPr>
        <w:tblW w:w="15548" w:type="dxa"/>
        <w:tblInd w:w="-686" w:type="dxa"/>
        <w:tblLayout w:type="fixed"/>
        <w:tblCellMar>
          <w:left w:w="28" w:type="dxa"/>
          <w:right w:w="28" w:type="dxa"/>
        </w:tblCellMar>
        <w:tblLook w:val="04A0" w:firstRow="1" w:lastRow="0" w:firstColumn="1" w:lastColumn="0" w:noHBand="0" w:noVBand="1"/>
      </w:tblPr>
      <w:tblGrid>
        <w:gridCol w:w="1051"/>
        <w:gridCol w:w="125"/>
        <w:gridCol w:w="1443"/>
        <w:gridCol w:w="621"/>
        <w:gridCol w:w="61"/>
        <w:gridCol w:w="1034"/>
        <w:gridCol w:w="952"/>
        <w:gridCol w:w="734"/>
        <w:gridCol w:w="817"/>
        <w:gridCol w:w="744"/>
        <w:gridCol w:w="1161"/>
        <w:gridCol w:w="840"/>
        <w:gridCol w:w="735"/>
        <w:gridCol w:w="240"/>
        <w:gridCol w:w="895"/>
        <w:gridCol w:w="183"/>
        <w:gridCol w:w="1074"/>
        <w:gridCol w:w="61"/>
        <w:gridCol w:w="871"/>
        <w:gridCol w:w="426"/>
        <w:gridCol w:w="730"/>
        <w:gridCol w:w="750"/>
      </w:tblGrid>
      <w:tr w:rsidR="00CD43EA">
        <w:trPr>
          <w:trHeight w:val="789"/>
        </w:trPr>
        <w:tc>
          <w:tcPr>
            <w:tcW w:w="1051" w:type="dxa"/>
            <w:vMerge w:val="restart"/>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基本情况</w:t>
            </w: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项目名称</w:t>
            </w:r>
          </w:p>
        </w:tc>
        <w:tc>
          <w:tcPr>
            <w:tcW w:w="2720" w:type="dxa"/>
            <w:gridSpan w:val="3"/>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 xml:space="preserve">政法经费　</w:t>
            </w:r>
          </w:p>
        </w:tc>
        <w:tc>
          <w:tcPr>
            <w:tcW w:w="1561" w:type="dxa"/>
            <w:gridSpan w:val="2"/>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预算安排资金(万元)</w:t>
            </w:r>
          </w:p>
        </w:tc>
        <w:tc>
          <w:tcPr>
            <w:tcW w:w="2736" w:type="dxa"/>
            <w:gridSpan w:val="3"/>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 xml:space="preserve">153　</w:t>
            </w:r>
          </w:p>
        </w:tc>
        <w:tc>
          <w:tcPr>
            <w:tcW w:w="2392"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功能科目编码及名称</w:t>
            </w:r>
          </w:p>
        </w:tc>
        <w:tc>
          <w:tcPr>
            <w:tcW w:w="2838" w:type="dxa"/>
            <w:gridSpan w:val="5"/>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 xml:space="preserve">2013102一般行政管理事务　</w:t>
            </w:r>
          </w:p>
        </w:tc>
      </w:tr>
      <w:tr w:rsidR="00CD43EA">
        <w:trPr>
          <w:trHeight w:val="759"/>
        </w:trPr>
        <w:tc>
          <w:tcPr>
            <w:tcW w:w="1051" w:type="dxa"/>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项目实施单位</w:t>
            </w:r>
          </w:p>
        </w:tc>
        <w:tc>
          <w:tcPr>
            <w:tcW w:w="2720" w:type="dxa"/>
            <w:gridSpan w:val="3"/>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 xml:space="preserve">　中共益阳市大通湖区委政法委员会</w:t>
            </w:r>
          </w:p>
        </w:tc>
        <w:tc>
          <w:tcPr>
            <w:tcW w:w="1561" w:type="dxa"/>
            <w:gridSpan w:val="2"/>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项目类型</w:t>
            </w:r>
          </w:p>
        </w:tc>
        <w:tc>
          <w:tcPr>
            <w:tcW w:w="2736" w:type="dxa"/>
            <w:gridSpan w:val="3"/>
            <w:tcBorders>
              <w:top w:val="single" w:sz="4" w:space="0" w:color="auto"/>
              <w:left w:val="nil"/>
              <w:bottom w:val="single" w:sz="4" w:space="0" w:color="auto"/>
              <w:right w:val="single" w:sz="4" w:space="0" w:color="auto"/>
            </w:tcBorders>
            <w:vAlign w:val="center"/>
          </w:tcPr>
          <w:p w:rsidR="00CD43EA" w:rsidRDefault="00441B26">
            <w:pPr>
              <w:widowControl/>
              <w:rPr>
                <w:rFonts w:ascii="宋体" w:eastAsia="宋体" w:hAnsi="宋体" w:cs="宋体"/>
                <w:kern w:val="0"/>
                <w:sz w:val="24"/>
              </w:rPr>
            </w:pPr>
            <w:r>
              <w:rPr>
                <w:rFonts w:ascii="宋体" w:eastAsia="宋体" w:hAnsi="宋体" w:cs="宋体" w:hint="eastAsia"/>
                <w:kern w:val="0"/>
                <w:sz w:val="24"/>
              </w:rPr>
              <w:t xml:space="preserve">延续项目☑  新增项目□ </w:t>
            </w:r>
          </w:p>
        </w:tc>
        <w:tc>
          <w:tcPr>
            <w:tcW w:w="1135" w:type="dxa"/>
            <w:gridSpan w:val="2"/>
            <w:tcBorders>
              <w:top w:val="nil"/>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联络人：</w:t>
            </w:r>
          </w:p>
        </w:tc>
        <w:tc>
          <w:tcPr>
            <w:tcW w:w="1257" w:type="dxa"/>
            <w:gridSpan w:val="2"/>
            <w:tcBorders>
              <w:top w:val="nil"/>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 xml:space="preserve">万辉　</w:t>
            </w:r>
          </w:p>
        </w:tc>
        <w:tc>
          <w:tcPr>
            <w:tcW w:w="1358" w:type="dxa"/>
            <w:gridSpan w:val="3"/>
            <w:tcBorders>
              <w:top w:val="nil"/>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联系电话：</w:t>
            </w:r>
          </w:p>
        </w:tc>
        <w:tc>
          <w:tcPr>
            <w:tcW w:w="1480" w:type="dxa"/>
            <w:gridSpan w:val="2"/>
            <w:tcBorders>
              <w:top w:val="nil"/>
              <w:left w:val="nil"/>
              <w:bottom w:val="single" w:sz="4" w:space="0" w:color="auto"/>
              <w:right w:val="single" w:sz="4" w:space="0" w:color="auto"/>
            </w:tcBorders>
            <w:vAlign w:val="center"/>
          </w:tcPr>
          <w:p w:rsidR="00CD43EA" w:rsidRDefault="00441B26">
            <w:pPr>
              <w:widowControl/>
              <w:jc w:val="left"/>
              <w:rPr>
                <w:rFonts w:ascii="宋体" w:eastAsia="宋体" w:hAnsi="宋体" w:cs="宋体"/>
                <w:kern w:val="0"/>
                <w:sz w:val="24"/>
              </w:rPr>
            </w:pPr>
            <w:r>
              <w:rPr>
                <w:rFonts w:ascii="宋体" w:eastAsia="宋体" w:hAnsi="宋体" w:cs="宋体" w:hint="eastAsia"/>
                <w:kern w:val="0"/>
                <w:sz w:val="24"/>
              </w:rPr>
              <w:t>15907375155</w:t>
            </w:r>
          </w:p>
        </w:tc>
      </w:tr>
      <w:tr w:rsidR="00CD43EA">
        <w:trPr>
          <w:trHeight w:val="910"/>
        </w:trPr>
        <w:tc>
          <w:tcPr>
            <w:tcW w:w="1051" w:type="dxa"/>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项目概况</w:t>
            </w:r>
          </w:p>
        </w:tc>
        <w:tc>
          <w:tcPr>
            <w:tcW w:w="12247" w:type="dxa"/>
            <w:gridSpan w:val="17"/>
            <w:tcBorders>
              <w:top w:val="single" w:sz="4" w:space="0" w:color="auto"/>
              <w:left w:val="nil"/>
              <w:bottom w:val="single" w:sz="4" w:space="0" w:color="auto"/>
              <w:right w:val="single" w:sz="4" w:space="0" w:color="auto"/>
            </w:tcBorders>
            <w:vAlign w:val="center"/>
          </w:tcPr>
          <w:p w:rsidR="00CD43EA" w:rsidRDefault="00441B26">
            <w:pPr>
              <w:widowControl/>
              <w:rPr>
                <w:rFonts w:ascii="仿宋_GB2312" w:hAnsi="宋体" w:cs="宋体"/>
                <w:kern w:val="0"/>
                <w:sz w:val="24"/>
              </w:rPr>
            </w:pPr>
            <w:r>
              <w:rPr>
                <w:rFonts w:ascii="仿宋_GB2312" w:hAnsi="宋体" w:cs="宋体" w:hint="eastAsia"/>
                <w:kern w:val="0"/>
                <w:sz w:val="24"/>
              </w:rPr>
              <w:t>涉法涉诉、维稳救助、司法救助基金、见义勇为、扫黑除恶、人民防线经费。</w:t>
            </w:r>
          </w:p>
        </w:tc>
      </w:tr>
      <w:tr w:rsidR="00CD43EA">
        <w:trPr>
          <w:trHeight w:val="698"/>
        </w:trPr>
        <w:tc>
          <w:tcPr>
            <w:tcW w:w="1051" w:type="dxa"/>
            <w:vMerge w:val="restart"/>
            <w:tcBorders>
              <w:top w:val="nil"/>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项目组织管理情况</w:t>
            </w: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是否实施招投标</w:t>
            </w:r>
          </w:p>
        </w:tc>
        <w:tc>
          <w:tcPr>
            <w:tcW w:w="2720" w:type="dxa"/>
            <w:gridSpan w:val="3"/>
            <w:tcBorders>
              <w:top w:val="single" w:sz="4" w:space="0" w:color="auto"/>
              <w:left w:val="nil"/>
              <w:bottom w:val="single" w:sz="4" w:space="0" w:color="auto"/>
              <w:right w:val="single" w:sz="4" w:space="0" w:color="auto"/>
            </w:tcBorders>
            <w:vAlign w:val="center"/>
          </w:tcPr>
          <w:p w:rsidR="00CD43EA" w:rsidRDefault="00441B26">
            <w:pPr>
              <w:widowControl/>
              <w:rPr>
                <w:rFonts w:ascii="宋体" w:eastAsia="宋体" w:hAnsi="宋体" w:cs="宋体"/>
                <w:kern w:val="0"/>
                <w:sz w:val="24"/>
              </w:rPr>
            </w:pPr>
            <w:r>
              <w:rPr>
                <w:rFonts w:ascii="宋体" w:eastAsia="宋体" w:hAnsi="宋体" w:cs="宋体" w:hint="eastAsia"/>
                <w:kern w:val="0"/>
                <w:sz w:val="24"/>
              </w:rPr>
              <w:t>□是 □否 ☑无该项内容</w:t>
            </w:r>
          </w:p>
        </w:tc>
        <w:tc>
          <w:tcPr>
            <w:tcW w:w="1561" w:type="dxa"/>
            <w:gridSpan w:val="2"/>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是否实施政府采购</w:t>
            </w:r>
          </w:p>
        </w:tc>
        <w:tc>
          <w:tcPr>
            <w:tcW w:w="7966" w:type="dxa"/>
            <w:gridSpan w:val="12"/>
            <w:tcBorders>
              <w:top w:val="single" w:sz="4" w:space="0" w:color="auto"/>
              <w:left w:val="nil"/>
              <w:bottom w:val="single" w:sz="4" w:space="0" w:color="auto"/>
              <w:right w:val="single" w:sz="4" w:space="0" w:color="auto"/>
            </w:tcBorders>
            <w:vAlign w:val="center"/>
          </w:tcPr>
          <w:p w:rsidR="00CD43EA" w:rsidRDefault="00441B26">
            <w:pPr>
              <w:widowControl/>
              <w:jc w:val="left"/>
              <w:rPr>
                <w:rFonts w:ascii="宋体" w:eastAsia="宋体" w:hAnsi="宋体" w:cs="宋体"/>
                <w:kern w:val="0"/>
                <w:sz w:val="24"/>
              </w:rPr>
            </w:pPr>
            <w:r>
              <w:rPr>
                <w:rFonts w:ascii="宋体" w:eastAsia="宋体" w:hAnsi="宋体" w:cs="宋体" w:hint="eastAsia"/>
                <w:kern w:val="0"/>
                <w:sz w:val="24"/>
              </w:rPr>
              <w:t xml:space="preserve">    □是　           □否               ☑无该项内容</w:t>
            </w:r>
          </w:p>
        </w:tc>
      </w:tr>
      <w:tr w:rsidR="00CD43EA">
        <w:trPr>
          <w:trHeight w:val="778"/>
        </w:trPr>
        <w:tc>
          <w:tcPr>
            <w:tcW w:w="1051" w:type="dxa"/>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是否实行合同管理制</w:t>
            </w:r>
          </w:p>
        </w:tc>
        <w:tc>
          <w:tcPr>
            <w:tcW w:w="2720" w:type="dxa"/>
            <w:gridSpan w:val="3"/>
            <w:tcBorders>
              <w:top w:val="single" w:sz="4" w:space="0" w:color="auto"/>
              <w:left w:val="nil"/>
              <w:bottom w:val="single" w:sz="4" w:space="0" w:color="auto"/>
              <w:right w:val="single" w:sz="4" w:space="0" w:color="auto"/>
            </w:tcBorders>
            <w:vAlign w:val="center"/>
          </w:tcPr>
          <w:p w:rsidR="00CD43EA" w:rsidRDefault="00441B26">
            <w:pPr>
              <w:widowControl/>
              <w:rPr>
                <w:rFonts w:ascii="宋体" w:eastAsia="宋体" w:hAnsi="宋体" w:cs="宋体"/>
                <w:kern w:val="0"/>
                <w:sz w:val="24"/>
              </w:rPr>
            </w:pPr>
            <w:r>
              <w:rPr>
                <w:rFonts w:ascii="宋体" w:eastAsia="宋体" w:hAnsi="宋体" w:cs="宋体" w:hint="eastAsia"/>
                <w:kern w:val="0"/>
                <w:sz w:val="24"/>
              </w:rPr>
              <w:t>□是 □否 ☑无该项内容</w:t>
            </w:r>
          </w:p>
        </w:tc>
        <w:tc>
          <w:tcPr>
            <w:tcW w:w="1561" w:type="dxa"/>
            <w:gridSpan w:val="2"/>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采购金额</w:t>
            </w:r>
          </w:p>
        </w:tc>
        <w:tc>
          <w:tcPr>
            <w:tcW w:w="7966" w:type="dxa"/>
            <w:gridSpan w:val="12"/>
            <w:tcBorders>
              <w:top w:val="single" w:sz="4" w:space="0" w:color="auto"/>
              <w:left w:val="nil"/>
              <w:bottom w:val="single" w:sz="4" w:space="0" w:color="auto"/>
              <w:right w:val="single" w:sz="4" w:space="0" w:color="auto"/>
            </w:tcBorders>
            <w:vAlign w:val="center"/>
          </w:tcPr>
          <w:p w:rsidR="00CD43EA" w:rsidRDefault="00441B26">
            <w:pPr>
              <w:widowControl/>
              <w:jc w:val="left"/>
              <w:rPr>
                <w:rFonts w:ascii="宋体" w:eastAsia="宋体" w:hAnsi="宋体" w:cs="宋体"/>
                <w:kern w:val="0"/>
                <w:sz w:val="24"/>
              </w:rPr>
            </w:pPr>
            <w:r>
              <w:rPr>
                <w:rFonts w:ascii="宋体" w:eastAsia="宋体" w:hAnsi="宋体" w:cs="宋体" w:hint="eastAsia"/>
                <w:kern w:val="0"/>
                <w:sz w:val="24"/>
              </w:rPr>
              <w:t>应采购金额</w:t>
            </w:r>
            <w:r>
              <w:rPr>
                <w:rFonts w:ascii="宋体" w:eastAsia="宋体" w:hAnsi="宋体" w:cs="宋体" w:hint="eastAsia"/>
                <w:kern w:val="0"/>
                <w:sz w:val="24"/>
                <w:u w:val="single"/>
              </w:rPr>
              <w:t xml:space="preserve">         </w:t>
            </w:r>
            <w:r>
              <w:rPr>
                <w:rFonts w:ascii="宋体" w:eastAsia="宋体" w:hAnsi="宋体" w:cs="宋体" w:hint="eastAsia"/>
                <w:kern w:val="0"/>
                <w:sz w:val="24"/>
              </w:rPr>
              <w:t>万元   实际采购金额</w:t>
            </w:r>
            <w:r>
              <w:rPr>
                <w:rFonts w:ascii="宋体" w:eastAsia="宋体" w:hAnsi="宋体" w:cs="宋体" w:hint="eastAsia"/>
                <w:kern w:val="0"/>
                <w:sz w:val="24"/>
                <w:u w:val="single"/>
              </w:rPr>
              <w:t xml:space="preserve">        </w:t>
            </w:r>
            <w:r>
              <w:rPr>
                <w:rFonts w:ascii="宋体" w:eastAsia="宋体" w:hAnsi="宋体" w:cs="宋体" w:hint="eastAsia"/>
                <w:kern w:val="0"/>
                <w:sz w:val="24"/>
              </w:rPr>
              <w:t>万元   ☑无该项内容</w:t>
            </w:r>
          </w:p>
        </w:tc>
      </w:tr>
      <w:tr w:rsidR="00CD43EA">
        <w:trPr>
          <w:trHeight w:val="687"/>
        </w:trPr>
        <w:tc>
          <w:tcPr>
            <w:tcW w:w="1051" w:type="dxa"/>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项目调整内容及报批程序和手续</w:t>
            </w:r>
          </w:p>
        </w:tc>
        <w:tc>
          <w:tcPr>
            <w:tcW w:w="12247" w:type="dxa"/>
            <w:gridSpan w:val="17"/>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仿宋_GB2312" w:hAnsi="宋体" w:cs="宋体"/>
                <w:kern w:val="0"/>
                <w:sz w:val="24"/>
              </w:rPr>
            </w:pPr>
            <w:r>
              <w:rPr>
                <w:rFonts w:ascii="宋体" w:eastAsia="宋体" w:hAnsi="宋体" w:cs="宋体" w:hint="eastAsia"/>
                <w:kern w:val="0"/>
                <w:sz w:val="24"/>
              </w:rPr>
              <w:t>经手人（办、室经办人）填制报账单及票据→证明人（办、室负责人）签字→单位审核人（分管领导）签字→会计审核→会审复核→出纳支付，专项开支经党组会议研究确定后再按程序办理。</w:t>
            </w:r>
            <w:r>
              <w:rPr>
                <w:rFonts w:ascii="仿宋_GB2312" w:hAnsi="宋体" w:cs="宋体" w:hint="eastAsia"/>
                <w:kern w:val="0"/>
                <w:sz w:val="24"/>
              </w:rPr>
              <w:t xml:space="preserve">　</w:t>
            </w:r>
          </w:p>
        </w:tc>
      </w:tr>
      <w:tr w:rsidR="00CD43EA">
        <w:trPr>
          <w:trHeight w:val="578"/>
        </w:trPr>
        <w:tc>
          <w:tcPr>
            <w:tcW w:w="1051" w:type="dxa"/>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单位已有的（或拟订的）保证项目实施的制度、措施</w:t>
            </w:r>
          </w:p>
        </w:tc>
        <w:tc>
          <w:tcPr>
            <w:tcW w:w="12247" w:type="dxa"/>
            <w:gridSpan w:val="17"/>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仿宋_GB2312" w:hAnsi="宋体" w:cs="宋体"/>
                <w:kern w:val="0"/>
                <w:sz w:val="24"/>
              </w:rPr>
            </w:pPr>
            <w:r>
              <w:rPr>
                <w:rFonts w:ascii="宋体" w:eastAsia="宋体" w:hAnsi="宋体" w:cs="宋体" w:hint="eastAsia"/>
                <w:kern w:val="0"/>
                <w:sz w:val="24"/>
              </w:rPr>
              <w:t>专项资金管理严格按照《中华人民共和国预算法》、《湖南省财政厅关于印发&lt;2019-2021年省级专项资金清单&gt;的通知》等有关法律法规和规定执行。</w:t>
            </w:r>
            <w:r>
              <w:rPr>
                <w:rFonts w:ascii="仿宋_GB2312" w:hAnsi="宋体" w:cs="宋体" w:hint="eastAsia"/>
                <w:kern w:val="0"/>
                <w:sz w:val="24"/>
              </w:rPr>
              <w:t xml:space="preserve">　</w:t>
            </w:r>
          </w:p>
        </w:tc>
      </w:tr>
      <w:tr w:rsidR="00CD43EA">
        <w:trPr>
          <w:trHeight w:val="673"/>
        </w:trPr>
        <w:tc>
          <w:tcPr>
            <w:tcW w:w="1051" w:type="dxa"/>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宋体" w:eastAsia="宋体" w:hAnsi="宋体" w:cs="宋体"/>
                <w:kern w:val="0"/>
                <w:sz w:val="24"/>
              </w:rPr>
            </w:pPr>
          </w:p>
        </w:tc>
        <w:tc>
          <w:tcPr>
            <w:tcW w:w="2250"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具体工作措施</w:t>
            </w:r>
          </w:p>
        </w:tc>
        <w:tc>
          <w:tcPr>
            <w:tcW w:w="12247" w:type="dxa"/>
            <w:gridSpan w:val="17"/>
            <w:tcBorders>
              <w:top w:val="single" w:sz="4" w:space="0" w:color="auto"/>
              <w:left w:val="nil"/>
              <w:bottom w:val="single" w:sz="4" w:space="0" w:color="auto"/>
              <w:right w:val="single" w:sz="4" w:space="0" w:color="auto"/>
            </w:tcBorders>
            <w:vAlign w:val="center"/>
          </w:tcPr>
          <w:p w:rsidR="00CD43EA" w:rsidRPr="00CD2B17" w:rsidRDefault="006E0795" w:rsidP="00CD2B17">
            <w:pPr>
              <w:pStyle w:val="ab"/>
              <w:overflowPunct w:val="0"/>
              <w:spacing w:before="0" w:beforeAutospacing="0" w:after="0" w:afterAutospacing="0" w:line="300" w:lineRule="exact"/>
              <w:jc w:val="both"/>
              <w:rPr>
                <w:rFonts w:ascii="宋体" w:hAnsi="宋体" w:cs="宋体" w:hint="eastAsia"/>
              </w:rPr>
            </w:pPr>
            <w:r>
              <w:rPr>
                <w:rFonts w:ascii="宋体" w:hAnsi="宋体" w:cs="宋体" w:hint="eastAsia"/>
              </w:rPr>
              <w:t>明确</w:t>
            </w:r>
            <w:r>
              <w:rPr>
                <w:rFonts w:ascii="宋体" w:hAnsi="宋体" w:cs="宋体"/>
              </w:rPr>
              <w:t>运行经费开支范围，坚持专款专用原则，并根据</w:t>
            </w:r>
            <w:r>
              <w:rPr>
                <w:rFonts w:ascii="宋体" w:hAnsi="宋体" w:cs="宋体" w:hint="eastAsia"/>
              </w:rPr>
              <w:t>实际</w:t>
            </w:r>
            <w:r>
              <w:rPr>
                <w:rFonts w:ascii="宋体" w:hAnsi="宋体" w:cs="宋体"/>
              </w:rPr>
              <w:t>需要</w:t>
            </w:r>
            <w:r>
              <w:rPr>
                <w:rFonts w:ascii="宋体" w:hAnsi="宋体" w:cs="宋体" w:hint="eastAsia"/>
              </w:rPr>
              <w:t>制定</w:t>
            </w:r>
            <w:r>
              <w:rPr>
                <w:rFonts w:ascii="宋体" w:hAnsi="宋体" w:cs="宋体"/>
              </w:rPr>
              <w:t>经费预算，确保每一笔经费的使用符合预算要求，符合预算资金使用进度</w:t>
            </w:r>
            <w:r>
              <w:rPr>
                <w:rFonts w:ascii="宋体" w:hAnsi="宋体" w:cs="宋体" w:hint="eastAsia"/>
              </w:rPr>
              <w:t>，</w:t>
            </w:r>
            <w:r>
              <w:rPr>
                <w:rFonts w:ascii="宋体" w:hAnsi="宋体" w:cs="宋体"/>
              </w:rPr>
              <w:t>完善</w:t>
            </w:r>
            <w:r>
              <w:rPr>
                <w:rFonts w:ascii="宋体" w:hAnsi="宋体" w:cs="宋体" w:hint="eastAsia"/>
              </w:rPr>
              <w:t>预算</w:t>
            </w:r>
            <w:r>
              <w:rPr>
                <w:rFonts w:ascii="宋体" w:hAnsi="宋体" w:cs="宋体"/>
              </w:rPr>
              <w:t>编制、审核</w:t>
            </w:r>
            <w:r>
              <w:rPr>
                <w:rFonts w:ascii="宋体" w:hAnsi="宋体" w:cs="宋体" w:hint="eastAsia"/>
              </w:rPr>
              <w:t>、</w:t>
            </w:r>
            <w:r>
              <w:rPr>
                <w:rFonts w:ascii="宋体" w:hAnsi="宋体" w:cs="宋体"/>
              </w:rPr>
              <w:t>执行体系，统一</w:t>
            </w:r>
            <w:r>
              <w:rPr>
                <w:rFonts w:ascii="宋体" w:hAnsi="宋体" w:cs="宋体" w:hint="eastAsia"/>
              </w:rPr>
              <w:t>监控</w:t>
            </w:r>
            <w:r>
              <w:rPr>
                <w:rFonts w:ascii="宋体" w:hAnsi="宋体" w:cs="宋体"/>
              </w:rPr>
              <w:t>经费支出，对</w:t>
            </w:r>
            <w:r>
              <w:rPr>
                <w:rFonts w:ascii="宋体" w:hAnsi="宋体" w:cs="宋体" w:hint="eastAsia"/>
              </w:rPr>
              <w:t>于申请</w:t>
            </w:r>
            <w:r>
              <w:rPr>
                <w:rFonts w:ascii="宋体" w:hAnsi="宋体" w:cs="宋体"/>
              </w:rPr>
              <w:t>不规范的经费支出，进行严格审核</w:t>
            </w:r>
            <w:r>
              <w:rPr>
                <w:rFonts w:ascii="宋体" w:hAnsi="宋体" w:cs="宋体" w:hint="eastAsia"/>
              </w:rPr>
              <w:t>和</w:t>
            </w:r>
            <w:r>
              <w:rPr>
                <w:rFonts w:ascii="宋体" w:hAnsi="宋体" w:cs="宋体"/>
              </w:rPr>
              <w:t>纠正，公用经费按照轻重缓</w:t>
            </w:r>
            <w:r>
              <w:rPr>
                <w:rFonts w:ascii="宋体" w:hAnsi="宋体" w:cs="宋体" w:hint="eastAsia"/>
              </w:rPr>
              <w:t>急</w:t>
            </w:r>
            <w:r>
              <w:rPr>
                <w:rFonts w:ascii="宋体" w:hAnsi="宋体" w:cs="宋体"/>
              </w:rPr>
              <w:t>，统筹兼顾原则安排，优先保障</w:t>
            </w:r>
            <w:r>
              <w:rPr>
                <w:rFonts w:ascii="宋体" w:hAnsi="宋体" w:cs="宋体" w:hint="eastAsia"/>
              </w:rPr>
              <w:t>运行</w:t>
            </w:r>
            <w:r>
              <w:rPr>
                <w:rFonts w:ascii="宋体" w:hAnsi="宋体" w:cs="宋体"/>
              </w:rPr>
              <w:t>经费。</w:t>
            </w:r>
            <w:bookmarkStart w:id="0" w:name="_GoBack"/>
            <w:bookmarkEnd w:id="0"/>
          </w:p>
        </w:tc>
      </w:tr>
      <w:tr w:rsidR="00CD43EA">
        <w:trPr>
          <w:trHeight w:val="930"/>
        </w:trPr>
        <w:tc>
          <w:tcPr>
            <w:tcW w:w="15548" w:type="dxa"/>
            <w:gridSpan w:val="2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lastRenderedPageBreak/>
              <w:t>分 季 度 执 行 情 况 （一）</w:t>
            </w:r>
          </w:p>
        </w:tc>
      </w:tr>
      <w:tr w:rsidR="00CD43EA">
        <w:trPr>
          <w:trHeight w:val="705"/>
        </w:trPr>
        <w:tc>
          <w:tcPr>
            <w:tcW w:w="1176" w:type="dxa"/>
            <w:gridSpan w:val="2"/>
            <w:vMerge w:val="restart"/>
            <w:tcBorders>
              <w:top w:val="nil"/>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资金安排使用情况（万元）</w:t>
            </w:r>
          </w:p>
        </w:tc>
        <w:tc>
          <w:tcPr>
            <w:tcW w:w="2064"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CD43EA" w:rsidRDefault="00CD43EA">
            <w:pPr>
              <w:widowControl/>
              <w:jc w:val="center"/>
              <w:rPr>
                <w:rFonts w:asciiTheme="minorEastAsia" w:hAnsiTheme="minorEastAsia" w:cstheme="minorEastAsia"/>
                <w:kern w:val="0"/>
                <w:sz w:val="24"/>
              </w:rPr>
            </w:pP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全年安排资金额</w:t>
            </w:r>
          </w:p>
        </w:tc>
        <w:tc>
          <w:tcPr>
            <w:tcW w:w="3247" w:type="dxa"/>
            <w:gridSpan w:val="4"/>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第1季度</w:t>
            </w:r>
          </w:p>
        </w:tc>
        <w:tc>
          <w:tcPr>
            <w:tcW w:w="4054" w:type="dxa"/>
            <w:gridSpan w:val="6"/>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1-2季度</w:t>
            </w:r>
          </w:p>
        </w:tc>
        <w:tc>
          <w:tcPr>
            <w:tcW w:w="3912" w:type="dxa"/>
            <w:gridSpan w:val="6"/>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1-3季度</w:t>
            </w:r>
          </w:p>
        </w:tc>
      </w:tr>
      <w:tr w:rsidR="00CD43EA">
        <w:trPr>
          <w:trHeight w:val="1451"/>
        </w:trPr>
        <w:tc>
          <w:tcPr>
            <w:tcW w:w="1176" w:type="dxa"/>
            <w:gridSpan w:val="2"/>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952"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已到位资金（万元）</w:t>
            </w:r>
          </w:p>
        </w:tc>
        <w:tc>
          <w:tcPr>
            <w:tcW w:w="734"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到位率</w:t>
            </w:r>
          </w:p>
        </w:tc>
        <w:tc>
          <w:tcPr>
            <w:tcW w:w="817"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实际支</w:t>
            </w:r>
          </w:p>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出资金(万元)</w:t>
            </w:r>
          </w:p>
        </w:tc>
        <w:tc>
          <w:tcPr>
            <w:tcW w:w="744"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支出实现率</w:t>
            </w:r>
          </w:p>
        </w:tc>
        <w:tc>
          <w:tcPr>
            <w:tcW w:w="1161"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已到位资金(万元)</w:t>
            </w:r>
          </w:p>
        </w:tc>
        <w:tc>
          <w:tcPr>
            <w:tcW w:w="840"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到位率</w:t>
            </w:r>
          </w:p>
        </w:tc>
        <w:tc>
          <w:tcPr>
            <w:tcW w:w="975" w:type="dxa"/>
            <w:gridSpan w:val="2"/>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实际支</w:t>
            </w:r>
          </w:p>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出资金(万元)</w:t>
            </w:r>
          </w:p>
        </w:tc>
        <w:tc>
          <w:tcPr>
            <w:tcW w:w="1078" w:type="dxa"/>
            <w:gridSpan w:val="2"/>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支出实现率</w:t>
            </w:r>
          </w:p>
        </w:tc>
        <w:tc>
          <w:tcPr>
            <w:tcW w:w="1135" w:type="dxa"/>
            <w:gridSpan w:val="2"/>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累计已到位资金（万元）</w:t>
            </w:r>
          </w:p>
        </w:tc>
        <w:tc>
          <w:tcPr>
            <w:tcW w:w="871"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到位率</w:t>
            </w:r>
          </w:p>
        </w:tc>
        <w:tc>
          <w:tcPr>
            <w:tcW w:w="1156" w:type="dxa"/>
            <w:gridSpan w:val="2"/>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实际支</w:t>
            </w:r>
          </w:p>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出资金</w:t>
            </w:r>
          </w:p>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(万元)</w:t>
            </w:r>
          </w:p>
        </w:tc>
        <w:tc>
          <w:tcPr>
            <w:tcW w:w="750" w:type="dxa"/>
            <w:tcBorders>
              <w:top w:val="nil"/>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支出</w:t>
            </w:r>
          </w:p>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实现率</w:t>
            </w:r>
          </w:p>
        </w:tc>
      </w:tr>
      <w:tr w:rsidR="00CD43EA">
        <w:trPr>
          <w:trHeight w:val="745"/>
        </w:trPr>
        <w:tc>
          <w:tcPr>
            <w:tcW w:w="1176" w:type="dxa"/>
            <w:gridSpan w:val="2"/>
            <w:vMerge/>
            <w:tcBorders>
              <w:top w:val="nil"/>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资金总额 (=1+2+3)</w:t>
            </w:r>
          </w:p>
        </w:tc>
        <w:tc>
          <w:tcPr>
            <w:tcW w:w="1095" w:type="dxa"/>
            <w:gridSpan w:val="2"/>
            <w:tcBorders>
              <w:top w:val="single" w:sz="4" w:space="0" w:color="auto"/>
              <w:left w:val="nil"/>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153　</w:t>
            </w:r>
          </w:p>
        </w:tc>
        <w:tc>
          <w:tcPr>
            <w:tcW w:w="952"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734"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100%</w:t>
            </w:r>
          </w:p>
        </w:tc>
        <w:tc>
          <w:tcPr>
            <w:tcW w:w="817"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4.16</w:t>
            </w:r>
          </w:p>
        </w:tc>
        <w:tc>
          <w:tcPr>
            <w:tcW w:w="744"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2.72%</w:t>
            </w:r>
          </w:p>
        </w:tc>
        <w:tc>
          <w:tcPr>
            <w:tcW w:w="1161"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840"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100%</w:t>
            </w:r>
          </w:p>
        </w:tc>
        <w:tc>
          <w:tcPr>
            <w:tcW w:w="975" w:type="dxa"/>
            <w:gridSpan w:val="2"/>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8.87</w:t>
            </w:r>
          </w:p>
        </w:tc>
        <w:tc>
          <w:tcPr>
            <w:tcW w:w="1078" w:type="dxa"/>
            <w:gridSpan w:val="2"/>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5.8%</w:t>
            </w:r>
          </w:p>
        </w:tc>
        <w:tc>
          <w:tcPr>
            <w:tcW w:w="1135" w:type="dxa"/>
            <w:gridSpan w:val="2"/>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871"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100%</w:t>
            </w:r>
          </w:p>
        </w:tc>
        <w:tc>
          <w:tcPr>
            <w:tcW w:w="1156" w:type="dxa"/>
            <w:gridSpan w:val="2"/>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12.53</w:t>
            </w:r>
          </w:p>
        </w:tc>
        <w:tc>
          <w:tcPr>
            <w:tcW w:w="750" w:type="dxa"/>
            <w:tcBorders>
              <w:top w:val="nil"/>
              <w:left w:val="nil"/>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8.19%</w:t>
            </w:r>
          </w:p>
        </w:tc>
      </w:tr>
      <w:tr w:rsidR="00CD43EA">
        <w:trPr>
          <w:trHeight w:val="765"/>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其中：1.财政拨款 </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100%</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4.16</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2.72%</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100%</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8.87</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5.8%</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153</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100%</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12.53</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8.19%</w:t>
            </w:r>
          </w:p>
        </w:tc>
      </w:tr>
      <w:tr w:rsidR="00CD43EA">
        <w:trPr>
          <w:trHeight w:val="685"/>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2.自有资金  </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D43EA">
        <w:trPr>
          <w:trHeight w:val="715"/>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rPr>
                <w:rFonts w:asciiTheme="minorEastAsia" w:hAnsiTheme="minorEastAsia" w:cstheme="minorEastAsia"/>
                <w:kern w:val="0"/>
                <w:sz w:val="24"/>
              </w:rPr>
            </w:pPr>
            <w:r>
              <w:rPr>
                <w:rFonts w:asciiTheme="minorEastAsia" w:hAnsiTheme="minorEastAsia" w:cstheme="minorEastAsia" w:hint="eastAsia"/>
                <w:kern w:val="0"/>
                <w:sz w:val="24"/>
              </w:rPr>
              <w:t xml:space="preserve">  其中:事业收入</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D43EA">
        <w:trPr>
          <w:trHeight w:val="553"/>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right"/>
              <w:rPr>
                <w:rFonts w:asciiTheme="minorEastAsia" w:hAnsiTheme="minorEastAsia" w:cstheme="minorEastAsia"/>
                <w:kern w:val="0"/>
                <w:sz w:val="24"/>
              </w:rPr>
            </w:pPr>
            <w:r>
              <w:rPr>
                <w:rFonts w:asciiTheme="minorEastAsia" w:hAnsiTheme="minorEastAsia" w:cstheme="minorEastAsia" w:hint="eastAsia"/>
                <w:kern w:val="0"/>
                <w:sz w:val="24"/>
              </w:rPr>
              <w:t xml:space="preserve"> 经营性收入</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D43EA">
        <w:trPr>
          <w:trHeight w:val="654"/>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其他</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D43EA">
        <w:trPr>
          <w:trHeight w:val="674"/>
        </w:trPr>
        <w:tc>
          <w:tcPr>
            <w:tcW w:w="1176" w:type="dxa"/>
            <w:gridSpan w:val="2"/>
            <w:vMerge/>
            <w:tcBorders>
              <w:top w:val="single" w:sz="4" w:space="0" w:color="auto"/>
              <w:left w:val="single" w:sz="4" w:space="0" w:color="auto"/>
              <w:bottom w:val="single" w:sz="4" w:space="0" w:color="auto"/>
              <w:right w:val="single" w:sz="4" w:space="0" w:color="auto"/>
            </w:tcBorders>
            <w:vAlign w:val="center"/>
          </w:tcPr>
          <w:p w:rsidR="00CD43EA" w:rsidRDefault="00CD43EA">
            <w:pPr>
              <w:widowControl/>
              <w:jc w:val="left"/>
              <w:rPr>
                <w:rFonts w:asciiTheme="minorEastAsia" w:hAnsiTheme="minorEastAsia" w:cstheme="minorEastAsia"/>
                <w:kern w:val="0"/>
                <w:sz w:val="24"/>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3.其他 </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52"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3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44"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871"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D43EA">
        <w:trPr>
          <w:trHeight w:val="1194"/>
        </w:trPr>
        <w:tc>
          <w:tcPr>
            <w:tcW w:w="15548" w:type="dxa"/>
            <w:gridSpan w:val="22"/>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b/>
                <w:bCs/>
                <w:kern w:val="0"/>
                <w:sz w:val="24"/>
              </w:rPr>
            </w:pPr>
            <w:r>
              <w:rPr>
                <w:rFonts w:ascii="宋体" w:eastAsia="宋体" w:hAnsi="宋体" w:cs="宋体" w:hint="eastAsia"/>
                <w:b/>
                <w:bCs/>
                <w:kern w:val="0"/>
                <w:sz w:val="24"/>
              </w:rPr>
              <w:lastRenderedPageBreak/>
              <w:t>监    控    报    告</w:t>
            </w:r>
          </w:p>
        </w:tc>
      </w:tr>
      <w:tr w:rsidR="00CD43EA">
        <w:trPr>
          <w:trHeight w:val="2739"/>
        </w:trPr>
        <w:tc>
          <w:tcPr>
            <w:tcW w:w="2619" w:type="dxa"/>
            <w:gridSpan w:val="3"/>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产出成果</w:t>
            </w:r>
          </w:p>
        </w:tc>
        <w:tc>
          <w:tcPr>
            <w:tcW w:w="12929" w:type="dxa"/>
            <w:gridSpan w:val="19"/>
            <w:tcBorders>
              <w:top w:val="single" w:sz="4" w:space="0" w:color="auto"/>
              <w:left w:val="nil"/>
              <w:bottom w:val="single" w:sz="4" w:space="0" w:color="auto"/>
              <w:right w:val="single" w:sz="4" w:space="0" w:color="auto"/>
            </w:tcBorders>
            <w:vAlign w:val="center"/>
          </w:tcPr>
          <w:p w:rsidR="00CD43EA" w:rsidRPr="00A50A8E" w:rsidRDefault="00A50A8E" w:rsidP="00A50A8E">
            <w:pPr>
              <w:pStyle w:val="a6"/>
              <w:spacing w:line="400" w:lineRule="exact"/>
              <w:ind w:firstLineChars="200" w:firstLine="420"/>
              <w:rPr>
                <w:rFonts w:ascii="方正仿宋_GB2312" w:eastAsia="方正仿宋_GB2312" w:hAnsi="方正仿宋_GB2312" w:cs="方正仿宋_GB2312"/>
                <w:kern w:val="0"/>
                <w:szCs w:val="21"/>
              </w:rPr>
            </w:pPr>
            <w:r w:rsidRPr="00A50A8E">
              <w:rPr>
                <w:rFonts w:ascii="方正仿宋_GB2312" w:eastAsia="方正仿宋_GB2312" w:hAnsi="方正仿宋_GB2312" w:cs="方正仿宋_GB2312" w:hint="eastAsia"/>
                <w:kern w:val="0"/>
                <w:szCs w:val="21"/>
              </w:rPr>
              <w:t>2022年，</w:t>
            </w:r>
            <w:r w:rsidRPr="00A50A8E">
              <w:rPr>
                <w:rFonts w:ascii="仿宋" w:eastAsia="仿宋" w:hAnsi="仿宋" w:cs="仿宋" w:hint="eastAsia"/>
                <w:szCs w:val="21"/>
              </w:rPr>
              <w:t>大通湖区委政法委认真学习贯彻习近平新时代中国特色社会主义思想，全力落实中央、省、市、区各项工作部署，同全区人民一起，战疫情、抗旱情、保稳定、促发展，严厉打击社会治安违法犯罪，多元化解社会矛盾，社会治安持续向好，社会大局持续稳定。</w:t>
            </w:r>
            <w:r w:rsidRPr="00A50A8E">
              <w:rPr>
                <w:rFonts w:ascii="方正仿宋_GB2312" w:eastAsia="方正仿宋_GB2312" w:hAnsi="方正仿宋_GB2312" w:cs="方正仿宋_GB2312" w:hint="eastAsia"/>
                <w:kern w:val="0"/>
                <w:szCs w:val="21"/>
              </w:rPr>
              <w:t>2022年</w:t>
            </w:r>
            <w:r w:rsidRPr="00A50A8E">
              <w:rPr>
                <w:rFonts w:eastAsia="仿宋" w:hint="eastAsia"/>
                <w:szCs w:val="21"/>
              </w:rPr>
              <w:t>我区信访部门和责任单位的及时受理率、群众满意率均达到了</w:t>
            </w:r>
            <w:r w:rsidRPr="00A50A8E">
              <w:rPr>
                <w:rFonts w:eastAsia="仿宋" w:hint="eastAsia"/>
                <w:szCs w:val="21"/>
              </w:rPr>
              <w:t>100%</w:t>
            </w:r>
            <w:r w:rsidRPr="00A50A8E">
              <w:rPr>
                <w:rFonts w:eastAsia="仿宋" w:hint="eastAsia"/>
                <w:szCs w:val="21"/>
              </w:rPr>
              <w:t>，按期答复率</w:t>
            </w:r>
            <w:r w:rsidRPr="00A50A8E">
              <w:rPr>
                <w:rFonts w:eastAsia="仿宋" w:hint="eastAsia"/>
                <w:szCs w:val="21"/>
              </w:rPr>
              <w:t>100%</w:t>
            </w:r>
            <w:r w:rsidRPr="00A50A8E">
              <w:rPr>
                <w:rFonts w:eastAsia="仿宋" w:hint="eastAsia"/>
                <w:szCs w:val="21"/>
              </w:rPr>
              <w:t>，</w:t>
            </w:r>
            <w:r w:rsidRPr="00A50A8E">
              <w:rPr>
                <w:rFonts w:ascii="仿宋_GB2312" w:eastAsia="仿宋_GB2312" w:hAnsi="仿宋_GB2312" w:cs="仿宋_GB2312" w:hint="eastAsia"/>
                <w:szCs w:val="21"/>
              </w:rPr>
              <w:t>实现</w:t>
            </w:r>
            <w:r w:rsidRPr="00A50A8E">
              <w:rPr>
                <w:rFonts w:ascii="仿宋_GB2312" w:eastAsia="仿宋_GB2312" w:hAnsi="仿宋_GB2312" w:cs="仿宋_GB2312" w:hint="eastAsia"/>
                <w:snapToGrid w:val="0"/>
                <w:szCs w:val="21"/>
              </w:rPr>
              <w:t>连续4年进京零非访，全区社会大局持续稳定，</w:t>
            </w:r>
            <w:r w:rsidRPr="00A50A8E">
              <w:rPr>
                <w:rFonts w:ascii="方正仿宋_GB2312" w:eastAsia="方正仿宋_GB2312" w:hAnsi="方正仿宋_GB2312" w:cs="方正仿宋_GB2312" w:hint="eastAsia"/>
                <w:kern w:val="0"/>
                <w:szCs w:val="21"/>
              </w:rPr>
              <w:t>我区</w:t>
            </w:r>
            <w:r w:rsidRPr="00A50A8E">
              <w:rPr>
                <w:rFonts w:ascii="仿宋" w:eastAsia="仿宋" w:hAnsi="仿宋" w:cs="仿宋" w:hint="eastAsia"/>
                <w:szCs w:val="21"/>
              </w:rPr>
              <w:t>反诈APP注册率38.31%，排名全市第2</w:t>
            </w:r>
            <w:r w:rsidRPr="00A50A8E">
              <w:rPr>
                <w:rFonts w:ascii="方正仿宋_GB2312" w:eastAsia="方正仿宋_GB2312" w:hAnsi="方正仿宋_GB2312" w:cs="方正仿宋_GB2312" w:hint="eastAsia"/>
                <w:kern w:val="0"/>
                <w:szCs w:val="21"/>
              </w:rPr>
              <w:t>，</w:t>
            </w:r>
            <w:r w:rsidRPr="00A50A8E">
              <w:rPr>
                <w:rFonts w:ascii="仿宋_GB2312" w:eastAsia="仿宋_GB2312" w:hAnsi="仿宋_GB2312" w:cs="仿宋_GB2312" w:hint="eastAsia"/>
                <w:bCs/>
                <w:szCs w:val="21"/>
              </w:rPr>
              <w:t>区人民法院“一站式”诉讼服务体系考核一直排名全省第一，已连续三年排名全省第一。</w:t>
            </w:r>
            <w:r w:rsidRPr="00A50A8E">
              <w:rPr>
                <w:rFonts w:ascii="方正仿宋_GB2312" w:eastAsia="方正仿宋_GB2312" w:hAnsi="方正仿宋_GB2312" w:cs="方正仿宋_GB2312" w:hint="eastAsia"/>
                <w:kern w:val="0"/>
                <w:szCs w:val="21"/>
              </w:rPr>
              <w:t>区法院</w:t>
            </w:r>
            <w:r w:rsidRPr="00A50A8E">
              <w:rPr>
                <w:rFonts w:ascii="仿宋_GB2312" w:eastAsia="仿宋_GB2312" w:hAnsi="仿宋_GB2312" w:cs="仿宋_GB2312" w:hint="eastAsia"/>
                <w:bCs/>
                <w:szCs w:val="21"/>
              </w:rPr>
              <w:t>执行工作在全省第三类法院考核排名第一、全市第一。</w:t>
            </w:r>
            <w:r w:rsidRPr="00A50A8E">
              <w:rPr>
                <w:rFonts w:ascii="仿宋" w:eastAsia="仿宋" w:hAnsi="仿宋" w:cs="仿宋" w:hint="eastAsia"/>
                <w:szCs w:val="21"/>
              </w:rPr>
              <w:t>乡村治安智能化建设不断提升，新建“雪亮工程”后续工程193个公共安全视频探头，全区共697个，上线率97.2%，全市第一；“六进六护”联通的摄像头1882个，接入率128%，全市第二。</w:t>
            </w:r>
            <w:r w:rsidRPr="00A50A8E">
              <w:rPr>
                <w:rFonts w:ascii="方正仿宋_GB2312" w:eastAsia="方正仿宋_GB2312" w:hAnsi="方正仿宋_GB2312" w:cs="方正仿宋_GB2312" w:hint="eastAsia"/>
                <w:kern w:val="0"/>
                <w:szCs w:val="21"/>
              </w:rPr>
              <w:t>通过开展“两法衔接”、网格化执行、深化平安乡村创建等工作，我区人民的幸福感及安全感大大提升，营商环境不断增强，公众服务满意率与政府机构满意率均达到95%以上。</w:t>
            </w:r>
          </w:p>
        </w:tc>
      </w:tr>
      <w:tr w:rsidR="00CD43EA">
        <w:trPr>
          <w:trHeight w:val="1940"/>
        </w:trPr>
        <w:tc>
          <w:tcPr>
            <w:tcW w:w="2619" w:type="dxa"/>
            <w:gridSpan w:val="3"/>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t>存在的问题</w:t>
            </w:r>
          </w:p>
        </w:tc>
        <w:tc>
          <w:tcPr>
            <w:tcW w:w="12929" w:type="dxa"/>
            <w:gridSpan w:val="19"/>
            <w:tcBorders>
              <w:top w:val="single" w:sz="4" w:space="0" w:color="auto"/>
              <w:left w:val="nil"/>
              <w:bottom w:val="single" w:sz="4" w:space="0" w:color="auto"/>
              <w:right w:val="single" w:sz="4" w:space="0" w:color="auto"/>
            </w:tcBorders>
            <w:vAlign w:val="center"/>
          </w:tcPr>
          <w:p w:rsidR="00CD43EA" w:rsidRPr="00A50A8E" w:rsidRDefault="00A50A8E" w:rsidP="00A50A8E">
            <w:pPr>
              <w:widowControl/>
              <w:ind w:firstLineChars="150" w:firstLine="315"/>
              <w:rPr>
                <w:rFonts w:ascii="仿宋_GB2312" w:eastAsia="仿宋_GB2312" w:hAnsi="仿宋_GB2312" w:cs="仿宋_GB2312"/>
                <w:bCs/>
                <w:szCs w:val="21"/>
              </w:rPr>
            </w:pPr>
            <w:r w:rsidRPr="00A50A8E">
              <w:rPr>
                <w:rFonts w:ascii="仿宋_GB2312" w:eastAsia="仿宋_GB2312" w:hAnsi="仿宋_GB2312" w:cs="仿宋_GB2312" w:hint="eastAsia"/>
                <w:bCs/>
                <w:szCs w:val="21"/>
              </w:rPr>
              <w:t>对各项指标进行细化、量化等方面还需进一步加强，将绩效自评成果全面运用到预算支出管理工作实际中还不够深入。</w:t>
            </w:r>
          </w:p>
        </w:tc>
      </w:tr>
      <w:tr w:rsidR="00CD43EA">
        <w:trPr>
          <w:trHeight w:val="2264"/>
        </w:trPr>
        <w:tc>
          <w:tcPr>
            <w:tcW w:w="2619" w:type="dxa"/>
            <w:gridSpan w:val="3"/>
            <w:tcBorders>
              <w:top w:val="single" w:sz="4" w:space="0" w:color="auto"/>
              <w:left w:val="single" w:sz="4" w:space="0" w:color="auto"/>
              <w:bottom w:val="single" w:sz="4" w:space="0" w:color="auto"/>
              <w:right w:val="single" w:sz="4" w:space="0" w:color="auto"/>
            </w:tcBorders>
            <w:vAlign w:val="center"/>
          </w:tcPr>
          <w:p w:rsidR="00CD43EA" w:rsidRDefault="00441B26">
            <w:pPr>
              <w:widowControl/>
              <w:jc w:val="center"/>
              <w:rPr>
                <w:rFonts w:ascii="宋体" w:eastAsia="宋体" w:hAnsi="宋体" w:cs="宋体"/>
                <w:kern w:val="0"/>
                <w:sz w:val="24"/>
              </w:rPr>
            </w:pPr>
            <w:r>
              <w:rPr>
                <w:rFonts w:ascii="宋体" w:eastAsia="宋体" w:hAnsi="宋体" w:cs="宋体" w:hint="eastAsia"/>
                <w:kern w:val="0"/>
                <w:sz w:val="24"/>
              </w:rPr>
              <w:lastRenderedPageBreak/>
              <w:t>下一步改进意见</w:t>
            </w:r>
          </w:p>
        </w:tc>
        <w:tc>
          <w:tcPr>
            <w:tcW w:w="12929" w:type="dxa"/>
            <w:gridSpan w:val="19"/>
            <w:tcBorders>
              <w:top w:val="single" w:sz="4" w:space="0" w:color="auto"/>
              <w:left w:val="nil"/>
              <w:bottom w:val="single" w:sz="4" w:space="0" w:color="auto"/>
              <w:right w:val="single" w:sz="4" w:space="0" w:color="auto"/>
            </w:tcBorders>
            <w:vAlign w:val="center"/>
          </w:tcPr>
          <w:p w:rsidR="00A50A8E" w:rsidRPr="00A50A8E" w:rsidRDefault="00A50A8E" w:rsidP="00A50A8E">
            <w:pPr>
              <w:pStyle w:val="a8"/>
              <w:spacing w:line="400" w:lineRule="exact"/>
              <w:rPr>
                <w:rFonts w:eastAsia="仿宋"/>
                <w:szCs w:val="21"/>
              </w:rPr>
            </w:pPr>
            <w:r w:rsidRPr="00A50A8E">
              <w:rPr>
                <w:rFonts w:eastAsia="仿宋" w:hint="eastAsia"/>
                <w:szCs w:val="21"/>
              </w:rPr>
              <w:t>1.</w:t>
            </w:r>
            <w:r w:rsidRPr="00A50A8E">
              <w:rPr>
                <w:rFonts w:eastAsia="仿宋" w:hint="eastAsia"/>
                <w:szCs w:val="21"/>
              </w:rPr>
              <w:t>压实绩效自评工作责任，促进机关预算绩效管理工作水平不断提升。结合工作实际，认真研究制定绩效自评工作规程，不断提高机关预算绩效管理工作水平，做好业务工作和预算绩效管理工作的深度融合，不断深化绩效自评结果的应用，在提高资金使用效益的同时促进机关运行效率的提升。</w:t>
            </w:r>
          </w:p>
          <w:p w:rsidR="00A50A8E" w:rsidRPr="00A50A8E" w:rsidRDefault="00A50A8E" w:rsidP="00A50A8E">
            <w:pPr>
              <w:pStyle w:val="a8"/>
              <w:spacing w:line="400" w:lineRule="exact"/>
              <w:rPr>
                <w:rFonts w:eastAsia="仿宋"/>
                <w:szCs w:val="21"/>
              </w:rPr>
            </w:pPr>
            <w:r w:rsidRPr="00A50A8E">
              <w:rPr>
                <w:rFonts w:eastAsia="仿宋" w:hint="eastAsia"/>
                <w:szCs w:val="21"/>
              </w:rPr>
              <w:t>2.</w:t>
            </w:r>
            <w:r w:rsidRPr="00A50A8E">
              <w:rPr>
                <w:rFonts w:eastAsia="仿宋" w:hint="eastAsia"/>
                <w:szCs w:val="21"/>
              </w:rPr>
              <w:t>持续推进机关信息化建设工作。加强信息化工作力量的配备，做好与相关部门的沟通协调，创新工作方式方法，持续有力推进信息化建设工作。</w:t>
            </w:r>
          </w:p>
          <w:p w:rsidR="00A50A8E" w:rsidRPr="00A50A8E" w:rsidRDefault="00A50A8E" w:rsidP="00A50A8E">
            <w:pPr>
              <w:pStyle w:val="a8"/>
              <w:spacing w:line="400" w:lineRule="exact"/>
              <w:rPr>
                <w:rFonts w:eastAsia="仿宋"/>
                <w:szCs w:val="21"/>
              </w:rPr>
            </w:pPr>
            <w:r w:rsidRPr="00A50A8E">
              <w:rPr>
                <w:rFonts w:eastAsia="仿宋" w:hint="eastAsia"/>
                <w:szCs w:val="21"/>
              </w:rPr>
              <w:t>3.</w:t>
            </w:r>
            <w:r w:rsidRPr="00A50A8E">
              <w:rPr>
                <w:rFonts w:eastAsia="仿宋" w:hint="eastAsia"/>
                <w:szCs w:val="21"/>
              </w:rPr>
              <w:t>夯实机关财务工作基础。抓好财务人员的学习培训，进一步提高其业务能力和综合素养，实现财务工作的标准化、流程化，进一步提升工作效率和工作质量。</w:t>
            </w:r>
          </w:p>
          <w:p w:rsidR="00CD43EA" w:rsidRPr="00A50A8E" w:rsidRDefault="00CD43EA" w:rsidP="00A50A8E">
            <w:pPr>
              <w:widowControl/>
              <w:spacing w:line="400" w:lineRule="exact"/>
              <w:jc w:val="center"/>
              <w:rPr>
                <w:rFonts w:ascii="Times New Roman" w:eastAsia="仿宋" w:hAnsi="Times New Roman" w:cs="Times New Roman"/>
                <w:szCs w:val="21"/>
              </w:rPr>
            </w:pPr>
          </w:p>
        </w:tc>
      </w:tr>
    </w:tbl>
    <w:p w:rsidR="00CD43EA" w:rsidRDefault="00CD43EA"/>
    <w:sectPr w:rsidR="00CD43EA">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E8" w:rsidRDefault="00C858E8">
      <w:r>
        <w:separator/>
      </w:r>
    </w:p>
  </w:endnote>
  <w:endnote w:type="continuationSeparator" w:id="0">
    <w:p w:rsidR="00C858E8" w:rsidRDefault="00C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EA" w:rsidRDefault="00441B2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43EA" w:rsidRDefault="00441B26">
                          <w:pPr>
                            <w:pStyle w:val="a4"/>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6E0795">
                            <w:rPr>
                              <w:rFonts w:ascii="仿宋_GB2312" w:eastAsia="仿宋_GB2312" w:hAnsi="仿宋_GB2312" w:cs="仿宋_GB2312"/>
                              <w:noProof/>
                              <w:sz w:val="30"/>
                              <w:szCs w:val="30"/>
                            </w:rPr>
                            <w:t>- 1 -</w:t>
                          </w:r>
                          <w:r>
                            <w:rPr>
                              <w:rFonts w:ascii="仿宋_GB2312" w:eastAsia="仿宋_GB2312" w:hAnsi="仿宋_GB2312" w:cs="仿宋_GB2312"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IpxZQIAABgFAAAOAAAAAAAAAAAAAAAAAC4CAABkcnMvZTJvRG9j&#10;LnhtbFBLAQItABQABgAIAAAAIQBxqtG51wAAAAUBAAAPAAAAAAAAAAAAAAAAAL8EAABkcnMvZG93&#10;bnJldi54bWxQSwUGAAAAAAQABADzAAAAwwUAAAAA&#10;" filled="f" stroked="f" strokeweight=".5pt">
              <v:textbox style="mso-fit-shape-to-text:t" inset="0,0,0,0">
                <w:txbxContent>
                  <w:p w:rsidR="00CD43EA" w:rsidRDefault="00441B26">
                    <w:pPr>
                      <w:pStyle w:val="a4"/>
                    </w:pP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6E0795">
                      <w:rPr>
                        <w:rFonts w:ascii="仿宋_GB2312" w:eastAsia="仿宋_GB2312" w:hAnsi="仿宋_GB2312" w:cs="仿宋_GB2312"/>
                        <w:noProof/>
                        <w:sz w:val="30"/>
                        <w:szCs w:val="30"/>
                      </w:rPr>
                      <w:t>- 1 -</w:t>
                    </w:r>
                    <w:r>
                      <w:rPr>
                        <w:rFonts w:ascii="仿宋_GB2312" w:eastAsia="仿宋_GB2312" w:hAnsi="仿宋_GB2312" w:cs="仿宋_GB2312"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E8" w:rsidRDefault="00C858E8">
      <w:r>
        <w:separator/>
      </w:r>
    </w:p>
  </w:footnote>
  <w:footnote w:type="continuationSeparator" w:id="0">
    <w:p w:rsidR="00C858E8" w:rsidRDefault="00C8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mExMTBhOGVkYThmNzFkY2UyZGRlNmE4ZjA0ZTMifQ=="/>
  </w:docVars>
  <w:rsids>
    <w:rsidRoot w:val="524175C4"/>
    <w:rsid w:val="00181223"/>
    <w:rsid w:val="00441B26"/>
    <w:rsid w:val="006E0795"/>
    <w:rsid w:val="00876673"/>
    <w:rsid w:val="008C6D92"/>
    <w:rsid w:val="00A50A8E"/>
    <w:rsid w:val="00C858E8"/>
    <w:rsid w:val="00CD2B17"/>
    <w:rsid w:val="00CD43EA"/>
    <w:rsid w:val="00DF3D0A"/>
    <w:rsid w:val="00F55858"/>
    <w:rsid w:val="011D3433"/>
    <w:rsid w:val="0B267C63"/>
    <w:rsid w:val="0E485E4D"/>
    <w:rsid w:val="0FD461A0"/>
    <w:rsid w:val="1340228E"/>
    <w:rsid w:val="160D6484"/>
    <w:rsid w:val="170F2A2D"/>
    <w:rsid w:val="18862F3B"/>
    <w:rsid w:val="1ACF6C96"/>
    <w:rsid w:val="2677074C"/>
    <w:rsid w:val="2E175813"/>
    <w:rsid w:val="31CE7B45"/>
    <w:rsid w:val="3348575B"/>
    <w:rsid w:val="39D24F94"/>
    <w:rsid w:val="3CC72A80"/>
    <w:rsid w:val="43C609F8"/>
    <w:rsid w:val="49055FA9"/>
    <w:rsid w:val="49382AE4"/>
    <w:rsid w:val="50520F1D"/>
    <w:rsid w:val="524175C4"/>
    <w:rsid w:val="52650CB5"/>
    <w:rsid w:val="52805AA0"/>
    <w:rsid w:val="5307381F"/>
    <w:rsid w:val="53C441A7"/>
    <w:rsid w:val="56F616D2"/>
    <w:rsid w:val="5706139C"/>
    <w:rsid w:val="635E597A"/>
    <w:rsid w:val="6AC65D4A"/>
    <w:rsid w:val="6CB33D8F"/>
    <w:rsid w:val="742F1F17"/>
    <w:rsid w:val="794E7D81"/>
    <w:rsid w:val="7BC30D3A"/>
    <w:rsid w:val="7DC9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02998A"/>
  <w15:docId w15:val="{795F9648-5A8D-421B-B8CC-18E39657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uiPriority w:val="99"/>
    <w:qFormat/>
    <w:pPr>
      <w:widowControl w:val="0"/>
      <w:jc w:val="both"/>
    </w:pPr>
    <w:rPr>
      <w:rFonts w:ascii="宋体" w:cs="Courier New"/>
      <w:kern w:val="2"/>
      <w:sz w:val="21"/>
      <w:szCs w:val="21"/>
    </w:rPr>
  </w:style>
  <w:style w:type="paragraph" w:styleId="a4">
    <w:name w:val="footer"/>
    <w:qFormat/>
    <w:pPr>
      <w:widowControl w:val="0"/>
      <w:tabs>
        <w:tab w:val="center" w:pos="4153"/>
        <w:tab w:val="right" w:pos="8306"/>
      </w:tabs>
      <w:snapToGrid w:val="0"/>
    </w:pPr>
    <w:rPr>
      <w:kern w:val="2"/>
      <w:sz w:val="18"/>
      <w:szCs w:val="24"/>
    </w:rPr>
  </w:style>
  <w:style w:type="paragraph" w:customStyle="1" w:styleId="a5">
    <w:name w:val="新正文"/>
    <w:uiPriority w:val="99"/>
    <w:qFormat/>
    <w:pPr>
      <w:widowControl w:val="0"/>
      <w:spacing w:line="600" w:lineRule="exact"/>
      <w:ind w:firstLine="880"/>
      <w:contextualSpacing/>
      <w:jc w:val="both"/>
    </w:pPr>
    <w:rPr>
      <w:rFonts w:ascii="Times New Roman" w:hAnsi="Times New Roman"/>
      <w:kern w:val="2"/>
      <w:sz w:val="21"/>
      <w:szCs w:val="24"/>
    </w:rPr>
  </w:style>
  <w:style w:type="paragraph" w:styleId="a6">
    <w:name w:val="Body Text"/>
    <w:basedOn w:val="a"/>
    <w:link w:val="a7"/>
    <w:qFormat/>
    <w:rsid w:val="00A50A8E"/>
    <w:pPr>
      <w:spacing w:after="120"/>
    </w:pPr>
    <w:rPr>
      <w:rFonts w:ascii="Times New Roman" w:eastAsia="宋体" w:hAnsi="Times New Roman" w:cs="Times New Roman"/>
    </w:rPr>
  </w:style>
  <w:style w:type="character" w:customStyle="1" w:styleId="a7">
    <w:name w:val="正文文本 字符"/>
    <w:basedOn w:val="a0"/>
    <w:link w:val="a6"/>
    <w:rsid w:val="00A50A8E"/>
    <w:rPr>
      <w:rFonts w:ascii="Times New Roman" w:eastAsia="宋体" w:hAnsi="Times New Roman" w:cs="Times New Roman"/>
      <w:kern w:val="2"/>
      <w:sz w:val="21"/>
      <w:szCs w:val="24"/>
    </w:rPr>
  </w:style>
  <w:style w:type="paragraph" w:styleId="a8">
    <w:name w:val="Normal Indent"/>
    <w:basedOn w:val="a"/>
    <w:qFormat/>
    <w:rsid w:val="00A50A8E"/>
    <w:pPr>
      <w:ind w:firstLineChars="200" w:firstLine="420"/>
    </w:pPr>
    <w:rPr>
      <w:rFonts w:ascii="Times New Roman" w:eastAsia="宋体" w:hAnsi="Times New Roman" w:cs="Times New Roman"/>
    </w:rPr>
  </w:style>
  <w:style w:type="paragraph" w:styleId="a9">
    <w:name w:val="header"/>
    <w:basedOn w:val="a"/>
    <w:link w:val="aa"/>
    <w:rsid w:val="008C6D9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8C6D92"/>
    <w:rPr>
      <w:kern w:val="2"/>
      <w:sz w:val="18"/>
      <w:szCs w:val="18"/>
    </w:rPr>
  </w:style>
  <w:style w:type="paragraph" w:styleId="ab">
    <w:name w:val="Normal (Web)"/>
    <w:basedOn w:val="a"/>
    <w:qFormat/>
    <w:rsid w:val="008C6D92"/>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311</Words>
  <Characters>1773</Characters>
  <Application>Microsoft Office Word</Application>
  <DocSecurity>0</DocSecurity>
  <Lines>14</Lines>
  <Paragraphs>4</Paragraphs>
  <ScaleCrop>false</ScaleCrop>
  <Company>DoubleOX</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奶茶</dc:creator>
  <cp:lastModifiedBy>Administrator</cp:lastModifiedBy>
  <cp:revision>9</cp:revision>
  <cp:lastPrinted>2023-09-20T07:19:00Z</cp:lastPrinted>
  <dcterms:created xsi:type="dcterms:W3CDTF">2022-10-12T08:36:00Z</dcterms:created>
  <dcterms:modified xsi:type="dcterms:W3CDTF">2023-11-24T02:57:00Z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186563FEF4344B41B204614AB9A23E39_13</vt:lpwstr>
  </property>
</Properties>
</file>