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0"/>
          <w:tab w:val="left" w:pos="1933"/>
          <w:tab w:val="left" w:pos="2813"/>
          <w:tab w:val="left" w:pos="3933"/>
          <w:tab w:val="left" w:pos="4733"/>
          <w:tab w:val="left" w:pos="5473"/>
          <w:tab w:val="left" w:pos="6493"/>
          <w:tab w:val="left" w:pos="7653"/>
          <w:tab w:val="left" w:pos="8933"/>
          <w:tab w:val="left" w:pos="9953"/>
          <w:tab w:val="left" w:pos="10933"/>
          <w:tab w:val="left" w:pos="12233"/>
          <w:tab w:val="left" w:pos="13393"/>
          <w:tab w:val="left" w:pos="14413"/>
          <w:tab w:val="left" w:pos="15433"/>
          <w:tab w:val="left" w:pos="16593"/>
          <w:tab w:val="left" w:pos="17753"/>
        </w:tabs>
        <w:spacing w:line="500" w:lineRule="exact"/>
        <w:jc w:val="left"/>
        <w:rPr>
          <w:rFonts w:hint="eastAsia" w:ascii="黑体" w:hAnsi="宋体" w:eastAsia="黑体" w:cs="宋体"/>
          <w:kern w:val="0"/>
          <w:szCs w:val="32"/>
        </w:rPr>
      </w:pPr>
      <w:r>
        <w:rPr>
          <w:rFonts w:hint="eastAsia" w:ascii="黑体" w:hAnsi="宋体" w:eastAsia="黑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-104775</wp:posOffset>
                </wp:positionV>
                <wp:extent cx="200660" cy="63366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0660" cy="6336665"/>
                        </a:xfrm>
                        <a:prstGeom prst="rect">
                          <a:avLst/>
                        </a:prstGeom>
                        <a:noFill/>
                        <a:ln w="9525">
                          <a:noFill/>
                        </a:ln>
                      </wps:spPr>
                      <wps:txbx>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18.05pt;margin-top:-8.25pt;height:498.95pt;width:15.8pt;z-index:251660288;mso-width-relative:page;mso-height-relative:page;" filled="f" stroked="f" coordsize="21600,21600" o:gfxdata="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3F54zXAAAACgEAAA8AAAAAAAAAAQAgAAAAIgAAAGRycy9k&#10;b3ducmV2LnhtbFBLAQIUABQAAAAIAIdO4kCdyQmyygEAAIkDAAAOAAAAAAAAAAEAIAAAACYBAABk&#10;cnMvZTJvRG9jLnhtbFBLBQYAAAAABgAGAFkBAABiBQAAAAA=&#10;">
                <v:fill on="f" focussize="0,0"/>
                <v:stroke on="f"/>
                <v:imagedata o:title=""/>
                <o:lock v:ext="edit" aspectratio="f"/>
                <v:textbox inset="0mm,0mm,0mm,0mm" style="layout-flow:vertical-ideographic;">
                  <w:txbxContent>
                    <w:p>
                      <w:pPr>
                        <w:wordWrap w:val="0"/>
                        <w:spacing w:line="360" w:lineRule="exact"/>
                        <w:jc w:val="right"/>
                        <w:rPr>
                          <w:rFonts w:hint="eastAsia" w:ascii="宋体" w:hAnsi="宋体" w:eastAsia="宋体"/>
                          <w:sz w:val="28"/>
                          <w:szCs w:val="28"/>
                        </w:rPr>
                      </w:pPr>
                      <w:r>
                        <w:rPr>
                          <w:rFonts w:hint="eastAsia" w:ascii="宋体" w:hAnsi="宋体" w:eastAsia="宋体"/>
                          <w:sz w:val="28"/>
                          <w:szCs w:val="28"/>
                        </w:rPr>
                        <w:t xml:space="preserve"> </w:t>
                      </w:r>
                    </w:p>
                  </w:txbxContent>
                </v:textbox>
              </v:shape>
            </w:pict>
          </mc:Fallback>
        </mc:AlternateContent>
      </w:r>
      <w:r>
        <w:rPr>
          <w:rFonts w:hint="eastAsia" w:ascii="黑体" w:hAnsi="宋体" w:eastAsia="黑体" w:cs="宋体"/>
          <w:kern w:val="0"/>
          <w:sz w:val="24"/>
          <w:szCs w:val="24"/>
        </w:rPr>
        <w:t>附件：</w:t>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p>
    <w:p>
      <w:pPr>
        <w:widowControl/>
        <w:spacing w:after="117" w:afterLines="20" w:line="500" w:lineRule="exact"/>
        <w:ind w:left="91"/>
        <w:jc w:val="center"/>
        <w:rPr>
          <w:rFonts w:hint="eastAsia" w:ascii="黑体" w:hAnsi="宋体" w:eastAsia="黑体" w:cs="宋体"/>
          <w:bCs/>
          <w:kern w:val="0"/>
          <w:sz w:val="36"/>
          <w:szCs w:val="36"/>
        </w:rPr>
      </w:pPr>
      <w:r>
        <w:rPr>
          <w:rFonts w:hint="eastAsia" w:ascii="黑体" w:hAnsi="宋体" w:eastAsia="黑体" w:cs="宋体"/>
          <w:bCs/>
          <w:kern w:val="0"/>
          <w:sz w:val="36"/>
          <w:szCs w:val="36"/>
          <w:lang w:val="en-US" w:eastAsia="zh-CN"/>
        </w:rPr>
        <w:t>项目</w:t>
      </w:r>
      <w:r>
        <w:rPr>
          <w:rFonts w:hint="eastAsia" w:ascii="黑体" w:hAnsi="宋体" w:eastAsia="黑体" w:cs="宋体"/>
          <w:bCs/>
          <w:kern w:val="0"/>
          <w:sz w:val="36"/>
          <w:szCs w:val="36"/>
        </w:rPr>
        <w:t>资金绩效监控情况表</w:t>
      </w:r>
    </w:p>
    <w:p>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hAnsi="宋体" w:eastAsia="宋体" w:cs="宋体"/>
          <w:kern w:val="0"/>
          <w:sz w:val="18"/>
          <w:szCs w:val="18"/>
        </w:rPr>
      </w:pPr>
      <w:r>
        <w:rPr>
          <w:rFonts w:hint="eastAsia" w:ascii="宋体" w:hAnsi="宋体" w:eastAsia="宋体" w:cs="宋体"/>
          <w:kern w:val="0"/>
          <w:sz w:val="24"/>
          <w:szCs w:val="24"/>
        </w:rPr>
        <w:t>填报单位（盖章）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区民政和人力资源社会保障局</w:t>
      </w:r>
      <w:bookmarkStart w:id="0" w:name="_GoBack"/>
      <w:bookmarkEnd w:id="0"/>
      <w:r>
        <w:rPr>
          <w:rFonts w:ascii="宋体" w:hAnsi="宋体" w:eastAsia="宋体" w:cs="宋体"/>
          <w:kern w:val="0"/>
          <w:sz w:val="18"/>
          <w:szCs w:val="18"/>
        </w:rPr>
        <w:tab/>
      </w:r>
    </w:p>
    <w:p>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p>
    <w:tbl>
      <w:tblPr>
        <w:tblStyle w:val="4"/>
        <w:tblW w:w="15548" w:type="dxa"/>
        <w:tblInd w:w="-686" w:type="dxa"/>
        <w:tblLayout w:type="fixed"/>
        <w:tblCellMar>
          <w:top w:w="0" w:type="dxa"/>
          <w:left w:w="28" w:type="dxa"/>
          <w:bottom w:w="0" w:type="dxa"/>
          <w:right w:w="28" w:type="dxa"/>
        </w:tblCellMar>
      </w:tblPr>
      <w:tblGrid>
        <w:gridCol w:w="1051"/>
        <w:gridCol w:w="125"/>
        <w:gridCol w:w="1443"/>
        <w:gridCol w:w="621"/>
        <w:gridCol w:w="61"/>
        <w:gridCol w:w="1034"/>
        <w:gridCol w:w="1026"/>
        <w:gridCol w:w="660"/>
        <w:gridCol w:w="855"/>
        <w:gridCol w:w="706"/>
        <w:gridCol w:w="1079"/>
        <w:gridCol w:w="915"/>
        <w:gridCol w:w="742"/>
        <w:gridCol w:w="308"/>
        <w:gridCol w:w="827"/>
        <w:gridCol w:w="183"/>
        <w:gridCol w:w="1074"/>
        <w:gridCol w:w="61"/>
        <w:gridCol w:w="871"/>
        <w:gridCol w:w="426"/>
        <w:gridCol w:w="730"/>
        <w:gridCol w:w="750"/>
      </w:tblGrid>
      <w:tr>
        <w:tblPrEx>
          <w:tblCellMar>
            <w:top w:w="0" w:type="dxa"/>
            <w:left w:w="28" w:type="dxa"/>
            <w:bottom w:w="0" w:type="dxa"/>
            <w:right w:w="28" w:type="dxa"/>
          </w:tblCellMar>
        </w:tblPrEx>
        <w:trPr>
          <w:trHeight w:val="789" w:hRule="atLeast"/>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人力资源和社会保障管理事务运行经费　</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预算安排资金(万元)</w:t>
            </w:r>
          </w:p>
        </w:tc>
        <w:tc>
          <w:tcPr>
            <w:tcW w:w="27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83.4</w:t>
            </w:r>
            <w:r>
              <w:rPr>
                <w:rFonts w:hint="eastAsia" w:ascii="宋体" w:hAnsi="宋体" w:eastAsia="宋体" w:cs="宋体"/>
                <w:kern w:val="0"/>
                <w:sz w:val="24"/>
                <w:szCs w:val="24"/>
              </w:rPr>
              <w:t>　</w:t>
            </w:r>
          </w:p>
        </w:tc>
        <w:tc>
          <w:tcPr>
            <w:tcW w:w="239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功能科目编码及名称</w:t>
            </w:r>
          </w:p>
        </w:tc>
        <w:tc>
          <w:tcPr>
            <w:tcW w:w="283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2080102 </w:t>
            </w:r>
            <w:r>
              <w:rPr>
                <w:rFonts w:hint="eastAsia" w:ascii="宋体" w:hAnsi="宋体" w:eastAsia="宋体" w:cs="宋体"/>
                <w:kern w:val="0"/>
                <w:sz w:val="24"/>
                <w:szCs w:val="24"/>
                <w:lang w:eastAsia="zh-CN"/>
              </w:rPr>
              <w:t>一般行政管理事务（</w:t>
            </w:r>
            <w:r>
              <w:rPr>
                <w:rFonts w:hint="eastAsia" w:ascii="宋体" w:hAnsi="宋体" w:eastAsia="宋体" w:cs="宋体"/>
                <w:kern w:val="0"/>
                <w:sz w:val="24"/>
                <w:szCs w:val="24"/>
              </w:rPr>
              <w:t>人力资源和社会保障管理事务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w:t>
            </w:r>
          </w:p>
        </w:tc>
      </w:tr>
      <w:tr>
        <w:tblPrEx>
          <w:tblCellMar>
            <w:top w:w="0" w:type="dxa"/>
            <w:left w:w="28" w:type="dxa"/>
            <w:bottom w:w="0" w:type="dxa"/>
            <w:right w:w="28" w:type="dxa"/>
          </w:tblCellMar>
        </w:tblPrEx>
        <w:trPr>
          <w:trHeight w:val="759"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项目实施单位</w:t>
            </w:r>
          </w:p>
        </w:tc>
        <w:tc>
          <w:tcPr>
            <w:tcW w:w="2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区民政和人力资源社会保障局　</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项目类型</w:t>
            </w:r>
          </w:p>
        </w:tc>
        <w:tc>
          <w:tcPr>
            <w:tcW w:w="2736"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延续项目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新增项目□ </w:t>
            </w:r>
          </w:p>
        </w:tc>
        <w:tc>
          <w:tcPr>
            <w:tcW w:w="113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联络人：</w:t>
            </w:r>
          </w:p>
        </w:tc>
        <w:tc>
          <w:tcPr>
            <w:tcW w:w="12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秦思敏</w:t>
            </w:r>
            <w:r>
              <w:rPr>
                <w:rFonts w:hint="eastAsia" w:ascii="宋体" w:hAnsi="宋体" w:eastAsia="宋体" w:cs="宋体"/>
                <w:kern w:val="0"/>
                <w:sz w:val="24"/>
                <w:szCs w:val="24"/>
              </w:rPr>
              <w:t>　</w:t>
            </w:r>
          </w:p>
        </w:tc>
        <w:tc>
          <w:tcPr>
            <w:tcW w:w="1358"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1480"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15197758520</w:t>
            </w:r>
          </w:p>
        </w:tc>
      </w:tr>
      <w:tr>
        <w:tblPrEx>
          <w:tblCellMar>
            <w:top w:w="0" w:type="dxa"/>
            <w:left w:w="28" w:type="dxa"/>
            <w:bottom w:w="0" w:type="dxa"/>
            <w:right w:w="28" w:type="dxa"/>
          </w:tblCellMar>
        </w:tblPrEx>
        <w:trPr>
          <w:trHeight w:val="910" w:hRule="atLeast"/>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项目概况</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ascii="仿宋_GB2312" w:hAnsi="宋体" w:cs="宋体"/>
                <w:kern w:val="0"/>
                <w:sz w:val="24"/>
                <w:szCs w:val="24"/>
              </w:rPr>
            </w:pPr>
            <w:r>
              <w:rPr>
                <w:rFonts w:hint="eastAsia" w:ascii="仿宋_GB2312" w:hAnsi="宋体" w:cs="宋体"/>
                <w:kern w:val="0"/>
                <w:sz w:val="24"/>
                <w:szCs w:val="24"/>
                <w:lang w:eastAsia="zh-CN"/>
              </w:rPr>
              <w:t>包含</w:t>
            </w:r>
            <w:r>
              <w:rPr>
                <w:rFonts w:hint="eastAsia" w:ascii="仿宋_GB2312" w:hAnsi="宋体" w:cs="宋体"/>
                <w:kern w:val="0"/>
                <w:sz w:val="24"/>
                <w:szCs w:val="24"/>
              </w:rPr>
              <w:t>流动人员人事档案基本公共服务、乡村振兴、党建、信访、基金监督、法律顾问、财务顾问、工会、扫黑除恶、健康教育、</w:t>
            </w:r>
            <w:r>
              <w:rPr>
                <w:rFonts w:hint="eastAsia" w:ascii="仿宋_GB2312" w:hAnsi="宋体" w:cs="宋体"/>
                <w:kern w:val="0"/>
                <w:sz w:val="24"/>
                <w:szCs w:val="24"/>
                <w:lang w:eastAsia="zh-CN"/>
              </w:rPr>
              <w:t>食品安全</w:t>
            </w:r>
            <w:r>
              <w:rPr>
                <w:rFonts w:hint="eastAsia" w:ascii="仿宋_GB2312" w:hAnsi="宋体" w:cs="宋体"/>
                <w:kern w:val="0"/>
                <w:sz w:val="24"/>
                <w:szCs w:val="24"/>
              </w:rPr>
              <w:t>、体检</w:t>
            </w:r>
            <w:r>
              <w:rPr>
                <w:rFonts w:hint="eastAsia" w:ascii="仿宋_GB2312" w:hAnsi="宋体" w:cs="宋体"/>
                <w:kern w:val="0"/>
                <w:sz w:val="24"/>
                <w:szCs w:val="24"/>
                <w:lang w:eastAsia="zh-CN"/>
              </w:rPr>
              <w:t>、招商引资、劳动仲裁、一元民生保险等工作经费</w:t>
            </w:r>
            <w:r>
              <w:rPr>
                <w:rFonts w:hint="eastAsia" w:ascii="仿宋_GB2312" w:hAnsi="宋体" w:cs="宋体"/>
                <w:kern w:val="0"/>
                <w:sz w:val="24"/>
                <w:szCs w:val="24"/>
              </w:rPr>
              <w:t>　</w:t>
            </w:r>
          </w:p>
        </w:tc>
      </w:tr>
      <w:tr>
        <w:tblPrEx>
          <w:tblCellMar>
            <w:top w:w="0" w:type="dxa"/>
            <w:left w:w="28" w:type="dxa"/>
            <w:bottom w:w="0" w:type="dxa"/>
            <w:right w:w="28" w:type="dxa"/>
          </w:tblCellMar>
        </w:tblPrEx>
        <w:trPr>
          <w:trHeight w:val="698" w:hRule="atLeast"/>
        </w:trPr>
        <w:tc>
          <w:tcPr>
            <w:tcW w:w="10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项目组织管理情况</w:t>
            </w: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是否实施招投标</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□是</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无该项内容</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是否实施政府采购</w:t>
            </w:r>
          </w:p>
        </w:tc>
        <w:tc>
          <w:tcPr>
            <w:tcW w:w="796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□是　           □否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r>
      <w:tr>
        <w:tblPrEx>
          <w:tblCellMar>
            <w:top w:w="0" w:type="dxa"/>
            <w:left w:w="28" w:type="dxa"/>
            <w:bottom w:w="0" w:type="dxa"/>
            <w:right w:w="28" w:type="dxa"/>
          </w:tblCellMar>
        </w:tblPrEx>
        <w:trPr>
          <w:trHeight w:val="7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是否实行合同管理制</w:t>
            </w:r>
          </w:p>
        </w:tc>
        <w:tc>
          <w:tcPr>
            <w:tcW w:w="2720"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 □否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c>
          <w:tcPr>
            <w:tcW w:w="15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采购金额</w:t>
            </w:r>
          </w:p>
        </w:tc>
        <w:tc>
          <w:tcPr>
            <w:tcW w:w="796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应采购金额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实际采购金额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无该项内容</w:t>
            </w:r>
          </w:p>
        </w:tc>
      </w:tr>
      <w:tr>
        <w:tblPrEx>
          <w:tblCellMar>
            <w:top w:w="0" w:type="dxa"/>
            <w:left w:w="28" w:type="dxa"/>
            <w:bottom w:w="0" w:type="dxa"/>
            <w:right w:w="28" w:type="dxa"/>
          </w:tblCellMar>
        </w:tblPrEx>
        <w:trPr>
          <w:trHeight w:val="687"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项目调整内容及报批程序和手续</w:t>
            </w:r>
          </w:p>
        </w:tc>
        <w:tc>
          <w:tcPr>
            <w:tcW w:w="12247" w:type="dxa"/>
            <w:gridSpan w:val="17"/>
            <w:tcBorders>
              <w:top w:val="single" w:color="auto" w:sz="4" w:space="0"/>
              <w:left w:val="nil"/>
              <w:bottom w:val="single" w:color="auto" w:sz="4" w:space="0"/>
              <w:right w:val="single" w:color="auto" w:sz="4" w:space="0"/>
            </w:tcBorders>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区级部门年初预算　</w:t>
            </w:r>
          </w:p>
        </w:tc>
      </w:tr>
      <w:tr>
        <w:tblPrEx>
          <w:tblCellMar>
            <w:top w:w="0" w:type="dxa"/>
            <w:left w:w="28" w:type="dxa"/>
            <w:bottom w:w="0" w:type="dxa"/>
            <w:right w:w="28" w:type="dxa"/>
          </w:tblCellMar>
        </w:tblPrEx>
        <w:trPr>
          <w:trHeight w:val="578"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单位已有的（或拟订的）保证项目实施的制度、措施</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4"/>
                <w:szCs w:val="24"/>
              </w:rPr>
            </w:pPr>
            <w:r>
              <w:rPr>
                <w:rFonts w:hint="eastAsia" w:ascii="仿宋_GB2312" w:hAnsi="宋体" w:cs="宋体"/>
                <w:kern w:val="0"/>
                <w:sz w:val="24"/>
                <w:szCs w:val="24"/>
              </w:rPr>
              <w:t>拟定全区人力资源市场发展规划和人力资源流动政策；负责全区促进就业工作；统筹推进覆盖城乡多层次社会保障体系，完善组织养老、失业、工伤等社会保险及其补充保险政策和标准，统筹实施养老保险、失业保险、工伤保险政策；会同有关部门实施全员参保计划并建立统一的社会保险公共服务平台；负责全区就业、失业和相关社会保险基金预测预警和信息引导，拟定应对预案；组织实施劳动人事争议调解仲裁，执行劳动关系政策；牵头深化职称制度改革；按照管理权限负责规范事业单位岗位设置、公开招聘、聘用合同等人事综合管理工作，拟定并组织实施事业单位工作人员和机关工勤人员管理政策；贯彻执行有关事业单位和机关单位工勤人员收入分配政策；配合有关部门审核纳入区财政统发范的事业单位和机关工勤人员的工资、奖金、津补贴标准和离退休费；会同有关部门落实农民工工作的综合政策和规划，推动农民工相关政策的落实。组织实施全省医疗保障基金监督管理办法，建立健全医疗保障基金安全防控措施；组织实施全区医疗保障筹资和待遇政策；组织实施全区省定城乡药品、医用耗材、医疗服务设施等价格管理；依法查处纳入医保范围医疗服务行为和费用的违法违规行为；负责全区医疗保险、生育保险、医疗救助等经办保障业务工作；组织制定和完善异地就医管理和费用结算办法，完善医疗保障关系转移接续制度；承办职工基本医疗保险、城乡居民医疗保险、公务员医疗补助、生育保险、大病医疗互助、医疗救助等参保登记和关系建立、中断、转移、接续、终止等经办事务；承办全区医疗保障基金（费）的管理、运营、结算等经办业务　</w:t>
            </w:r>
          </w:p>
          <w:p>
            <w:pPr>
              <w:widowControl/>
              <w:jc w:val="left"/>
              <w:rPr>
                <w:rFonts w:hint="eastAsia" w:ascii="仿宋_GB2312" w:hAnsi="宋体" w:cs="宋体"/>
                <w:kern w:val="0"/>
                <w:sz w:val="24"/>
                <w:szCs w:val="24"/>
              </w:rPr>
            </w:pPr>
          </w:p>
          <w:p>
            <w:pPr>
              <w:widowControl/>
              <w:jc w:val="left"/>
              <w:rPr>
                <w:rFonts w:hint="eastAsia" w:ascii="仿宋_GB2312" w:hAnsi="宋体" w:cs="宋体"/>
                <w:kern w:val="0"/>
                <w:sz w:val="24"/>
                <w:szCs w:val="24"/>
              </w:rPr>
            </w:pPr>
          </w:p>
        </w:tc>
      </w:tr>
      <w:tr>
        <w:tblPrEx>
          <w:tblCellMar>
            <w:top w:w="0" w:type="dxa"/>
            <w:left w:w="28" w:type="dxa"/>
            <w:bottom w:w="0" w:type="dxa"/>
            <w:right w:w="28" w:type="dxa"/>
          </w:tblCellMar>
        </w:tblPrEx>
        <w:trPr>
          <w:trHeight w:val="673" w:hRule="atLeast"/>
        </w:trPr>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具体工作措施</w:t>
            </w:r>
          </w:p>
        </w:tc>
        <w:tc>
          <w:tcPr>
            <w:tcW w:w="12247" w:type="dxa"/>
            <w:gridSpan w:val="17"/>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4"/>
                <w:szCs w:val="24"/>
              </w:rPr>
            </w:pPr>
            <w:r>
              <w:rPr>
                <w:rFonts w:hint="eastAsia" w:ascii="仿宋_GB2312" w:hAnsi="宋体" w:cs="宋体"/>
                <w:kern w:val="0"/>
                <w:sz w:val="24"/>
                <w:szCs w:val="24"/>
              </w:rPr>
              <w:t>拟定全区人力资源市场发展规划和人力资源流动政策；负责全区促进就业工作；统筹推进覆盖城乡多层次社会保障体系，完善组织养老、失业、工伤等社会保险及其补充保险政策和标准，统筹实施养老保险、失业保险、工伤保险政策；会同有关部门实施全员参保计划并建立统一的社会保险公共服务平台；负责全区就业、失业和相关社会保险基金预测预警和信息引导，拟定应对预案；组织实施劳动人事争议调解仲裁，执行劳动关系政策；牵头深化职称制度改革；按照管理权限负责规范事业单位岗位设置、公开招聘、聘用合同等人事综合管理工作，拟定并组织实施事业单位工作人员和机关工勤人员管理政策；贯彻执行有关事业单位和机关单位工勤人员收入分配政策；配合有关部门审核纳入区财政统发范的事业单位和机关工勤人员的工资、奖金、津补贴标准和离退休费；会同有关部门落实农民工工作的综合政策和规划，推动农民工相关政策的落实。组织实施全省医疗保障基金监督管理办法，建立健全医疗保障基金安全防控措施；组织实施全区医疗保障筹资和待遇政策；组织实施全区省定城乡药品、医用耗材、医疗服务设施等价格管理；依法查处纳入医保范围医疗服务行为和费用的违法违规行为；负责全区医疗保险、生育保险、医疗救助等经办保障业务工作；组织制定和完善异地就医管理和费用结算办法，完善医疗保障关系转移接续制度；承办职工基本医疗保险、城乡居民医疗保险、公务员医疗补助、生育保险、大病医疗互助、医疗救助等参保登记和关系建立、中断、转移、接续、终止等经办事务；承办全区医疗保障基金（费）的管理、运营、结算等经办业务　</w:t>
            </w:r>
          </w:p>
          <w:p>
            <w:pPr>
              <w:widowControl/>
              <w:jc w:val="left"/>
              <w:rPr>
                <w:rFonts w:hint="eastAsia" w:ascii="仿宋_GB2312" w:hAnsi="宋体" w:cs="宋体"/>
                <w:kern w:val="0"/>
                <w:sz w:val="24"/>
                <w:szCs w:val="24"/>
              </w:rPr>
            </w:pPr>
          </w:p>
          <w:p>
            <w:pPr>
              <w:widowControl/>
              <w:jc w:val="left"/>
              <w:rPr>
                <w:rFonts w:hint="eastAsia" w:ascii="仿宋_GB2312" w:hAnsi="宋体" w:cs="宋体"/>
                <w:kern w:val="0"/>
                <w:sz w:val="24"/>
                <w:szCs w:val="24"/>
              </w:rPr>
            </w:pPr>
          </w:p>
        </w:tc>
      </w:tr>
      <w:tr>
        <w:tblPrEx>
          <w:tblCellMar>
            <w:top w:w="0" w:type="dxa"/>
            <w:left w:w="28" w:type="dxa"/>
            <w:bottom w:w="0" w:type="dxa"/>
            <w:right w:w="28" w:type="dxa"/>
          </w:tblCellMar>
        </w:tblPrEx>
        <w:trPr>
          <w:trHeight w:val="930"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分 季 度 执 行 情 况 （一）</w:t>
            </w:r>
          </w:p>
        </w:tc>
      </w:tr>
      <w:tr>
        <w:tblPrEx>
          <w:tblCellMar>
            <w:top w:w="0" w:type="dxa"/>
            <w:left w:w="28" w:type="dxa"/>
            <w:bottom w:w="0" w:type="dxa"/>
            <w:right w:w="28" w:type="dxa"/>
          </w:tblCellMar>
        </w:tblPrEx>
        <w:trPr>
          <w:trHeight w:val="705" w:hRule="atLeast"/>
        </w:trPr>
        <w:tc>
          <w:tcPr>
            <w:tcW w:w="117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资金安排使用情况（万元）</w:t>
            </w:r>
          </w:p>
        </w:tc>
        <w:tc>
          <w:tcPr>
            <w:tcW w:w="2064"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全年安排资金额</w:t>
            </w:r>
          </w:p>
        </w:tc>
        <w:tc>
          <w:tcPr>
            <w:tcW w:w="3247"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第1季度</w:t>
            </w:r>
          </w:p>
        </w:tc>
        <w:tc>
          <w:tcPr>
            <w:tcW w:w="405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季度</w:t>
            </w:r>
          </w:p>
        </w:tc>
        <w:tc>
          <w:tcPr>
            <w:tcW w:w="391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1-3</w:t>
            </w:r>
            <w:r>
              <w:rPr>
                <w:rFonts w:hint="eastAsia" w:asciiTheme="minorEastAsia" w:hAnsiTheme="minorEastAsia" w:eastAsiaTheme="minorEastAsia" w:cstheme="minorEastAsia"/>
                <w:kern w:val="0"/>
                <w:sz w:val="24"/>
                <w:szCs w:val="24"/>
              </w:rPr>
              <w:t>季度</w:t>
            </w:r>
          </w:p>
        </w:tc>
      </w:tr>
      <w:tr>
        <w:tblPrEx>
          <w:tblCellMar>
            <w:top w:w="0" w:type="dxa"/>
            <w:left w:w="28" w:type="dxa"/>
            <w:bottom w:w="0" w:type="dxa"/>
            <w:right w:w="28" w:type="dxa"/>
          </w:tblCellMar>
        </w:tblPrEx>
        <w:trPr>
          <w:trHeight w:val="1451"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102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已到位资金（万元）</w:t>
            </w:r>
          </w:p>
        </w:tc>
        <w:tc>
          <w:tcPr>
            <w:tcW w:w="66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85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70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07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已到位资金(万元)</w:t>
            </w:r>
          </w:p>
        </w:tc>
        <w:tc>
          <w:tcPr>
            <w:tcW w:w="91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05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出资金(万元)</w:t>
            </w:r>
          </w:p>
        </w:tc>
        <w:tc>
          <w:tcPr>
            <w:tcW w:w="10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支出实现率</w:t>
            </w:r>
          </w:p>
        </w:tc>
        <w:tc>
          <w:tcPr>
            <w:tcW w:w="1135"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累计已到位资金（万元）</w:t>
            </w:r>
          </w:p>
        </w:tc>
        <w:tc>
          <w:tcPr>
            <w:tcW w:w="87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到位率</w:t>
            </w:r>
          </w:p>
        </w:tc>
        <w:tc>
          <w:tcPr>
            <w:tcW w:w="1156"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实际支</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出资金</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75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支出</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实现率</w:t>
            </w:r>
          </w:p>
        </w:tc>
      </w:tr>
      <w:tr>
        <w:tblPrEx>
          <w:tblCellMar>
            <w:top w:w="0" w:type="dxa"/>
            <w:left w:w="28" w:type="dxa"/>
            <w:bottom w:w="0" w:type="dxa"/>
            <w:right w:w="28" w:type="dxa"/>
          </w:tblCellMar>
        </w:tblPrEx>
        <w:trPr>
          <w:trHeight w:val="745" w:hRule="atLeast"/>
        </w:trPr>
        <w:tc>
          <w:tcPr>
            <w:tcW w:w="117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资金总额 (=1+2+3)</w:t>
            </w:r>
          </w:p>
        </w:tc>
        <w:tc>
          <w:tcPr>
            <w:tcW w:w="10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83.4</w:t>
            </w:r>
          </w:p>
        </w:tc>
        <w:tc>
          <w:tcPr>
            <w:tcW w:w="1026"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20.85</w:t>
            </w:r>
          </w:p>
        </w:tc>
        <w:tc>
          <w:tcPr>
            <w:tcW w:w="660"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25%</w:t>
            </w:r>
          </w:p>
        </w:tc>
        <w:tc>
          <w:tcPr>
            <w:tcW w:w="855"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9.27</w:t>
            </w:r>
          </w:p>
        </w:tc>
        <w:tc>
          <w:tcPr>
            <w:tcW w:w="706"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44%</w:t>
            </w:r>
          </w:p>
        </w:tc>
        <w:tc>
          <w:tcPr>
            <w:tcW w:w="1079"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41.7</w:t>
            </w:r>
          </w:p>
        </w:tc>
        <w:tc>
          <w:tcPr>
            <w:tcW w:w="915"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1050"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29.36</w:t>
            </w:r>
          </w:p>
        </w:tc>
        <w:tc>
          <w:tcPr>
            <w:tcW w:w="1010"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70%</w:t>
            </w:r>
          </w:p>
        </w:tc>
        <w:tc>
          <w:tcPr>
            <w:tcW w:w="1135"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62.55</w:t>
            </w:r>
          </w:p>
        </w:tc>
        <w:tc>
          <w:tcPr>
            <w:tcW w:w="871"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75%</w:t>
            </w:r>
          </w:p>
        </w:tc>
        <w:tc>
          <w:tcPr>
            <w:tcW w:w="1156" w:type="dxa"/>
            <w:gridSpan w:val="2"/>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43.31</w:t>
            </w:r>
          </w:p>
        </w:tc>
        <w:tc>
          <w:tcPr>
            <w:tcW w:w="750" w:type="dxa"/>
            <w:tcBorders>
              <w:top w:val="nil"/>
              <w:left w:val="nil"/>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69%</w:t>
            </w:r>
          </w:p>
        </w:tc>
      </w:tr>
      <w:tr>
        <w:tblPrEx>
          <w:tblCellMar>
            <w:top w:w="0" w:type="dxa"/>
            <w:left w:w="28" w:type="dxa"/>
            <w:bottom w:w="0" w:type="dxa"/>
            <w:right w:w="28" w:type="dxa"/>
          </w:tblCellMar>
        </w:tblPrEx>
        <w:trPr>
          <w:trHeight w:val="76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其中：1.财政拨款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83.4</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20.85</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9.27</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44%</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41.7</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50%</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29.36</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70%</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62.55</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75%</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43.31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69%</w:t>
            </w:r>
          </w:p>
        </w:tc>
      </w:tr>
      <w:tr>
        <w:tblPrEx>
          <w:tblCellMar>
            <w:top w:w="0" w:type="dxa"/>
            <w:left w:w="28" w:type="dxa"/>
            <w:bottom w:w="0" w:type="dxa"/>
            <w:right w:w="28" w:type="dxa"/>
          </w:tblCellMar>
        </w:tblPrEx>
        <w:trPr>
          <w:trHeight w:val="68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2.自有资金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715"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其中:事业收入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553"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经营性收入</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5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其他</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674" w:hRule="atLeast"/>
        </w:trPr>
        <w:tc>
          <w:tcPr>
            <w:tcW w:w="11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3.其他 </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28" w:type="dxa"/>
            <w:bottom w:w="0" w:type="dxa"/>
            <w:right w:w="28" w:type="dxa"/>
          </w:tblCellMar>
        </w:tblPrEx>
        <w:trPr>
          <w:trHeight w:val="1194" w:hRule="atLeast"/>
        </w:trPr>
        <w:tc>
          <w:tcPr>
            <w:tcW w:w="15548" w:type="dxa"/>
            <w:gridSpan w:val="2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监    控    报    告</w:t>
            </w:r>
          </w:p>
        </w:tc>
      </w:tr>
      <w:tr>
        <w:tblPrEx>
          <w:tblCellMar>
            <w:top w:w="0" w:type="dxa"/>
            <w:left w:w="28" w:type="dxa"/>
            <w:bottom w:w="0" w:type="dxa"/>
            <w:right w:w="28" w:type="dxa"/>
          </w:tblCellMar>
        </w:tblPrEx>
        <w:trPr>
          <w:trHeight w:val="2739"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产出成果</w:t>
            </w:r>
          </w:p>
        </w:tc>
        <w:tc>
          <w:tcPr>
            <w:tcW w:w="12929" w:type="dxa"/>
            <w:gridSpan w:val="19"/>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1、人员招聘质量100%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2、工会活动率100%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3、驻村工作队服务率100%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4、援助联点帮扶村支持率100%</w:t>
            </w:r>
          </w:p>
        </w:tc>
      </w:tr>
      <w:tr>
        <w:tblPrEx>
          <w:tblCellMar>
            <w:top w:w="0" w:type="dxa"/>
            <w:left w:w="28" w:type="dxa"/>
            <w:bottom w:w="0" w:type="dxa"/>
            <w:right w:w="28" w:type="dxa"/>
          </w:tblCellMar>
        </w:tblPrEx>
        <w:trPr>
          <w:trHeight w:val="1940"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存在的问题</w:t>
            </w:r>
          </w:p>
        </w:tc>
        <w:tc>
          <w:tcPr>
            <w:tcW w:w="12929" w:type="dxa"/>
            <w:gridSpan w:val="19"/>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支付进度缓慢</w:t>
            </w:r>
          </w:p>
        </w:tc>
      </w:tr>
      <w:tr>
        <w:tblPrEx>
          <w:tblCellMar>
            <w:top w:w="0" w:type="dxa"/>
            <w:left w:w="28" w:type="dxa"/>
            <w:bottom w:w="0" w:type="dxa"/>
            <w:right w:w="28" w:type="dxa"/>
          </w:tblCellMar>
        </w:tblPrEx>
        <w:trPr>
          <w:trHeight w:val="2264" w:hRule="atLeast"/>
        </w:trPr>
        <w:tc>
          <w:tcPr>
            <w:tcW w:w="26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下一步改进意见</w:t>
            </w:r>
          </w:p>
        </w:tc>
        <w:tc>
          <w:tcPr>
            <w:tcW w:w="12929" w:type="dxa"/>
            <w:gridSpan w:val="19"/>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kern w:val="0"/>
                <w:sz w:val="24"/>
                <w:szCs w:val="24"/>
              </w:rPr>
            </w:pPr>
            <w:r>
              <w:rPr>
                <w:rStyle w:val="7"/>
                <w:lang w:val="en-US" w:eastAsia="zh-CN" w:bidi="ar"/>
              </w:rPr>
              <w:t>1</w:t>
            </w:r>
            <w:r>
              <w:rPr>
                <w:rStyle w:val="8"/>
                <w:lang w:val="en-US" w:eastAsia="zh-CN" w:bidi="ar"/>
              </w:rPr>
              <w:t>、加快报账进度，提高资金使用效率</w:t>
            </w:r>
            <w:r>
              <w:rPr>
                <w:rStyle w:val="7"/>
                <w:lang w:val="en-US" w:eastAsia="zh-CN" w:bidi="ar"/>
              </w:rPr>
              <w:br w:type="textWrapping"/>
            </w:r>
            <w:r>
              <w:rPr>
                <w:rStyle w:val="7"/>
                <w:lang w:val="en-US" w:eastAsia="zh-CN" w:bidi="ar"/>
              </w:rPr>
              <w:t>2</w:t>
            </w:r>
            <w:r>
              <w:rPr>
                <w:rStyle w:val="8"/>
                <w:lang w:val="en-US" w:eastAsia="zh-CN" w:bidi="ar"/>
              </w:rPr>
              <w:t>、合理分配资金计划</w:t>
            </w:r>
            <w:r>
              <w:rPr>
                <w:rStyle w:val="7"/>
                <w:lang w:val="en-US" w:eastAsia="zh-CN" w:bidi="ar"/>
              </w:rPr>
              <w:br w:type="textWrapping"/>
            </w:r>
            <w:r>
              <w:rPr>
                <w:rStyle w:val="7"/>
                <w:lang w:val="en-US" w:eastAsia="zh-CN" w:bidi="ar"/>
              </w:rPr>
              <w:t>3</w:t>
            </w:r>
            <w:r>
              <w:rPr>
                <w:rStyle w:val="8"/>
                <w:lang w:val="en-US" w:eastAsia="zh-CN" w:bidi="ar"/>
              </w:rPr>
              <w:t>、严格控制经费支出，厉行节约，杜绝浪费</w:t>
            </w:r>
          </w:p>
        </w:tc>
      </w:tr>
    </w:tbl>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b w:val="0"/>
                        <w:bCs w:val="0"/>
                        <w:sz w:val="30"/>
                        <w:szCs w:val="30"/>
                        <w:lang w:eastAsia="zh-CN"/>
                      </w:rPr>
                      <w:fldChar w:fldCharType="begin"/>
                    </w:r>
                    <w:r>
                      <w:rPr>
                        <w:rFonts w:hint="eastAsia" w:ascii="仿宋_GB2312" w:hAnsi="仿宋_GB2312" w:eastAsia="仿宋_GB2312" w:cs="仿宋_GB2312"/>
                        <w:b w:val="0"/>
                        <w:bCs w:val="0"/>
                        <w:sz w:val="30"/>
                        <w:szCs w:val="30"/>
                        <w:lang w:eastAsia="zh-CN"/>
                      </w:rPr>
                      <w:instrText xml:space="preserve"> PAGE  \* MERGEFORMAT </w:instrText>
                    </w:r>
                    <w:r>
                      <w:rPr>
                        <w:rFonts w:hint="eastAsia" w:ascii="仿宋_GB2312" w:hAnsi="仿宋_GB2312" w:eastAsia="仿宋_GB2312" w:cs="仿宋_GB2312"/>
                        <w:b w:val="0"/>
                        <w:bCs w:val="0"/>
                        <w:sz w:val="30"/>
                        <w:szCs w:val="30"/>
                        <w:lang w:eastAsia="zh-CN"/>
                      </w:rPr>
                      <w:fldChar w:fldCharType="separate"/>
                    </w:r>
                    <w:r>
                      <w:rPr>
                        <w:rFonts w:hint="eastAsia" w:ascii="仿宋_GB2312" w:hAnsi="仿宋_GB2312" w:eastAsia="仿宋_GB2312" w:cs="仿宋_GB2312"/>
                        <w:b w:val="0"/>
                        <w:bCs w:val="0"/>
                        <w:sz w:val="30"/>
                        <w:szCs w:val="30"/>
                        <w:lang w:eastAsia="zh-CN"/>
                      </w:rPr>
                      <w:t>1</w:t>
                    </w:r>
                    <w:r>
                      <w:rPr>
                        <w:rFonts w:hint="eastAsia" w:ascii="仿宋_GB2312" w:hAnsi="仿宋_GB2312" w:eastAsia="仿宋_GB2312" w:cs="仿宋_GB2312"/>
                        <w:b w:val="0"/>
                        <w:bCs w:val="0"/>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C472"/>
    <w:multiLevelType w:val="singleLevel"/>
    <w:tmpl w:val="E73FC4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hkMjk5MzU5ODg2MTNkYWY1MThiZTNmNGI4MDYifQ=="/>
  </w:docVars>
  <w:rsids>
    <w:rsidRoot w:val="524175C4"/>
    <w:rsid w:val="00F55858"/>
    <w:rsid w:val="011D3433"/>
    <w:rsid w:val="05EC2F90"/>
    <w:rsid w:val="0B267C63"/>
    <w:rsid w:val="0E485E4D"/>
    <w:rsid w:val="0EFB1BB6"/>
    <w:rsid w:val="1340228E"/>
    <w:rsid w:val="16B52E56"/>
    <w:rsid w:val="18862F3B"/>
    <w:rsid w:val="249F49F8"/>
    <w:rsid w:val="2677074C"/>
    <w:rsid w:val="2E175813"/>
    <w:rsid w:val="39D24F94"/>
    <w:rsid w:val="3B1415AB"/>
    <w:rsid w:val="3CC72A80"/>
    <w:rsid w:val="43C609F8"/>
    <w:rsid w:val="49055FA9"/>
    <w:rsid w:val="49382AE4"/>
    <w:rsid w:val="524175C4"/>
    <w:rsid w:val="52650CB5"/>
    <w:rsid w:val="5307381F"/>
    <w:rsid w:val="56B7773E"/>
    <w:rsid w:val="56F616D2"/>
    <w:rsid w:val="5706139C"/>
    <w:rsid w:val="619971B5"/>
    <w:rsid w:val="6AC65D4A"/>
    <w:rsid w:val="6CB33D8F"/>
    <w:rsid w:val="742F1F17"/>
    <w:rsid w:val="794E7D81"/>
    <w:rsid w:val="7BC30D3A"/>
    <w:rsid w:val="7DC9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qFormat/>
    <w:uiPriority w:val="99"/>
    <w:pPr>
      <w:widowControl w:val="0"/>
      <w:jc w:val="both"/>
    </w:pPr>
    <w:rPr>
      <w:rFonts w:ascii="宋体" w:cs="Courier New" w:hAnsiTheme="minorHAnsi" w:eastAsiaTheme="minorEastAsia"/>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customStyle="1" w:styleId="6">
    <w:name w:val="新正文"/>
    <w:qFormat/>
    <w:uiPriority w:val="99"/>
    <w:pPr>
      <w:widowControl w:val="0"/>
      <w:spacing w:line="600" w:lineRule="exact"/>
      <w:ind w:firstLine="880"/>
      <w:contextualSpacing/>
      <w:jc w:val="both"/>
    </w:pPr>
    <w:rPr>
      <w:rFonts w:ascii="Times New Roman" w:hAnsi="Times New Roman" w:eastAsiaTheme="minorEastAsia" w:cstheme="minorBidi"/>
      <w:kern w:val="2"/>
      <w:sz w:val="21"/>
      <w:szCs w:val="24"/>
      <w:lang w:val="en-US" w:eastAsia="zh-CN" w:bidi="ar-SA"/>
    </w:rPr>
  </w:style>
  <w:style w:type="character" w:customStyle="1" w:styleId="7">
    <w:name w:val="font21"/>
    <w:basedOn w:val="5"/>
    <w:uiPriority w:val="0"/>
    <w:rPr>
      <w:rFonts w:hint="eastAsia" w:ascii="MingLiU" w:hAnsi="MingLiU" w:eastAsia="MingLiU" w:cs="MingLiU"/>
      <w:color w:val="000000"/>
      <w:sz w:val="22"/>
      <w:szCs w:val="22"/>
      <w:u w:val="none"/>
    </w:rPr>
  </w:style>
  <w:style w:type="character" w:customStyle="1" w:styleId="8">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1863</Words>
  <Characters>1926</Characters>
  <Lines>0</Lines>
  <Paragraphs>0</Paragraphs>
  <TotalTime>0</TotalTime>
  <ScaleCrop>false</ScaleCrop>
  <LinksUpToDate>false</LinksUpToDate>
  <CharactersWithSpaces>2194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2022-10-12T08:36:00Z</dcterms:created>
  <dc:creator>奶茶</dc:creator>
  <cp:lastModifiedBy>缱绻·絲</cp:lastModifiedBy>
  <cp:lastPrinted>2023-09-20T07:19:00Z</cp:lastPrinted>
  <dcterms:modified xsi:type="dcterms:W3CDTF">2023-10-30T07:45:21Z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4E51E52FB9B845439F7472B4C2AB2E14_13</vt:lpwstr>
  </property>
</Properties>
</file>