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770"/>
          <w:tab w:val="left" w:pos="1933"/>
          <w:tab w:val="left" w:pos="2813"/>
          <w:tab w:val="left" w:pos="3933"/>
          <w:tab w:val="left" w:pos="4733"/>
          <w:tab w:val="left" w:pos="547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pacing w:line="500" w:lineRule="exact"/>
        <w:jc w:val="left"/>
        <w:rPr>
          <w:rFonts w:ascii="黑体" w:hAnsi="宋体" w:eastAsia="黑体" w:cs="宋体"/>
          <w:kern w:val="0"/>
          <w:szCs w:val="32"/>
        </w:rPr>
      </w:pPr>
      <w:r>
        <w:rPr>
          <w:rFonts w:ascii="黑体" w:hAnsi="宋体" w:eastAsia="黑体" w:cs="宋体"/>
          <w:kern w:val="0"/>
          <w:sz w:val="24"/>
        </w:rPr>
        <w:pict>
          <v:shape id="_x0000_s1026" o:spid="_x0000_s1026" o:spt="202" type="#_x0000_t202" style="position:absolute;left:0pt;margin-left:-18.05pt;margin-top:-8.25pt;height:498.95pt;width:15.8pt;z-index:251660288;mso-width-relative:page;mso-height-relative:page;" filled="f" stroked="f" coordsize="21600,21600" o:gfxdata="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C3F54zXAAAACgEAAA8AAAAAAAAAAQAgAAAAIgAAAGRycy9k&#10;b3ducmV2LnhtbFBLAQIUABQAAAAIAIdO4kCdyQmyygEAAIkDAAAOAAAAAAAAAAEAIAAAACYBAABk&#10;cnMvZTJvRG9jLnhtbFBLBQYAAAAABgAGAFkBAABiBQAAAAA=&#10;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wordWrap w:val="0"/>
                    <w:spacing w:line="360" w:lineRule="exact"/>
                    <w:jc w:val="right"/>
                    <w:rPr>
                      <w:rFonts w:ascii="宋体" w:hAnsi="宋体" w:eastAsia="宋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宋体" w:eastAsia="黑体" w:cs="宋体"/>
          <w:kern w:val="0"/>
          <w:sz w:val="24"/>
        </w:rPr>
        <w:t>附件：</w:t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</w:p>
    <w:p>
      <w:pPr>
        <w:widowControl/>
        <w:spacing w:afterLines="20" w:line="500" w:lineRule="exact"/>
        <w:ind w:left="9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项目资金绩效监控情况表</w:t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24"/>
        </w:rPr>
        <w:t>填报单位（盖章）</w:t>
      </w:r>
      <w:r>
        <w:rPr>
          <w:rFonts w:ascii="宋体" w:hAnsi="宋体" w:eastAsia="宋体" w:cs="宋体"/>
          <w:kern w:val="0"/>
          <w:sz w:val="18"/>
          <w:szCs w:val="18"/>
        </w:rPr>
        <w:tab/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</w:p>
    <w:tbl>
      <w:tblPr>
        <w:tblStyle w:val="5"/>
        <w:tblW w:w="15548" w:type="dxa"/>
        <w:tblInd w:w="-686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51"/>
        <w:gridCol w:w="125"/>
        <w:gridCol w:w="1443"/>
        <w:gridCol w:w="621"/>
        <w:gridCol w:w="61"/>
        <w:gridCol w:w="1034"/>
        <w:gridCol w:w="913"/>
        <w:gridCol w:w="860"/>
        <w:gridCol w:w="800"/>
        <w:gridCol w:w="674"/>
        <w:gridCol w:w="256"/>
        <w:gridCol w:w="1021"/>
        <w:gridCol w:w="888"/>
        <w:gridCol w:w="571"/>
        <w:gridCol w:w="319"/>
        <w:gridCol w:w="816"/>
        <w:gridCol w:w="34"/>
        <w:gridCol w:w="993"/>
        <w:gridCol w:w="230"/>
        <w:gridCol w:w="762"/>
        <w:gridCol w:w="596"/>
        <w:gridCol w:w="538"/>
        <w:gridCol w:w="942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4" w:hRule="atLeast"/>
        </w:trPr>
        <w:tc>
          <w:tcPr>
            <w:tcW w:w="10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基本情况</w:t>
            </w: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项目名称</w:t>
            </w:r>
          </w:p>
        </w:tc>
        <w:tc>
          <w:tcPr>
            <w:tcW w:w="28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教育事业发展专项　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预算安排资金(万元)</w:t>
            </w:r>
          </w:p>
        </w:tc>
        <w:tc>
          <w:tcPr>
            <w:tcW w:w="27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873.78　</w:t>
            </w:r>
          </w:p>
        </w:tc>
        <w:tc>
          <w:tcPr>
            <w:tcW w:w="23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功能科目编码及名称</w:t>
            </w: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2050299其他普通教育支出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7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项目实施单位</w:t>
            </w:r>
          </w:p>
        </w:tc>
        <w:tc>
          <w:tcPr>
            <w:tcW w:w="28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益阳市大通湖区教育核算中心　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项目类型</w:t>
            </w:r>
          </w:p>
        </w:tc>
        <w:tc>
          <w:tcPr>
            <w:tcW w:w="27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延续项目☑  新增项目□ 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联络人：</w:t>
            </w:r>
          </w:p>
        </w:tc>
        <w:tc>
          <w:tcPr>
            <w:tcW w:w="1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周敏　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联系电话：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13873705840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项目概况</w:t>
            </w:r>
          </w:p>
        </w:tc>
        <w:tc>
          <w:tcPr>
            <w:tcW w:w="12247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15"/>
                <w:szCs w:val="15"/>
              </w:rPr>
              <w:t>教育事业发展专项（含教育专项奖励资金10万元、教育基金10万元、普通高中助学金、普通高中“建档立卡”等家庭经济困难学生免学杂费区级配套资金、贫困学生救助基金、校方责任保险、市、区中小学生运动会、全区足球联赛、独生子女父母奖励、工会经费、女职工卫生费、教职工培训费、学校保安人员经费、市级课改样板校、代课教师经费、特级教师津贴、艺术展演、遗属生活补助、特岗教师面试、高效直招经费、乡村人才津贴、原中小学民办教师困难生活补助、共青团、少先队工作经费、教育十条、教师业务知识考试、新生入学报名系统服务费、从教30年退休一次性待遇、课后服务、教师体检经费、生均公用经费(高中33万元、义务教育39万元、学前教育40万元)）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8" w:hRule="atLeast"/>
        </w:trPr>
        <w:tc>
          <w:tcPr>
            <w:tcW w:w="10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项目组织管理情况</w:t>
            </w: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是否实施招投标</w:t>
            </w:r>
          </w:p>
        </w:tc>
        <w:tc>
          <w:tcPr>
            <w:tcW w:w="28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□是☑否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无该项内容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是否实施政府采购</w:t>
            </w:r>
          </w:p>
        </w:tc>
        <w:tc>
          <w:tcPr>
            <w:tcW w:w="796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□是　           ☑否               □无该项内容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8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是否实行合同管理制</w:t>
            </w:r>
          </w:p>
        </w:tc>
        <w:tc>
          <w:tcPr>
            <w:tcW w:w="28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是 □否□无该项内容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采购金额</w:t>
            </w:r>
          </w:p>
        </w:tc>
        <w:tc>
          <w:tcPr>
            <w:tcW w:w="796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应采购金额万元  实际采购金额万元   □无该项内容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项目调整内容及报批程序和手续</w:t>
            </w:r>
          </w:p>
        </w:tc>
        <w:tc>
          <w:tcPr>
            <w:tcW w:w="12247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无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单位已有的（或拟订的）保证项目实施的制度、措施</w:t>
            </w:r>
          </w:p>
        </w:tc>
        <w:tc>
          <w:tcPr>
            <w:tcW w:w="12247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cs="宋体" w:eastAsiaTheme="minorEastAsia"/>
                <w:kern w:val="0"/>
                <w:sz w:val="13"/>
                <w:szCs w:val="13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13"/>
                <w:szCs w:val="13"/>
              </w:rPr>
              <w:t>大编委纪【2022】1号、大编委纪【2022】3号、</w:t>
            </w:r>
            <w:r>
              <w:rPr>
                <w:rFonts w:hint="eastAsia" w:ascii="宋体" w:hAnsi="宋体" w:eastAsia="宋体" w:cs="宋体"/>
                <w:sz w:val="13"/>
                <w:szCs w:val="13"/>
              </w:rPr>
              <w:t>工会法》、《工会会计制度》和湖南省总工会《湖南省基层工会经费收支管理实施细则的通知》(湘工发[2018]20号)、</w:t>
            </w:r>
            <w:r>
              <w:rPr>
                <w:rFonts w:hint="eastAsia" w:ascii="仿宋_GB2312" w:hAnsi="宋体" w:cs="宋体"/>
                <w:kern w:val="0"/>
                <w:sz w:val="13"/>
                <w:szCs w:val="13"/>
              </w:rPr>
              <w:t>关于印发《益阳市大通湖区2022年度中小学教师高级、一级职称评审推荐工作实施方案》的通知（大教卫发【2022】66号）、《关于开展2022年全省中小学教师资格定期注册工作的通知》和益阳市教育局办公室印发《关于进一步加强益阳市中小学教师培训学分登记工作的规定》的通知、《区委机构编制委员会第2次会议纪要》大编委纪【2020】2号、《区管委会第5次常务会议纪要》大管阅【2022】12号</w:t>
            </w:r>
            <w:r>
              <w:rPr>
                <w:rFonts w:hint="eastAsia" w:ascii="仿宋_GB2312" w:hAnsi="宋体" w:cs="宋体"/>
                <w:kern w:val="0"/>
                <w:sz w:val="13"/>
                <w:szCs w:val="13"/>
                <w:lang w:eastAsia="zh-CN"/>
              </w:rPr>
              <w:t>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3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具体工作措施</w:t>
            </w:r>
          </w:p>
        </w:tc>
        <w:tc>
          <w:tcPr>
            <w:tcW w:w="12247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仿宋_GB2312" w:hAnsi="宋体" w:cs="宋体"/>
                <w:kern w:val="0"/>
                <w:sz w:val="13"/>
                <w:szCs w:val="13"/>
              </w:rPr>
              <w:t>1、由教育、人社、财政、编办、民政、审计等部门成立领导小组，领导小组下设办公室在区教卫局，教卫局局长兼办公室主任，负责日常招聘事务工作；2、严格选拔人才，对有丰富经验、学历、资历等符合条件的人选进行考核，保证优秀人员上岗，严把质量关；3、为保证代课教师较好完成教学任务，工资福利待遇紧跟行业水平，及时发放；4、工会经费收支严格按中华全国总工会《基层工会经费收支管理办法》进行管理和使用，保障职工权益，节日慰问7个法定节日、生日慰问、结婚、生育、生病住院、去世、退休离岗等及开展文体活动费用；5、依据国家、省、市和县（区）教师培训要求，组织教师参加各级各类专业发展学习，并做好学分登记，查验、审核工作。根据省教育厅、公安厅、财政厅《关于进一步加强中小学幼儿园“三项”建设的通知》，我区校园需配备专职保安38名，经培训合格后上岗，负责校园安保工作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0" w:hRule="atLeast"/>
        </w:trPr>
        <w:tc>
          <w:tcPr>
            <w:tcW w:w="15548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</w:rPr>
              <w:t>分 季 度 执 行 情 况 （一）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</w:trPr>
        <w:tc>
          <w:tcPr>
            <w:tcW w:w="117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资金安排使用情况（万元）</w:t>
            </w:r>
          </w:p>
        </w:tc>
        <w:tc>
          <w:tcPr>
            <w:tcW w:w="20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全年安排资金额</w:t>
            </w:r>
          </w:p>
        </w:tc>
        <w:tc>
          <w:tcPr>
            <w:tcW w:w="35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第1季度</w:t>
            </w:r>
          </w:p>
        </w:tc>
        <w:tc>
          <w:tcPr>
            <w:tcW w:w="36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1-2季度</w:t>
            </w:r>
          </w:p>
        </w:tc>
        <w:tc>
          <w:tcPr>
            <w:tcW w:w="40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1-3季度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51" w:hRule="atLeast"/>
        </w:trPr>
        <w:tc>
          <w:tcPr>
            <w:tcW w:w="11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已到位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资金（万元）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已到位资金(万元)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累计已到位资金（万元）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(万元)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实现率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5" w:hRule="atLeast"/>
        </w:trPr>
        <w:tc>
          <w:tcPr>
            <w:tcW w:w="11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资金总额 (=1+2+3)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873.78　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8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08.64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92.55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109.92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12.58%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8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08.64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92.55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298.95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34.21%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8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08.64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92.55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452.74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51.81%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其中：1.财政拨款 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873.78　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8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08.64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92.55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109.92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12.58%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8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08.64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92.55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298.95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34.21%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8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08.64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92.55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452.74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51.81%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2.自有资金  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其中:事业收入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经营性收入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4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其他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4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3.其他 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4" w:hRule="atLeast"/>
        </w:trPr>
        <w:tc>
          <w:tcPr>
            <w:tcW w:w="15548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监    控    报    告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739" w:hRule="atLeast"/>
        </w:trPr>
        <w:tc>
          <w:tcPr>
            <w:tcW w:w="2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产出成果</w:t>
            </w:r>
          </w:p>
        </w:tc>
        <w:tc>
          <w:tcPr>
            <w:tcW w:w="12929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根据该项目实际情况，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聘用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代课教师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48名，组织教师参加各级各类培训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约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607人次，教师参训率、合格达98%；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聘用保安人员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41人，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确保全年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零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事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故，达标率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100%；组织少先队、共青团和党建活动10次及工会活动，各项活动完成率、合格率100%；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乡镇人才津贴发放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254人32.4万元完成指标50%以上；落实家庭经济困难寄宿生和“建档立卡”非寄宿生生活补助850人次，资助履盖率100%；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招聘中小学教师完成率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100%；组织全区中小学体卫艺活动6场次，完成率、达标率100%；生均公用经费下拨及时，完成指标100%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等；教育水平不断提高，增加人民群众获得感、幸福感，办好人民满意的教育；人民群众及学生对教育工作的满意率达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95%以上。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40" w:hRule="atLeast"/>
        </w:trPr>
        <w:tc>
          <w:tcPr>
            <w:tcW w:w="2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存在的问题</w:t>
            </w:r>
          </w:p>
        </w:tc>
        <w:tc>
          <w:tcPr>
            <w:tcW w:w="12929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师资配备参差不齐，教师流动性大，工作负担繁重，工资待遇等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2、教师业务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培训方式单一，培训质量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有待提高；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保安人员责任心，身体素质，治安意识方面有待加强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安保器材不足。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64" w:hRule="atLeast"/>
        </w:trPr>
        <w:tc>
          <w:tcPr>
            <w:tcW w:w="2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下一步改进意见</w:t>
            </w:r>
          </w:p>
        </w:tc>
        <w:tc>
          <w:tcPr>
            <w:tcW w:w="12929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1、依法提高学校教师工资待遇水平；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改进教师结构性缺编现状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，提升教师队伍水平；面向社会招聘公办在编教师，合理、有序补充教师。2、建立健全工会经费管理制度；加强工会经费预算编制管理和审批工作；加强资金管理，严格执行工会制度，保障职工合法权益。3、增加教育投入，稳定教师队伍；加大教职工培训力度，提高教职工素质和业务水平；采取多种培训方式，促进教职工专业健康发展。4、增加校园安保经费，配足校园安保人、配齐安保器材；加强校园安保人员培训，提高安保工作队伍整体素质和防范安全风险意识；加强监督检查和培训，提高人员业务水平。</w:t>
            </w: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 w:ascii="仿宋_GB2312" w:hAnsi="仿宋_GB2312" w:eastAsia="仿宋_GB2312" w:cs="仿宋_GB2312"/>
                    <w:sz w:val="30"/>
                    <w:szCs w:val="30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30"/>
                    <w:szCs w:val="30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30"/>
                    <w:szCs w:val="30"/>
                  </w:rPr>
                  <w:fldChar w:fldCharType="separate"/>
                </w:r>
                <w:r>
                  <w:rPr>
                    <w:rFonts w:ascii="仿宋_GB2312" w:hAnsi="仿宋_GB2312" w:eastAsia="仿宋_GB2312" w:cs="仿宋_GB2312"/>
                    <w:sz w:val="30"/>
                    <w:szCs w:val="30"/>
                  </w:rPr>
                  <w:t>- 2 -</w:t>
                </w:r>
                <w:r>
                  <w:rPr>
                    <w:rFonts w:hint="eastAsia" w:ascii="仿宋_GB2312" w:hAnsi="仿宋_GB2312" w:eastAsia="仿宋_GB2312" w:cs="仿宋_GB2312"/>
                    <w:sz w:val="30"/>
                    <w:szCs w:val="30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Y4NTA5ZmNiMGUyNTAwZjdlMzY2NzA4MTI4ODAxYjAifQ=="/>
  </w:docVars>
  <w:rsids>
    <w:rsidRoot w:val="524175C4"/>
    <w:rsid w:val="0002392F"/>
    <w:rsid w:val="000E003A"/>
    <w:rsid w:val="003D65A1"/>
    <w:rsid w:val="006B5FCF"/>
    <w:rsid w:val="007901D7"/>
    <w:rsid w:val="00C1244D"/>
    <w:rsid w:val="00D81B29"/>
    <w:rsid w:val="00E65D40"/>
    <w:rsid w:val="00F55858"/>
    <w:rsid w:val="011D3433"/>
    <w:rsid w:val="01E054EB"/>
    <w:rsid w:val="08E71D16"/>
    <w:rsid w:val="0A5E1A02"/>
    <w:rsid w:val="0B267C63"/>
    <w:rsid w:val="0E485E4D"/>
    <w:rsid w:val="1340228E"/>
    <w:rsid w:val="18862F3B"/>
    <w:rsid w:val="1B185113"/>
    <w:rsid w:val="235110C5"/>
    <w:rsid w:val="2677074C"/>
    <w:rsid w:val="28BE0004"/>
    <w:rsid w:val="2E175813"/>
    <w:rsid w:val="39D24F94"/>
    <w:rsid w:val="3C1A3ABE"/>
    <w:rsid w:val="3CC72A80"/>
    <w:rsid w:val="43C609F8"/>
    <w:rsid w:val="49055FA9"/>
    <w:rsid w:val="49382AE4"/>
    <w:rsid w:val="4A0D233B"/>
    <w:rsid w:val="524175C4"/>
    <w:rsid w:val="52650CB5"/>
    <w:rsid w:val="5307381F"/>
    <w:rsid w:val="533B41A1"/>
    <w:rsid w:val="54C47921"/>
    <w:rsid w:val="56F616D2"/>
    <w:rsid w:val="5706139C"/>
    <w:rsid w:val="662B57B1"/>
    <w:rsid w:val="6AC65D4A"/>
    <w:rsid w:val="6CB33D8F"/>
    <w:rsid w:val="742F1F17"/>
    <w:rsid w:val="794E7D81"/>
    <w:rsid w:val="7BC30D3A"/>
    <w:rsid w:val="7DC934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99"/>
    <w:pPr>
      <w:widowControl w:val="0"/>
      <w:jc w:val="both"/>
    </w:pPr>
    <w:rPr>
      <w:rFonts w:ascii="宋体" w:cs="Courier New" w:hAnsiTheme="minorHAnsi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新正文"/>
    <w:qFormat/>
    <w:uiPriority w:val="99"/>
    <w:pPr>
      <w:widowControl w:val="0"/>
      <w:spacing w:line="600" w:lineRule="exact"/>
      <w:ind w:firstLine="880"/>
      <w:contextualSpacing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1762</Words>
  <Characters>564</Characters>
  <Lines>4</Lines>
  <Paragraphs>4</Paragraphs>
  <TotalTime>1</TotalTime>
  <ScaleCrop>false</ScaleCrop>
  <LinksUpToDate>false</LinksUpToDate>
  <CharactersWithSpaces>2322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2023-10-19T02:53:00Z</dcterms:created>
  <dc:creator>奶茶</dc:creator>
  <cp:lastModifiedBy>快乐大使</cp:lastModifiedBy>
  <cp:lastPrinted>2023-09-20T07:19:00Z</cp:lastPrinted>
  <dcterms:modified xsi:type="dcterms:W3CDTF">2023-10-31T07:47:39Z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72BF805467FC46D78753F20A389BFCBF</vt:lpwstr>
  </property>
</Properties>
</file>