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770"/>
          <w:tab w:val="left" w:pos="1933"/>
          <w:tab w:val="left" w:pos="2813"/>
          <w:tab w:val="left" w:pos="3933"/>
          <w:tab w:val="left" w:pos="4733"/>
          <w:tab w:val="left" w:pos="547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pacing w:line="500" w:lineRule="exact"/>
        <w:jc w:val="left"/>
        <w:rPr>
          <w:rFonts w:ascii="黑体" w:hAnsi="宋体" w:eastAsia="黑体" w:cs="宋体"/>
          <w:kern w:val="0"/>
          <w:szCs w:val="32"/>
        </w:rPr>
      </w:pPr>
      <w:r>
        <w:rPr>
          <w:rFonts w:ascii="黑体" w:hAnsi="宋体" w:eastAsia="黑体" w:cs="宋体"/>
          <w:kern w:val="0"/>
          <w:sz w:val="24"/>
        </w:rPr>
        <w:pict>
          <v:shape id="_x0000_s1026" o:spid="_x0000_s1026" o:spt="202" type="#_x0000_t202" style="position:absolute;left:0pt;margin-left:-18.05pt;margin-top:-8.25pt;height:498.95pt;width:15.8pt;z-index:251660288;mso-width-relative:page;mso-height-relative:page;" filled="f" stroked="f" coordsize="21600,21600" o:gfxdata="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C3F54zXAAAACgEAAA8AAAAAAAAAAQAgAAAAIgAAAGRycy9k&#10;b3ducmV2LnhtbFBLAQIUABQAAAAIAIdO4kCdyQmyygEAAIkDAAAOAAAAAAAAAAEAIAAAACYBAABk&#10;cnMvZTJvRG9jLnhtbFBLBQYAAAAABgAGAFkBAABiBQAAAAA=&#10;">
            <v:path/>
            <v:fill on="f" focussize="0,0"/>
            <v:stroke on="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wordWrap w:val="0"/>
                    <w:spacing w:line="360" w:lineRule="exact"/>
                    <w:jc w:val="right"/>
                    <w:rPr>
                      <w:rFonts w:ascii="宋体" w:hAnsi="宋体" w:eastAsia="宋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宋体" w:eastAsia="黑体" w:cs="宋体"/>
          <w:kern w:val="0"/>
          <w:sz w:val="24"/>
        </w:rPr>
        <w:t>附件：</w:t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  <w:r>
        <w:rPr>
          <w:rFonts w:hint="eastAsia" w:ascii="黑体" w:hAnsi="宋体" w:eastAsia="黑体" w:cs="宋体"/>
          <w:kern w:val="0"/>
          <w:szCs w:val="32"/>
        </w:rPr>
        <w:tab/>
      </w:r>
    </w:p>
    <w:p>
      <w:pPr>
        <w:widowControl/>
        <w:spacing w:afterLines="20" w:line="500" w:lineRule="exact"/>
        <w:ind w:left="9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项目资金绩效监控情况表</w:t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24"/>
        </w:rPr>
        <w:t>填报单位（盖章）</w:t>
      </w:r>
      <w:r>
        <w:rPr>
          <w:rFonts w:ascii="宋体" w:hAnsi="宋体" w:eastAsia="宋体" w:cs="宋体"/>
          <w:kern w:val="0"/>
          <w:sz w:val="18"/>
          <w:szCs w:val="18"/>
        </w:rPr>
        <w:tab/>
      </w:r>
    </w:p>
    <w:p>
      <w:pPr>
        <w:widowControl/>
        <w:tabs>
          <w:tab w:val="left" w:pos="1933"/>
          <w:tab w:val="left" w:pos="2813"/>
          <w:tab w:val="left" w:pos="3933"/>
          <w:tab w:val="left" w:pos="6493"/>
          <w:tab w:val="left" w:pos="7653"/>
          <w:tab w:val="left" w:pos="8933"/>
          <w:tab w:val="left" w:pos="9953"/>
          <w:tab w:val="left" w:pos="10933"/>
          <w:tab w:val="left" w:pos="12233"/>
          <w:tab w:val="left" w:pos="13393"/>
          <w:tab w:val="left" w:pos="14413"/>
          <w:tab w:val="left" w:pos="15433"/>
          <w:tab w:val="left" w:pos="16593"/>
          <w:tab w:val="left" w:pos="17753"/>
        </w:tabs>
        <w:snapToGrid w:val="0"/>
        <w:ind w:left="91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ab/>
      </w:r>
    </w:p>
    <w:tbl>
      <w:tblPr>
        <w:tblStyle w:val="5"/>
        <w:tblW w:w="15548" w:type="dxa"/>
        <w:tblInd w:w="-686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51"/>
        <w:gridCol w:w="125"/>
        <w:gridCol w:w="1443"/>
        <w:gridCol w:w="621"/>
        <w:gridCol w:w="61"/>
        <w:gridCol w:w="1034"/>
        <w:gridCol w:w="952"/>
        <w:gridCol w:w="891"/>
        <w:gridCol w:w="970"/>
        <w:gridCol w:w="434"/>
        <w:gridCol w:w="366"/>
        <w:gridCol w:w="911"/>
        <w:gridCol w:w="888"/>
        <w:gridCol w:w="571"/>
        <w:gridCol w:w="319"/>
        <w:gridCol w:w="816"/>
        <w:gridCol w:w="34"/>
        <w:gridCol w:w="993"/>
        <w:gridCol w:w="230"/>
        <w:gridCol w:w="762"/>
        <w:gridCol w:w="596"/>
        <w:gridCol w:w="538"/>
        <w:gridCol w:w="942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</w:trPr>
        <w:tc>
          <w:tcPr>
            <w:tcW w:w="10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基本情况</w:t>
            </w: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项目名称</w:t>
            </w:r>
          </w:p>
        </w:tc>
        <w:tc>
          <w:tcPr>
            <w:tcW w:w="28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其他经费补助　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预算安排资金(万元)</w:t>
            </w:r>
          </w:p>
        </w:tc>
        <w:tc>
          <w:tcPr>
            <w:tcW w:w="27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644.45　</w:t>
            </w:r>
          </w:p>
        </w:tc>
        <w:tc>
          <w:tcPr>
            <w:tcW w:w="23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功能科目编码及名称</w:t>
            </w: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2050299其他普通教育支出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9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项目实施单位</w:t>
            </w:r>
          </w:p>
        </w:tc>
        <w:tc>
          <w:tcPr>
            <w:tcW w:w="28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益阳市大通湖区教育核算中心　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项目类型</w:t>
            </w:r>
          </w:p>
        </w:tc>
        <w:tc>
          <w:tcPr>
            <w:tcW w:w="27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延续项目☑  新增项目□ 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联络人：</w:t>
            </w:r>
          </w:p>
        </w:tc>
        <w:tc>
          <w:tcPr>
            <w:tcW w:w="1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周敏　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联系电话：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13873705840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0" w:hRule="atLeast"/>
        </w:trPr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项目概况</w:t>
            </w:r>
          </w:p>
        </w:tc>
        <w:tc>
          <w:tcPr>
            <w:tcW w:w="12247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其他经费补助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全区学前教育公办园幼儿保育费收入及中小学、普通高中其他收入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）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10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项目组织管理情况</w:t>
            </w: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是否实施招投标</w:t>
            </w:r>
          </w:p>
        </w:tc>
        <w:tc>
          <w:tcPr>
            <w:tcW w:w="28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□是☑否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无该项内容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是否实施政府采购</w:t>
            </w:r>
          </w:p>
        </w:tc>
        <w:tc>
          <w:tcPr>
            <w:tcW w:w="796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□是　           ☑否               □无该项内容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8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是否实行合同管理制</w:t>
            </w:r>
          </w:p>
        </w:tc>
        <w:tc>
          <w:tcPr>
            <w:tcW w:w="28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是 □否□无该项内容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采购金额</w:t>
            </w:r>
          </w:p>
        </w:tc>
        <w:tc>
          <w:tcPr>
            <w:tcW w:w="796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应采购金额万元  实际采购金额万元   □无该项内容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项目调整内容及报批程序和手续</w:t>
            </w:r>
          </w:p>
        </w:tc>
        <w:tc>
          <w:tcPr>
            <w:tcW w:w="12247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无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单位已有的（或拟订的）保证项目实施的制度、措施</w:t>
            </w:r>
          </w:p>
        </w:tc>
        <w:tc>
          <w:tcPr>
            <w:tcW w:w="12247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lang w:eastAsia="zh-CN"/>
              </w:rPr>
              <w:t>《湖南省幼儿园收费管理实施办法》（湘发改从价费规【</w:t>
            </w:r>
            <w:r>
              <w:rPr>
                <w:rFonts w:hint="eastAsia" w:ascii="仿宋_GB2312" w:hAnsi="宋体" w:cs="宋体"/>
                <w:kern w:val="0"/>
                <w:sz w:val="24"/>
                <w:lang w:val="en-US" w:eastAsia="zh-CN"/>
              </w:rPr>
              <w:t>2020】659号）、《关于进一步加强2022年治理教育乱收费工作的通知》湘治教费办通【2022】2号等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3" w:hRule="atLeast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具体工作措施</w:t>
            </w:r>
          </w:p>
        </w:tc>
        <w:tc>
          <w:tcPr>
            <w:tcW w:w="12247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仿宋_GB2312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　</w:t>
            </w:r>
            <w:r>
              <w:rPr>
                <w:rFonts w:hint="eastAsia" w:ascii="仿宋_GB2312" w:hAnsi="宋体" w:cs="宋体"/>
                <w:kern w:val="0"/>
                <w:sz w:val="24"/>
                <w:lang w:val="en-US" w:eastAsia="zh-CN"/>
              </w:rPr>
              <w:t>1、严格执行上级收费文件精神，各单位收费标准报区财政物价审批备案后方可执行；2、开学初加大政策宣传，收费项目、收费标准按要求公开到位；3、合理规划资金使用管理，基本满足“幼有所育，幼有所乐”的学前教育发要需求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0" w:hRule="atLeast"/>
        </w:trPr>
        <w:tc>
          <w:tcPr>
            <w:tcW w:w="15548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</w:rPr>
              <w:t>分 季 度 执 行 情 况 （一）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</w:trPr>
        <w:tc>
          <w:tcPr>
            <w:tcW w:w="117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资金安排使用情况（万元）</w:t>
            </w:r>
          </w:p>
        </w:tc>
        <w:tc>
          <w:tcPr>
            <w:tcW w:w="20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全年安排资金额</w:t>
            </w:r>
          </w:p>
        </w:tc>
        <w:tc>
          <w:tcPr>
            <w:tcW w:w="36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第1季度</w:t>
            </w:r>
          </w:p>
        </w:tc>
        <w:tc>
          <w:tcPr>
            <w:tcW w:w="3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1-2季度</w:t>
            </w:r>
          </w:p>
        </w:tc>
        <w:tc>
          <w:tcPr>
            <w:tcW w:w="40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1-3季度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51" w:hRule="atLeast"/>
        </w:trPr>
        <w:tc>
          <w:tcPr>
            <w:tcW w:w="11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已到位资金（万元）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已到位资金(万元)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出资金(万元)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支出实现率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累计已到位资金（万元）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到位率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实际支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出资金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(万元)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支出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实现率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5" w:hRule="atLeast"/>
        </w:trPr>
        <w:tc>
          <w:tcPr>
            <w:tcW w:w="11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资金总额 (=1+2+3)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644.45　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478.92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74.31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85.86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13.32%　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478.92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74.31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235.63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36.56%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478.92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74.31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300.05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46.56%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其中：1.财政拨款 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644.45　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478.92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74.31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85.86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13.32%　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478.92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74.31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235.63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36.56%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478.92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74.31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300.05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46.56%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2.自有资金  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  <w:bookmarkStart w:id="0" w:name="_GoBack"/>
            <w:bookmarkEnd w:id="0"/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其中:事业收入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经营性收入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4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其他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4" w:hRule="atLeast"/>
        </w:trPr>
        <w:tc>
          <w:tcPr>
            <w:tcW w:w="11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 xml:space="preserve"> 3.其他 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4" w:hRule="atLeast"/>
        </w:trPr>
        <w:tc>
          <w:tcPr>
            <w:tcW w:w="15548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监    控    报    告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739" w:hRule="atLeast"/>
        </w:trPr>
        <w:tc>
          <w:tcPr>
            <w:tcW w:w="2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产出成果</w:t>
            </w:r>
          </w:p>
        </w:tc>
        <w:tc>
          <w:tcPr>
            <w:tcW w:w="12929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根据该项目实施情况，全区学前教育三年毛入园率达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95%；普惠性学前教育覆盖率70%以上；资助家庭经济困难幼儿入园幼儿约198人次，完成指标50%；服务14所公办幼儿园，幼儿2055人，公办园在园幼儿占比提高；组织教师参加各级各类培训，教师参训率、合格达98%；资助家庭经济困难幼儿履盖率100%；资金拨付及时足额，完成指标100%等；积极引导持续扩大普惠性学前教育资源。教育水平不断提高，加速解决“入园难、入园贵”问题，增加人民群众获得感、幸福感；人民群众及学生对教育工作的满意率达95%以上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40" w:hRule="atLeast"/>
        </w:trPr>
        <w:tc>
          <w:tcPr>
            <w:tcW w:w="2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存在的问题</w:t>
            </w:r>
          </w:p>
        </w:tc>
        <w:tc>
          <w:tcPr>
            <w:tcW w:w="12929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1、办园条件有待再完善，幼儿设备添置有待加强；2、幼儿园在编的专业教师少。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64" w:hRule="atLeast"/>
        </w:trPr>
        <w:tc>
          <w:tcPr>
            <w:tcW w:w="2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下一步改进意见</w:t>
            </w:r>
          </w:p>
        </w:tc>
        <w:tc>
          <w:tcPr>
            <w:tcW w:w="12929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1、加大对学前教育经费投入力度，改善幼儿安全环保的绿色育人环境；2、加大师资力量培养，争取政府对学前教育教师定向培养计划；3、加强督查指导，确保幼儿安全。</w:t>
            </w: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 w:ascii="仿宋_GB2312" w:hAnsi="仿宋_GB2312" w:eastAsia="仿宋_GB2312" w:cs="仿宋_GB2312"/>
                    <w:sz w:val="30"/>
                    <w:szCs w:val="30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30"/>
                    <w:szCs w:val="30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30"/>
                    <w:szCs w:val="30"/>
                  </w:rPr>
                  <w:fldChar w:fldCharType="separate"/>
                </w:r>
                <w:r>
                  <w:rPr>
                    <w:rFonts w:ascii="仿宋_GB2312" w:hAnsi="仿宋_GB2312" w:eastAsia="仿宋_GB2312" w:cs="仿宋_GB2312"/>
                    <w:sz w:val="30"/>
                    <w:szCs w:val="30"/>
                  </w:rPr>
                  <w:t>- 2 -</w:t>
                </w:r>
                <w:r>
                  <w:rPr>
                    <w:rFonts w:hint="eastAsia" w:ascii="仿宋_GB2312" w:hAnsi="仿宋_GB2312" w:eastAsia="仿宋_GB2312" w:cs="仿宋_GB2312"/>
                    <w:sz w:val="30"/>
                    <w:szCs w:val="30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Y4NTA5ZmNiMGUyNTAwZjdlMzY2NzA4MTI4ODAxYjAifQ=="/>
  </w:docVars>
  <w:rsids>
    <w:rsidRoot w:val="524175C4"/>
    <w:rsid w:val="000C48EC"/>
    <w:rsid w:val="00156119"/>
    <w:rsid w:val="003D65A1"/>
    <w:rsid w:val="005B3C65"/>
    <w:rsid w:val="00665C18"/>
    <w:rsid w:val="006B5FCF"/>
    <w:rsid w:val="00AC509C"/>
    <w:rsid w:val="00F55858"/>
    <w:rsid w:val="011D3433"/>
    <w:rsid w:val="0A5E1A02"/>
    <w:rsid w:val="0B267C63"/>
    <w:rsid w:val="0E485E4D"/>
    <w:rsid w:val="1340228E"/>
    <w:rsid w:val="18862F3B"/>
    <w:rsid w:val="1FBE293E"/>
    <w:rsid w:val="2677074C"/>
    <w:rsid w:val="2E175813"/>
    <w:rsid w:val="387B36A1"/>
    <w:rsid w:val="39D24F94"/>
    <w:rsid w:val="3CC72A80"/>
    <w:rsid w:val="40906885"/>
    <w:rsid w:val="43087E22"/>
    <w:rsid w:val="434D1CD9"/>
    <w:rsid w:val="43C609F8"/>
    <w:rsid w:val="49055FA9"/>
    <w:rsid w:val="49382AE4"/>
    <w:rsid w:val="524175C4"/>
    <w:rsid w:val="52650CB5"/>
    <w:rsid w:val="5307381F"/>
    <w:rsid w:val="555B0286"/>
    <w:rsid w:val="56F616D2"/>
    <w:rsid w:val="5706139C"/>
    <w:rsid w:val="63590AD9"/>
    <w:rsid w:val="68B504FF"/>
    <w:rsid w:val="6AC65D4A"/>
    <w:rsid w:val="6CB33D8F"/>
    <w:rsid w:val="742F1F17"/>
    <w:rsid w:val="794E7D81"/>
    <w:rsid w:val="7BC30D3A"/>
    <w:rsid w:val="7DC934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99"/>
    <w:pPr>
      <w:widowControl w:val="0"/>
      <w:jc w:val="both"/>
    </w:pPr>
    <w:rPr>
      <w:rFonts w:ascii="宋体" w:cs="Courier New" w:hAnsiTheme="minorHAnsi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新正文"/>
    <w:qFormat/>
    <w:uiPriority w:val="99"/>
    <w:pPr>
      <w:widowControl w:val="0"/>
      <w:spacing w:line="600" w:lineRule="exact"/>
      <w:ind w:firstLine="880"/>
      <w:contextualSpacing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512</Words>
  <Characters>537</Characters>
  <Lines>4</Lines>
  <Paragraphs>2</Paragraphs>
  <TotalTime>1</TotalTime>
  <ScaleCrop>false</ScaleCrop>
  <LinksUpToDate>false</LinksUpToDate>
  <CharactersWithSpaces>1047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2023-10-19T02:55:00Z</dcterms:created>
  <dc:creator>奶茶</dc:creator>
  <cp:lastModifiedBy>快乐大使</cp:lastModifiedBy>
  <cp:lastPrinted>2023-09-20T07:19:00Z</cp:lastPrinted>
  <dcterms:modified xsi:type="dcterms:W3CDTF">2023-10-31T07:50:59Z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72BF805467FC46D78753F20A389BFCBF</vt:lpwstr>
  </property>
</Properties>
</file>