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jc w:val="left"/>
        <w:rPr>
          <w:rFonts w:ascii="黑体" w:eastAsia="黑体" w:cs="宋体" w:hint="eastAsia"/>
          <w:kern w:val="0"/>
          <w:szCs w:val="32"/>
        </w:rPr>
      </w:pPr>
      <w:r>
        <w:rPr>
          <w:rFonts w:ascii="黑体" w:eastAsia="黑体" w:cs="宋体" w:hint="eastAsia"/>
          <w:kern w:val="0"/>
          <w:sz w:val="24"/>
          <w:szCs w:val="24"/>
        </w:rPr>
        <mc:AlternateContent>
          <mc:Choice Requires="wps">
            <w:drawing>
              <wp:anchor distT="0" distB="0" distL="114298" distR="114298" simplePos="0" relativeHeight="11" behindDoc="0" locked="0" layoutInCell="1" hidden="0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4"/>
                <wp:effectExtent l="0" t="0" r="0" b="0"/>
                <wp:wrapNone/>
                <wp:docPr id="4" name="文本框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0660" cy="6336664"/>
                        </a:xfrm>
                        <a:prstGeom prst="rect"/>
                        <a:noFill/>
                        <a:ln w="9525" cmpd="sng" cap="flat">
                          <a:noFill/>
                          <a:prstDash val="solid"/>
                          <a:round/>
                        </a:ln>
                      </wps:spPr>
                      <wps:txbx id="5"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ascii="宋体" w:eastAsia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6" o:spid="_x0000_s6" filled="f" stroked="f" style="position:absolute;&#13;&#10;margin-left:-18.05pt;&#13;&#10;margin-top:-8.25pt;&#13;&#10;width:15.8pt;&#13;&#10;height:498.95pt;&#13;&#10;z-index:11;&#13;&#10;mso-position-horizontal:absolute;&#13;&#10;mso-position-vertical:absolute;&#13;&#10;mso-wrap-distance-left:8.999863pt;&#13;&#10;mso-wrap-distance-right:8.999863pt;&#13;&#10;mso-wrap-style:square;">
                <v:stroke color="#000000"/>
                <v:textbox id="848" inset="0mm,0mm,0mm,0mm" o:insetmode="custom" style="layout-flow:vertical-ideographic;&#13;&#10;v-text-anchor:top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ascii="宋体" w:eastAsia="宋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cs="宋体" w:hint="eastAsia"/>
          <w:kern w:val="0"/>
          <w:sz w:val="24"/>
          <w:szCs w:val="24"/>
        </w:rPr>
        <w:t>附件：</w:t>
      </w:r>
      <w:r>
        <w:rPr>
          <w:rFonts w:ascii="黑体" w:eastAsia="黑体" w:cs="宋体" w:hint="eastAsia"/>
          <w:kern w:val="0"/>
          <w:szCs w:val="3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widowControl/>
        <w:spacing w:afterLines="20" w:after="62" w:line="500" w:lineRule="exact"/>
        <w:ind w:left="91"/>
        <w:jc w:val="center"/>
        <w:rPr>
          <w:rFonts w:ascii="华康简标题宋" w:eastAsia="华康简标题宋" w:cs="宋体" w:hint="eastAsia"/>
          <w:bCs/>
          <w:kern w:val="0"/>
          <w:sz w:val="44"/>
          <w:szCs w:val="44"/>
        </w:rPr>
      </w:pPr>
      <w:r>
        <w:rPr>
          <w:rFonts w:ascii="华康简标题宋" w:eastAsia="华康简标题宋" w:cs="宋体" w:hint="eastAsia"/>
          <w:bCs/>
          <w:kern w:val="0"/>
          <w:sz w:val="44"/>
          <w:szCs w:val="44"/>
          <w:lang w:val="en-US" w:eastAsia="zh-CN"/>
        </w:rPr>
        <w:t>项目</w:t>
      </w:r>
      <w:r>
        <w:rPr>
          <w:rFonts w:ascii="华康简标题宋" w:eastAsia="华康简标题宋" w:cs="宋体" w:hint="eastAsia"/>
          <w:bCs/>
          <w:kern w:val="0"/>
          <w:sz w:val="44"/>
          <w:szCs w:val="44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 w:hint="eastAsia"/>
          <w:kern w:val="0"/>
          <w:sz w:val="24"/>
          <w:szCs w:val="24"/>
        </w:rPr>
        <w:t>填报单位（盖章）</w:t>
      </w:r>
      <w:r>
        <w:rPr>
          <w:rFonts w:ascii="宋体" w:eastAsia="宋体" w:cs="宋体"/>
          <w:kern w:val="0"/>
          <w:sz w:val="24"/>
          <w:szCs w:val="24"/>
        </w:rPr>
        <w:t>：中共益阳市大通湖区纪委</w:t>
      </w:r>
      <w:r>
        <w:rPr>
          <w:rFonts w:asci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jc w:val="left"/>
        <w:tblInd w:w="-686" w:type="dxa"/>
        <w:tblW w:w="15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809"/>
        <w:gridCol w:w="855"/>
        <w:gridCol w:w="631"/>
        <w:gridCol w:w="75"/>
        <w:gridCol w:w="1079"/>
        <w:gridCol w:w="870"/>
        <w:gridCol w:w="787"/>
        <w:gridCol w:w="293"/>
        <w:gridCol w:w="842"/>
        <w:gridCol w:w="108"/>
        <w:gridCol w:w="1030"/>
        <w:gridCol w:w="119"/>
        <w:gridCol w:w="781"/>
        <w:gridCol w:w="577"/>
        <w:gridCol w:w="488"/>
        <w:gridCol w:w="917"/>
      </w:tblGrid>
      <w:tr>
        <w:trPr>
          <w:trHeight w:val="789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纪检监察运行经费　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158.9　</w:t>
            </w: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/>
              </w:rPr>
              <w:t>2011102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59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left" w:pos="1933"/>
                <w:tab w:val="left" w:pos="2813"/>
                <w:tab w:val="left" w:pos="3933"/>
                <w:tab w:val="left" w:pos="6493"/>
                <w:tab w:val="left" w:pos="7653"/>
                <w:tab w:val="left" w:pos="8933"/>
                <w:tab w:val="left" w:pos="9953"/>
                <w:tab w:val="left" w:pos="10933"/>
                <w:tab w:val="left" w:pos="12233"/>
                <w:tab w:val="left" w:pos="13393"/>
                <w:tab w:val="left" w:pos="14413"/>
                <w:tab w:val="left" w:pos="15433"/>
                <w:tab w:val="left" w:pos="16593"/>
                <w:tab w:val="left" w:pos="17753"/>
              </w:tabs>
              <w:snapToGrid w:val="0"/>
              <w:ind w:left="91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eastAsia="zh-CN"/>
              </w:rPr>
              <w:t>大通湖区纪委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both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延续项目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 xml:space="preserve">  新增项目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eastAsia="zh-CN"/>
              </w:rPr>
              <w:t>宁茶妮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/>
              </w:rPr>
              <w:t>19958101822</w:t>
            </w:r>
          </w:p>
        </w:tc>
      </w:tr>
      <w:tr>
        <w:trPr>
          <w:trHeight w:val="910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eastAsia="宋体" w:cs="宋体" w:hAnsi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cs="宋体" w:hAnsi="仿宋_GB2312" w:hint="eastAsia"/>
                <w:kern w:val="0"/>
                <w:sz w:val="24"/>
                <w:szCs w:val="24"/>
                <w:lang w:eastAsia="zh-CN"/>
              </w:rPr>
              <w:t>用于案件查办、专项整治、宣传教育等工作及保障机关日常运行。</w:t>
            </w:r>
          </w:p>
        </w:tc>
      </w:tr>
      <w:tr>
        <w:trPr>
          <w:trHeight w:val="698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both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□是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否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sym w:font="Wingdings 2" w:char="A3"/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8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 xml:space="preserve">    □是　          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否               □无该项内容</w:t>
            </w:r>
          </w:p>
        </w:tc>
      </w:tr>
      <w:tr>
        <w:trPr>
          <w:trHeight w:val="778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both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sym w:font="Wingdings 2" w:char="52"/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是 □否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□无该项内容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8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应采购金额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 xml:space="preserve">万元 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实际采购金额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 xml:space="preserve">万元  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无该项内容</w:t>
            </w:r>
          </w:p>
        </w:tc>
      </w:tr>
      <w:tr>
        <w:trPr>
          <w:trHeight w:val="687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cs="宋体" w:hAnsi="仿宋_GB2312"/>
                <w:kern w:val="0"/>
                <w:sz w:val="24"/>
                <w:szCs w:val="24"/>
              </w:rPr>
            </w:pPr>
            <w:r>
              <w:rPr>
                <w:rFonts w:ascii="仿宋_GB2312" w:cs="宋体" w:hAnsi="仿宋_GB2312" w:hint="eastAsia"/>
                <w:kern w:val="0"/>
                <w:sz w:val="24"/>
                <w:szCs w:val="24"/>
                <w:lang w:eastAsia="zh-CN"/>
              </w:rPr>
              <w:t>未进行项目调整</w:t>
            </w:r>
            <w:r>
              <w:rPr>
                <w:rFonts w:ascii="仿宋_GB2312" w:cs="宋体" w:hAnsi="仿宋_GB2312" w:hint="eastAsia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78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_GB2312" w:cs="宋体" w:hAnsi="仿宋_GB2312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  <w:t>大通湖区纪委区监察工委经费支出管理制度　</w:t>
            </w:r>
            <w:r>
              <w:rPr>
                <w:rFonts w:ascii="仿宋_GB2312" w:cs="宋体" w:hAnsi="仿宋_GB2312" w:hint="eastAsia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73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_GB2312" w:cs="宋体" w:hAnsi="仿宋_GB2312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  <w:t>严格执行资金审批程序，做到资金到位及时，支出程序规范；通过对项目支出绩效进行评价，全面了解分析单位项目预算执行及公开、经费管理、相关政策制度执行等情况，进一步规范项目资金管理。</w:t>
            </w:r>
            <w:r>
              <w:rPr>
                <w:rFonts w:ascii="仿宋_GB2312" w:cs="宋体" w:hAnsi="仿宋_GB2312" w:hint="eastAsia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930"/>
        </w:trPr>
        <w:tc>
          <w:tcPr>
            <w:tcW w:w="155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rPr>
          <w:trHeight w:val="705"/>
        </w:trPr>
        <w:tc>
          <w:tcPr>
            <w:tcW w:w="11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第1季度</w:t>
            </w:r>
          </w:p>
        </w:tc>
        <w:tc>
          <w:tcPr>
            <w:tcW w:w="40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1-2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季度</w:t>
            </w:r>
          </w:p>
        </w:tc>
        <w:tc>
          <w:tcPr>
            <w:tcW w:w="3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1-3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季度</w:t>
            </w:r>
          </w:p>
        </w:tc>
      </w:tr>
      <w:tr>
        <w:trPr>
          <w:trHeight w:val="1451"/>
        </w:trPr>
        <w:tc>
          <w:tcPr>
            <w:tcW w:w="11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已到位资金(万元)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实现率</w:t>
            </w:r>
          </w:p>
        </w:tc>
      </w:tr>
      <w:tr>
        <w:trPr>
          <w:trHeight w:val="745"/>
        </w:trPr>
        <w:tc>
          <w:tcPr>
            <w:tcW w:w="11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158.9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39.7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00" w:firstLine="240"/>
              <w:jc w:val="left"/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25%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left="240" w:hangingChars="100" w:hanging="240"/>
              <w:jc w:val="left"/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10.05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6.3%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79.45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49.22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30.98%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119.2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75%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93.21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58.66%</w:t>
            </w:r>
          </w:p>
        </w:tc>
      </w:tr>
      <w:tr>
        <w:trPr>
          <w:trHeight w:val="765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158.9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39.7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firstLineChars="100" w:firstLine="240"/>
              <w:jc w:val="left"/>
              <w:rPr>
                <w:rFonts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25%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ind w:left="240" w:hangingChars="100" w:hanging="240"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10.05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6.3%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79.45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49.22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30.98%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119.2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75%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93.21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>58.66%</w:t>
            </w:r>
          </w:p>
        </w:tc>
      </w:tr>
      <w:tr>
        <w:trPr>
          <w:trHeight w:val="685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15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both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53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righ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54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74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820"/>
        </w:trPr>
        <w:tc>
          <w:tcPr>
            <w:tcW w:w="155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rPr>
          <w:trHeight w:val="2326"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both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  <w:t>开展集中培训5批次、监督检查120余次、印发通报6期、查办案件近40件、案件办结率高于90%、无案件事故发生、成本控制在预算资金内。推进各类专项整治有序进行，严肃查处群众身边的腐败和不正之风，强化政治生态建设，推进党风政风持续好转。</w:t>
            </w:r>
            <w:bookmarkStart w:id="0" w:name="_GoBack"/>
            <w:bookmarkEnd w:id="0"/>
          </w:p>
        </w:tc>
      </w:tr>
      <w:tr>
        <w:trPr>
          <w:trHeight w:val="1940"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  <w:t>由于预算绩效管理的专业性、复杂性等特性，预算编制工作需进一步精细化，项目资金使用的效率还要进一步提高。</w:t>
            </w:r>
          </w:p>
        </w:tc>
      </w:tr>
      <w:tr>
        <w:trPr>
          <w:trHeight w:val="2264"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560" w:lineRule="atLeast"/>
              <w:ind w:leftChars="100" w:left="210" w:right="0"/>
              <w:jc w:val="left"/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  <w:t>1.进一步控制项目经费支出，在确保各项任务完成的同时，力争把成本降底。</w:t>
            </w:r>
          </w:p>
          <w:p>
            <w:pPr>
              <w:pStyle w:val="17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560" w:lineRule="atLeast"/>
              <w:ind w:leftChars="100" w:left="210" w:right="0"/>
              <w:jc w:val="left"/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  <w:t>2.加大资金预算及预算资金执行力度，强化资金监管和资金产出效益。</w:t>
            </w:r>
          </w:p>
          <w:p>
            <w:pPr>
              <w:pStyle w:val="17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before="0" w:beforeAutospacing="0" w:after="0" w:afterAutospacing="0" w:line="560" w:lineRule="atLeast"/>
              <w:ind w:leftChars="100" w:left="210" w:right="0"/>
              <w:jc w:val="left"/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  <w:lang w:val="en-US" w:eastAsia="zh-CN" w:bidi="ar-SA"/>
              </w:rPr>
              <w:t>3.加强资金绩效目标考核管理，确保资金投入和产出效益。</w:t>
            </w:r>
          </w:p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footerReference w:type="default" r:id="rId2"/>
      <w:pgSz w:w="16840" w:h="11907" w:orient="landscape"/>
      <w:pgMar w:top="1701" w:right="1418" w:bottom="1418" w:left="1418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roman"/>
    <w:pitch w:val="variable"/>
    <w:sig w:usb0="00000001" w:usb1="080E0000" w:usb2="00000000" w:usb3="00000000" w:csb0="00040000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康简标题宋">
    <w:panose1 w:val="02010609000101010101"/>
    <w:charset w:val="00"/>
    <w:family w:val="auto"/>
    <w:pitch w:val="variable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variable"/>
    <w:sig w:usb0="00000000" w:usb1="00000000" w:usb2="00000000" w:usb3="00000000" w:csb0="80000000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ourier New">
    <w:panose1 w:val="02070309020205020404"/>
    <w:charset w:val="01"/>
    <w:family w:val="modern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76249" cy="246697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76249" cy="246697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ascii="仿宋_GB2312" w:eastAsia="仿宋_GB2312" w:cs="仿宋_GB2312" w:hint="eastAsia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cs="仿宋_GB2312" w:hint="eastAsia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cs="仿宋_GB2312" w:hint="eastAsia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cs="仿宋_GB2312" w:hint="eastAsia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仿宋_GB2312" w:eastAsia="仿宋_GB2312" w:cs="仿宋_GB2312" w:hint="eastAsia"/>
                              <w:b w:val="0"/>
                              <w:bCs w:val="0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rokeweight="0.5pt" style="position:absolute;&#13;&#10;margin-left:0.0pt;&#13;&#10;margin-top:0.0pt;&#13;&#10;width:37.499977pt;&#13;&#10;height:19.424997pt;&#13;&#10;z-index:12;&#13;&#10;mso-position-horizontal:right;&#13;&#10;mso-position-horizontal-relative:margin;&#13;&#10;mso-position-vertical:absolute;&#13;&#10;mso-wrap-distance-left:8.999863pt;&#13;&#10;mso-wrap-distance-right:8.999863pt;&#13;&#10;mso-wrap-style:none;">
              <v:stroke color="#000000"/>
              <v:textbox id="849" inset="0mm,0mm,0mm,0mm" o:insetmode="custom" style="layout-flow:horizontal;&#13;&#10;v-text-anchor:top;&#13;&#10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ascii="仿宋_GB2312" w:eastAsia="仿宋_GB2312" w:cs="仿宋_GB2312" w:hint="eastAsia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ascii="仿宋_GB2312" w:eastAsia="仿宋_GB2312" w:cs="仿宋_GB2312" w:hint="eastAsia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cs="仿宋_GB2312" w:hint="eastAsia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ascii="仿宋_GB2312" w:eastAsia="仿宋_GB2312" w:cs="仿宋_GB2312" w:hint="eastAsia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ascii="仿宋_GB2312" w:eastAsia="仿宋_GB2312" w:cs="仿宋_GB2312" w:hint="eastAsia"/>
                        <w:b w:val="0"/>
                        <w:bCs w:val="0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Plain Text"/>
    <w:pPr>
      <w:widowControl w:val="0"/>
      <w:jc w:val="both"/>
    </w:pPr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styleId="16">
    <w:name w:val="footer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24"/>
      <w:lang w:val="en-US" w:eastAsia="zh-CN" w:bidi="ar-SA"/>
    </w:rPr>
  </w:style>
  <w:style w:type="paragraph" w:styleId="17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8">
    <w:name w:val="新正文"/>
    <w:pPr>
      <w:widowControl w:val="0"/>
      <w:spacing w:line="600" w:lineRule="exact"/>
      <w:ind w:firstLine="880"/>
      <w:contextualSpacing/>
      <w:jc w:val="both"/>
    </w:pPr>
    <w:rPr>
      <w:rFonts w:ascii="Times New Roman" w:eastAsia="宋体" w:cs="Arial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37</TotalTime>
  <Application>Yozo_Office</Application>
  <Pages>3</Pages>
  <Words>843</Words>
  <Characters>977</Characters>
  <Lines>192</Lines>
  <Paragraphs>100</Paragraphs>
  <CharactersWithSpaces>1200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奶茶</dc:creator>
  <cp:lastModifiedBy>Microsoft</cp:lastModifiedBy>
  <cp:revision>1</cp:revision>
  <cp:lastPrinted>2023-09-20T07:19:00Z</cp:lastPrinted>
  <dcterms:created xsi:type="dcterms:W3CDTF">2022-10-12T08:36:00Z</dcterms:created>
  <dcterms:modified xsi:type="dcterms:W3CDTF">2023-12-18T03:04:12Z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ICV">
    <vt:lpwstr>72BF805467FC46D78753F20A389BFCBF</vt:lpwstr>
  </property>
</Properties>
</file>