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both"/>
        <w:rPr>
          <w:rFonts w:hint="default"/>
          <w:lang w:val="en-US" w:eastAsia="zh-CN"/>
        </w:rPr>
      </w:pPr>
      <w:bookmarkStart w:id="1" w:name="_GoBack"/>
      <w:bookmarkEnd w:id="1"/>
      <w:bookmarkStart w:id="0" w:name="_Hlk155178475"/>
      <w:r>
        <w:rPr>
          <w:rFonts w:hint="eastAsia"/>
          <w:b/>
          <w:bCs/>
          <w:color w:val="191919"/>
          <w:lang w:val="en-US" w:eastAsia="zh-CN"/>
        </w:rPr>
        <w:t>附件2：</w:t>
      </w:r>
    </w:p>
    <w:p>
      <w:pPr>
        <w:spacing w:line="480" w:lineRule="exact"/>
        <w:ind w:firstLine="0" w:firstLineChars="0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大通湖区水环境综合治理与乡村振兴产业融合发展EOD项目</w:t>
      </w:r>
    </w:p>
    <w:p>
      <w:pPr>
        <w:spacing w:line="480" w:lineRule="exact"/>
        <w:ind w:firstLine="0" w:firstLineChars="0"/>
        <w:jc w:val="center"/>
        <w:rPr>
          <w:b/>
          <w:bCs/>
          <w:color w:val="191919"/>
        </w:rPr>
      </w:pPr>
      <w:r>
        <w:rPr>
          <w:b/>
          <w:bCs/>
          <w:color w:val="191919"/>
        </w:rPr>
        <w:t>市场测试表</w:t>
      </w:r>
    </w:p>
    <w:bookmarkEnd w:id="0"/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1743"/>
        <w:gridCol w:w="911"/>
        <w:gridCol w:w="1163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通信地址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22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单位有关资质证书、金融机构信用情况介绍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单位净资产、资产负债率、银行授信额度等财务情况介绍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单位类似项目投资、建设、运营情况介绍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50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市场测试意见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213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项目条件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回复（认为是否合适，如不接受，提出能接受的条件）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21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本项目实施期限23年，其中建设期3年运营期20年</w:t>
            </w:r>
          </w:p>
        </w:tc>
        <w:tc>
          <w:tcPr>
            <w:tcW w:w="3441" w:type="dxa"/>
            <w:gridSpan w:val="2"/>
          </w:tcPr>
          <w:p>
            <w:pPr>
              <w:spacing w:line="276" w:lineRule="auto"/>
              <w:ind w:firstLine="0" w:firstLineChars="0"/>
              <w:rPr>
                <w:rFonts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1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本项目总投资18-19亿元，其中资本金3.6-3.8亿元，不低于项目总投资的 20% </w:t>
            </w:r>
          </w:p>
        </w:tc>
        <w:tc>
          <w:tcPr>
            <w:tcW w:w="3441" w:type="dxa"/>
            <w:gridSpan w:val="2"/>
          </w:tcPr>
          <w:p>
            <w:pPr>
              <w:spacing w:line="276" w:lineRule="auto"/>
              <w:ind w:firstLine="0" w:firstLineChars="0"/>
              <w:rPr>
                <w:rFonts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1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本项目投资财务内部收益率（所得税前）不低于7%，项目投资财务内部收益率（所得税后）不低于5.5%,</w:t>
            </w:r>
          </w:p>
        </w:tc>
        <w:tc>
          <w:tcPr>
            <w:tcW w:w="3441" w:type="dxa"/>
            <w:gridSpan w:val="2"/>
          </w:tcPr>
          <w:p>
            <w:pPr>
              <w:spacing w:line="276" w:lineRule="auto"/>
              <w:ind w:firstLine="0" w:firstLineChars="0"/>
              <w:rPr>
                <w:rFonts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21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本项目投资回收期（所得税前）不超过13年，投资回收期（所得税后）不超过15年</w:t>
            </w:r>
          </w:p>
        </w:tc>
        <w:tc>
          <w:tcPr>
            <w:tcW w:w="3441" w:type="dxa"/>
            <w:gridSpan w:val="2"/>
          </w:tcPr>
          <w:p>
            <w:pPr>
              <w:spacing w:line="276" w:lineRule="auto"/>
              <w:ind w:firstLine="0" w:firstLineChars="0"/>
              <w:rPr>
                <w:rFonts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21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本项目资本金投资回收期（所得税前）不超过8年，资本金投资回收期（所得税后）不超过10年</w:t>
            </w:r>
          </w:p>
        </w:tc>
        <w:tc>
          <w:tcPr>
            <w:tcW w:w="3441" w:type="dxa"/>
            <w:gridSpan w:val="2"/>
          </w:tcPr>
          <w:p>
            <w:pPr>
              <w:spacing w:line="276" w:lineRule="auto"/>
              <w:ind w:firstLine="0" w:firstLineChars="0"/>
              <w:rPr>
                <w:rFonts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421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本项目要求在大通湖区成立 EOD 项目公司负责项目统筹推进，一体化融资、建设、运营管理</w:t>
            </w:r>
          </w:p>
        </w:tc>
        <w:tc>
          <w:tcPr>
            <w:tcW w:w="3441" w:type="dxa"/>
            <w:gridSpan w:val="2"/>
          </w:tcPr>
          <w:p>
            <w:pPr>
              <w:spacing w:line="276" w:lineRule="auto"/>
              <w:ind w:firstLine="0" w:firstLineChars="0"/>
              <w:rPr>
                <w:rFonts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421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其他建议和意见</w:t>
            </w:r>
          </w:p>
        </w:tc>
        <w:tc>
          <w:tcPr>
            <w:tcW w:w="3441" w:type="dxa"/>
            <w:gridSpan w:val="2"/>
          </w:tcPr>
          <w:p>
            <w:pPr>
              <w:spacing w:line="276" w:lineRule="auto"/>
              <w:ind w:firstLine="0" w:firstLineChars="0"/>
              <w:rPr>
                <w:rFonts w:eastAsia="仿宋"/>
                <w:sz w:val="21"/>
                <w:szCs w:val="22"/>
              </w:rPr>
            </w:pPr>
          </w:p>
        </w:tc>
      </w:tr>
    </w:tbl>
    <w:p>
      <w:pPr>
        <w:wordWrap w:val="0"/>
        <w:spacing w:before="156" w:beforeLines="50" w:line="480" w:lineRule="auto"/>
        <w:ind w:firstLine="0" w:firstLineChars="0"/>
        <w:jc w:val="right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单位盖章：</w:t>
      </w:r>
      <w:r>
        <w:rPr>
          <w:rFonts w:hint="eastAsia"/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</w:t>
      </w:r>
    </w:p>
    <w:p>
      <w:pPr>
        <w:spacing w:before="120" w:line="480" w:lineRule="auto"/>
        <w:ind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年 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314BE78-EE29-4A14-AF51-35E96932DE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D4CE486-EC2D-4C02-A349-0418FB092F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ZjZlN2E4ZWY3YzcwZjM3NDZlOTI1MTk0MzVhOWUifQ=="/>
    <w:docVar w:name="KSO_WPS_MARK_KEY" w:val="3a1b337c-380f-4a19-8e79-55858002c8ea"/>
  </w:docVars>
  <w:rsids>
    <w:rsidRoot w:val="00D041B5"/>
    <w:rsid w:val="00107F9C"/>
    <w:rsid w:val="002C1680"/>
    <w:rsid w:val="006D732D"/>
    <w:rsid w:val="007B6268"/>
    <w:rsid w:val="00D041B5"/>
    <w:rsid w:val="00D80DF7"/>
    <w:rsid w:val="00E3002C"/>
    <w:rsid w:val="00E50336"/>
    <w:rsid w:val="20E20704"/>
    <w:rsid w:val="5BB71F8E"/>
    <w:rsid w:val="71D368CA"/>
    <w:rsid w:val="7F52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qFormat/>
    <w:uiPriority w:val="99"/>
    <w:pPr>
      <w:ind w:firstLine="420" w:firstLineChars="100"/>
    </w:pPr>
    <w:rPr>
      <w:rFonts w:ascii="Calibri" w:hAnsi="Calibri"/>
      <w:sz w:val="32"/>
      <w:szCs w:val="24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semiHidden/>
    <w:qFormat/>
    <w:uiPriority w:val="99"/>
    <w:rPr>
      <w:rFonts w:ascii="Times New Roman" w:hAnsi="Times New Roman" w:eastAsia="仿宋_GB2312" w:cs="Times New Roman"/>
      <w:sz w:val="30"/>
      <w:szCs w:val="30"/>
      <w14:ligatures w14:val="none"/>
    </w:rPr>
  </w:style>
  <w:style w:type="character" w:customStyle="1" w:styleId="11">
    <w:name w:val="正文文本首行缩进 字符"/>
    <w:basedOn w:val="10"/>
    <w:link w:val="2"/>
    <w:qFormat/>
    <w:uiPriority w:val="99"/>
    <w:rPr>
      <w:rFonts w:ascii="Calibri" w:hAnsi="Calibri" w:eastAsia="仿宋_GB2312" w:cs="Times New Roman"/>
      <w:sz w:val="3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9293</Words>
  <Characters>10187</Characters>
  <Lines>76</Lines>
  <Paragraphs>21</Paragraphs>
  <TotalTime>47</TotalTime>
  <ScaleCrop>false</ScaleCrop>
  <LinksUpToDate>false</LinksUpToDate>
  <CharactersWithSpaces>10281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2024-10-20T14:43:00Z</dcterms:created>
  <dc:creator>anna</dc:creator>
  <cp:lastModifiedBy>芸伢几</cp:lastModifiedBy>
  <cp:lastPrinted>2024-10-21T08:23:00Z</cp:lastPrinted>
  <dcterms:modified xsi:type="dcterms:W3CDTF">2024-10-21T09:40:47Z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471F9B88CE644EEEADF24204BC9C0730_13</vt:lpwstr>
  </property>
</Properties>
</file>