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592" w:lineRule="exact"/>
        <w:jc w:val="center"/>
        <w:textAlignment w:val="auto"/>
        <w:rPr>
          <w:rFonts w:hint="eastAsia" w:ascii="Times New Roman" w:hAnsi="Times New Roman" w:eastAsia="方正大标宋简体" w:cs="方正大标宋简体"/>
          <w:snapToGrid/>
          <w:color w:val="000000" w:themeColor="text1"/>
          <w:spacing w:val="0"/>
          <w:kern w:val="0"/>
          <w:sz w:val="44"/>
          <w:szCs w:val="44"/>
          <w:lang w:eastAsia="zh-CN"/>
          <w14:textFill>
            <w14:solidFill>
              <w14:schemeClr w14:val="tx1"/>
            </w14:solidFill>
          </w14:textFill>
        </w:rPr>
      </w:pPr>
      <w:bookmarkStart w:id="0" w:name="_GoBack"/>
      <w:r>
        <w:rPr>
          <w:rFonts w:hint="eastAsia" w:ascii="Times New Roman" w:hAnsi="Times New Roman" w:eastAsia="方正大标宋简体" w:cs="方正大标宋简体"/>
          <w:snapToGrid/>
          <w:color w:val="000000" w:themeColor="text1"/>
          <w:spacing w:val="0"/>
          <w:kern w:val="0"/>
          <w:sz w:val="44"/>
          <w:szCs w:val="44"/>
          <w:lang w:eastAsia="zh-CN"/>
          <w14:textFill>
            <w14:solidFill>
              <w14:schemeClr w14:val="tx1"/>
            </w14:solidFill>
          </w14:textFill>
        </w:rPr>
        <w:t>产业培塑行动实施方案</w:t>
      </w:r>
    </w:p>
    <w:bookmarkEnd w:id="0"/>
    <w:p>
      <w:pPr>
        <w:keepNext w:val="0"/>
        <w:keepLines w:val="0"/>
        <w:pageBreakBefore w:val="0"/>
        <w:widowControl w:val="0"/>
        <w:kinsoku/>
        <w:wordWrap/>
        <w:overflowPunct w:val="0"/>
        <w:topLinePunct w:val="0"/>
        <w:autoSpaceDE w:val="0"/>
        <w:autoSpaceDN w:val="0"/>
        <w:bidi w:val="0"/>
        <w:adjustRightInd/>
        <w:snapToGrid/>
        <w:spacing w:line="592" w:lineRule="exact"/>
        <w:jc w:val="center"/>
        <w:textAlignment w:val="auto"/>
        <w:rPr>
          <w:rFonts w:hint="eastAsia" w:ascii="Times New Roman" w:hAnsi="Times New Roman" w:eastAsia="宋体" w:cs="宋体"/>
          <w:b/>
          <w:bCs/>
          <w:color w:val="000000" w:themeColor="text1"/>
          <w:spacing w:val="0"/>
          <w:kern w:val="0"/>
          <w:sz w:val="44"/>
          <w:szCs w:val="44"/>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为不断推动先进制造业高地建设，加快培育我区现代化产业体系新增长点，提升产业核心竞争力，结合我区实际，特制定本实施方案。</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pPr>
      <w:r>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t>一、工作目标</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把产业作为立区之本、强区之基，找准细分方向，依托创新驱动发展，全力打造具有大通湖区特色优势的现代化产业体系。</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做大做强主特产业，</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发展壮大现代农业，持续推进新型工业化，切实提升现代服务业质量。力争2024年，第一产业增加值增长3.5%,农产品加工业总产值增长8%以上;规模工业增加值增长7%，制造业增加值占地区生产总值的比重稳步提高，打造大通湖区高质量发展的“主引擎”。</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pPr>
      <w:r>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t>二、工作任务</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楷体_GB2312" w:cs="楷体_GB2312"/>
          <w:b w:val="0"/>
          <w:bCs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pacing w:val="0"/>
          <w:kern w:val="0"/>
          <w:sz w:val="32"/>
          <w:szCs w:val="32"/>
          <w:lang w:val="en-US" w:eastAsia="zh-CN"/>
          <w14:textFill>
            <w14:solidFill>
              <w14:schemeClr w14:val="tx1"/>
            </w14:solidFill>
          </w14:textFill>
        </w:rPr>
        <w:t>（一）做大做强主特产业</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b w:val="0"/>
          <w:bCs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val="en-US" w:eastAsia="zh-CN"/>
          <w14:textFill>
            <w14:solidFill>
              <w14:schemeClr w14:val="tx1"/>
            </w14:solidFill>
          </w14:textFill>
        </w:rPr>
        <w:t>植物提取。</w:t>
      </w:r>
      <w:r>
        <w:rPr>
          <w:rFonts w:hint="eastAsia" w:ascii="Times New Roman" w:hAnsi="Times New Roman" w:eastAsia="仿宋_GB2312" w:cs="仿宋_GB2312"/>
          <w:b w:val="0"/>
          <w:bCs w:val="0"/>
          <w:color w:val="000000" w:themeColor="text1"/>
          <w:spacing w:val="0"/>
          <w:kern w:val="0"/>
          <w:sz w:val="32"/>
          <w:szCs w:val="32"/>
          <w:lang w:val="en-US" w:eastAsia="zh-CN"/>
          <w14:textFill>
            <w14:solidFill>
              <w14:schemeClr w14:val="tx1"/>
            </w14:solidFill>
          </w14:textFill>
        </w:rPr>
        <w:t>以现有园区植提项目为牵引，延伸招商引资链，发挥现有企业牵引带动作用，以企引企，以商招商。力争年内新引进植提企业不少于6家。加快植物提取物特色产业园建设，升级园区综合承载能力，完善园区配套设施建设，积极促成实施植物提取产业链延伸工程，将植物提取物产业园打造成为集生态绿色食品、生命健康两大产业为一体的市级以上产业融合示范园。建设好科研平台，持续推动湖南农大深化科研协作，努力建设“湖南省鲜萃植物提取物产业研究院”。搭建好销售平台，与湖南自贸芙蓉片区发挥飞地经济的优势加强区域协同发展，打造全省植物提取物对外贸易副中心。（大通湖产业开发区、区科技工信局等负责）</w:t>
      </w:r>
    </w:p>
    <w:p>
      <w:pPr>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楷体_GB2312" w:cs="楷体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val="en-US" w:eastAsia="zh-CN"/>
          <w14:textFill>
            <w14:solidFill>
              <w14:schemeClr w14:val="tx1"/>
            </w14:solidFill>
          </w14:textFill>
        </w:rPr>
        <w:t>光电产业。</w:t>
      </w:r>
      <w:r>
        <w:rPr>
          <w:rFonts w:hint="eastAsia" w:ascii="Times New Roman" w:hAnsi="Times New Roman" w:eastAsia="仿宋_GB2312" w:cs="仿宋_GB2312"/>
          <w:b w:val="0"/>
          <w:bCs w:val="0"/>
          <w:color w:val="000000" w:themeColor="text1"/>
          <w:spacing w:val="0"/>
          <w:kern w:val="0"/>
          <w:sz w:val="32"/>
          <w:szCs w:val="32"/>
          <w:lang w:val="en-US" w:eastAsia="zh-CN"/>
          <w14:textFill>
            <w14:solidFill>
              <w14:schemeClr w14:val="tx1"/>
            </w14:solidFill>
          </w14:textFill>
        </w:rPr>
        <w:t>积极推进湖南大麦光学项目建成投产，协调解决企业建设生产过程中出现的重大问题，督促和检查有关扶持政策的落实情况。对困难企业有针对性地进行扶持和推进，支持相关企业发展。（大通湖产业开发区、区科技工信局等负责）</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楷体_GB2312" w:cs="楷体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楷体_GB2312" w:cs="楷体_GB2312"/>
          <w:color w:val="000000" w:themeColor="text1"/>
          <w:spacing w:val="0"/>
          <w:kern w:val="0"/>
          <w:sz w:val="32"/>
          <w:szCs w:val="32"/>
          <w:lang w:eastAsia="zh-CN"/>
          <w14:textFill>
            <w14:solidFill>
              <w14:schemeClr w14:val="tx1"/>
            </w14:solidFill>
          </w14:textFill>
        </w:rPr>
        <w:t>（二）巩固提升优势产业</w:t>
      </w:r>
    </w:p>
    <w:p>
      <w:pPr>
        <w:pStyle w:val="5"/>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现代农业。</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积极争取农村产业融合发展项目，</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立足“国家现代农业示范区”的金字招牌，做强做优现代农业。突出“一县一特”大闸蟹产业发展，持续深化与上海海洋大学的合作，加快科技小院和育苗基地建设，做强生态精品蟹；持续加大“大通湖大闸蟹”品牌的保护和宣传，打造成全市公共品牌，争创“大通湖大闸蟹”省级知识产权保护示范区。不断优化水产养殖结构，推广澳洲蓝龙虾养殖。结合区域植物提取、麻纺等产业发展布局，采取“公司+合作社+农户”发展模式，大力实施订单农业种植。加大农业科技投入，大力推动智慧农业发展，建成智慧农机服务平台，完成省级“平安农机”示范县的创建。完成“洞庭香米”优势特色产业集群大通湖数字化优质稻示范基地项目建设。加强与“南县稻虾米”公共品牌合作，“借船出海”提升“大通湖大米”市场认可度。全面落实惠农补贴、粮食收储、购销等政策，提高农民种粮积极性。积极申报数字渔业项目，加强养殖尾水达标排放监管。积极培育、壮大新型农业经营主体，新增省级农业产业化龙头企业、农民专业合作社、家庭农场各1家；新增市级农民专业合作社、家庭农场各2家。深入推动与融通农业南湾湖基地的融合发展</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。（区农业农村水利局牵头，区发改财政局、区科技工信局、区市场监管局按职能分工负责）</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楷体_GB2312" w:cs="楷体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楷体_GB2312" w:cs="楷体_GB2312"/>
          <w:color w:val="000000" w:themeColor="text1"/>
          <w:spacing w:val="0"/>
          <w:kern w:val="0"/>
          <w:sz w:val="32"/>
          <w:szCs w:val="32"/>
          <w:lang w:eastAsia="zh-CN"/>
          <w14:textFill>
            <w14:solidFill>
              <w14:schemeClr w14:val="tx1"/>
            </w14:solidFill>
          </w14:textFill>
        </w:rPr>
        <w:t>（三）培育壮大新兴产业</w:t>
      </w:r>
    </w:p>
    <w:p>
      <w:pPr>
        <w:pStyle w:val="5"/>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1．新能源。</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以千山红镇种福村胜利渠风电场、金盆镇渔光互补光伏发电项目为重点，大力发展风力发电装备、光伏发电装备等新能源装备产品。（区发改财政局牵头，区科技工信局、区自然资源局、区住房城乡建设局按职能分工负责）</w:t>
      </w:r>
    </w:p>
    <w:p>
      <w:pPr>
        <w:pStyle w:val="5"/>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2．生物医药。</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支持湘易康企业重点培育发展生物药材提取、医药中间体制造、化学药品制造等新型药用材料，加强中药材和中药饮片生产、流通及使用追溯体系建设，提升中药材竞争力，促进中医药产业振</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兴</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发展。（区科技工信局牵头，区发改财政局、区自然资源局、区农业农村水利局、区教育卫生健康局、区市场监管局按职能分工负责）</w:t>
      </w:r>
    </w:p>
    <w:p>
      <w:pPr>
        <w:pStyle w:val="5"/>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3．</w:t>
      </w:r>
      <w:r>
        <w:rPr>
          <w:rFonts w:hint="eastAsia" w:ascii="Times New Roman" w:hAnsi="Times New Roman" w:eastAsia="仿宋_GB2312" w:cs="仿宋_GB2312"/>
          <w:b/>
          <w:bCs/>
          <w:color w:val="000000" w:themeColor="text1"/>
          <w:spacing w:val="0"/>
          <w:kern w:val="0"/>
          <w:sz w:val="32"/>
          <w:szCs w:val="32"/>
          <w14:textFill>
            <w14:solidFill>
              <w14:schemeClr w14:val="tx1"/>
            </w14:solidFill>
          </w14:textFill>
        </w:rPr>
        <w:t>文化旅游</w:t>
      </w: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推进旅游与体育、农业、工业、康养、科技等融合发展，合力推动大通湖民宿群一期在河坝镇铭新村、金盆镇大东口村建设落地，推进农垦博物馆建设，持续推进文化赋能乡村振兴走在全省前列。争创一批乡村旅游点、省级乡村旅游重点村和最美潇湘文化阵地。指导水生植被产业示范园开展集水生植被种植示范、水生态科技创新、湿地生态观光旅游、水域生态农业推广与湿地生态科普教育为一体的水草三产融合品牌打造，并通过省、市旅发大会等平台充分展示。通过众多活动让大通湖大闸蟹成为“网红”产品，持续提升品牌价值，促进农旅协同发展。按照益阳市要求积极筹备省第十五届运动会，做好益阳市射箭训练基地建设和1名省专业运动员的安置。（</w:t>
      </w:r>
      <w:r>
        <w:rPr>
          <w:rFonts w:hint="eastAsia" w:ascii="Times New Roman" w:hAnsi="Times New Roman" w:eastAsia="仿宋_GB2312" w:cs="仿宋_GB2312"/>
          <w:color w:val="000000" w:themeColor="text1"/>
          <w:spacing w:val="0"/>
          <w:kern w:val="0"/>
          <w:sz w:val="32"/>
          <w:szCs w:val="32"/>
          <w:highlight w:val="none"/>
          <w:lang w:eastAsia="zh-CN"/>
          <w14:textFill>
            <w14:solidFill>
              <w14:schemeClr w14:val="tx1"/>
            </w14:solidFill>
          </w14:textFill>
        </w:rPr>
        <w:t>区文旅广体局牵头，</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区发改财政局、区科技工信局、区农业农村水利局、区</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自然资源</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局按职能分工负责）</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楷体_GB2312" w:cs="楷体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楷体_GB2312" w:cs="楷体_GB2312"/>
          <w:color w:val="000000" w:themeColor="text1"/>
          <w:spacing w:val="0"/>
          <w:kern w:val="0"/>
          <w:sz w:val="32"/>
          <w:szCs w:val="32"/>
          <w:lang w:eastAsia="zh-CN"/>
          <w14:textFill>
            <w14:solidFill>
              <w14:schemeClr w14:val="tx1"/>
            </w14:solidFill>
          </w14:textFill>
        </w:rPr>
        <w:t>（四）强化产业发展支撑</w:t>
      </w:r>
    </w:p>
    <w:p>
      <w:pPr>
        <w:pStyle w:val="5"/>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1．壮大产业集群，提升创新质效。</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聚焦国、省级产业集群培育，壮大</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植物提取物、光电产业</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、医药制造、洞庭湖民宿等特色产业集群。推动产业链发展壮大，服务促进本土优势企业扩能升级，稳步提高产业投资比重。（区发改财政局、区科技工信局、区市场监管局按职能分工负责）</w:t>
      </w:r>
    </w:p>
    <w:p>
      <w:pPr>
        <w:pStyle w:val="5"/>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2．加强招商引资，做好企业服务。</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围绕现代化产业体系开展精准招商，</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利用好老乡资源，举办“迎老乡、回故乡、建家乡”系列活动，</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用好敲门招商、网络招商、资本招商等方式，办好招商会。</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招引广大益商回益投资兴业</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，用好境内外湘商会资源，运用市场化方式，加大对“</w:t>
      </w:r>
      <w:r>
        <w:rPr>
          <w:rFonts w:hint="eastAsia" w:ascii="Times New Roman" w:hAnsi="Times New Roman" w:eastAsia="仿宋_GB2312" w:cs="仿宋_GB2312"/>
          <w:color w:val="000000" w:themeColor="text1"/>
          <w:spacing w:val="0"/>
          <w:kern w:val="0"/>
          <w:sz w:val="32"/>
          <w:szCs w:val="32"/>
          <w:lang w:eastAsia="zh-CN" w:bidi="ar"/>
          <w14:textFill>
            <w14:solidFill>
              <w14:schemeClr w14:val="tx1"/>
            </w14:solidFill>
          </w14:textFill>
        </w:rPr>
        <w:t>文旅康养、现代农业、新兴工业、现代服务业”等重点领域</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项目的招引力度。支持外商投资企业参与大通湖区优质资源开发和重点产业项目建设，重点引进与我区现代化产业体系主攻产业方向相关企业。优化对招商引资项目的落地服务，发挥政府产业引导基金效能，采用股权投资、并购重组等新型招商方式，吸引优质资本和项目落户大通湖。（区</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科技工信</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局牵头，区发改财政局、区科技工信局按职能分工负责）</w:t>
      </w:r>
    </w:p>
    <w:p>
      <w:pPr>
        <w:pStyle w:val="5"/>
        <w:keepNext w:val="0"/>
        <w:keepLines w:val="0"/>
        <w:pageBreakBefore w:val="0"/>
        <w:widowControl w:val="0"/>
        <w:kinsoku/>
        <w:wordWrap/>
        <w:overflowPunct w:val="0"/>
        <w:topLinePunct w:val="0"/>
        <w:autoSpaceDE w:val="0"/>
        <w:autoSpaceDN w:val="0"/>
        <w:bidi w:val="0"/>
        <w:spacing w:line="592" w:lineRule="exact"/>
        <w:ind w:firstLine="643"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eastAsia="zh-CN"/>
          <w14:textFill>
            <w14:solidFill>
              <w14:schemeClr w14:val="tx1"/>
            </w14:solidFill>
          </w14:textFill>
        </w:rPr>
        <w:t>3．夯实要素支撑，优化营商环境。</w:t>
      </w:r>
      <w:r>
        <w:rPr>
          <w:rFonts w:hint="eastAsia" w:ascii="Times New Roman" w:hAnsi="Times New Roman" w:eastAsia="仿宋" w:cs="仿宋"/>
          <w:color w:val="000000" w:themeColor="text1"/>
          <w:spacing w:val="0"/>
          <w:kern w:val="0"/>
          <w:sz w:val="32"/>
          <w14:textFill>
            <w14:solidFill>
              <w14:schemeClr w14:val="tx1"/>
            </w14:solidFill>
          </w14:textFill>
        </w:rPr>
        <w:t>强化土地、资金、水、电、气等要素供给，定期召开项目要素保障联席会议和银政企对接会</w:t>
      </w:r>
      <w:r>
        <w:rPr>
          <w:rFonts w:hint="eastAsia" w:ascii="Times New Roman" w:hAnsi="Times New Roman"/>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加强用地支撑，按照“可报尽报、应审尽审、省配指标、限期供地、净地出让”的工作要求，持续深入推进工业用地弹性出让、产业园区企业投资工业项目“用地清单制+告知承诺制”，降低企业初始用地成本。优化政务环境，持续深化“一件事一次办”改革，扎实推进工程建设项目审批制度全流程、全覆盖改革。（区发改财政局、区自然资源局、区住房城乡建设局、区政务中心、各镇按职能分工负责）</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楷体_GB2312" w:cs="楷体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楷体_GB2312" w:cs="楷体_GB2312"/>
          <w:color w:val="000000" w:themeColor="text1"/>
          <w:spacing w:val="0"/>
          <w:kern w:val="0"/>
          <w:sz w:val="32"/>
          <w:szCs w:val="32"/>
          <w:lang w:eastAsia="zh-CN"/>
          <w14:textFill>
            <w14:solidFill>
              <w14:schemeClr w14:val="tx1"/>
            </w14:solidFill>
          </w14:textFill>
        </w:rPr>
        <w:t>（五）在抓项目、扩投资上实现新突破</w:t>
      </w:r>
    </w:p>
    <w:p>
      <w:pPr>
        <w:pStyle w:val="8"/>
        <w:keepNext w:val="0"/>
        <w:keepLines w:val="0"/>
        <w:pageBreakBefore w:val="0"/>
        <w:widowControl w:val="0"/>
        <w:kinsoku/>
        <w:wordWrap/>
        <w:overflowPunct w:val="0"/>
        <w:topLinePunct w:val="0"/>
        <w:autoSpaceDE w:val="0"/>
        <w:autoSpaceDN w:val="0"/>
        <w:bidi w:val="0"/>
        <w:spacing w:line="592" w:lineRule="exact"/>
        <w:ind w:firstLine="643"/>
        <w:rPr>
          <w:rFonts w:hint="eastAsia" w:ascii="Times New Roman" w:hAnsi="Times New Roman" w:eastAsia="仿宋_GB2312" w:cs="仿宋_GB2312"/>
          <w:snapToGrid w:val="0"/>
          <w:color w:val="000000" w:themeColor="text1"/>
          <w:spacing w:val="0"/>
          <w:kern w:val="0"/>
          <w:sz w:val="32"/>
          <w14:textFill>
            <w14:solidFill>
              <w14:schemeClr w14:val="tx1"/>
            </w14:solidFill>
          </w14:textFill>
        </w:rPr>
      </w:pPr>
      <w:r>
        <w:rPr>
          <w:rFonts w:hint="eastAsia" w:ascii="Times New Roman" w:hAnsi="Times New Roman" w:eastAsia="仿宋_GB2312" w:cs="仿宋_GB2312"/>
          <w:b/>
          <w:bCs/>
          <w:snapToGrid w:val="0"/>
          <w:color w:val="000000" w:themeColor="text1"/>
          <w:spacing w:val="0"/>
          <w:kern w:val="0"/>
          <w:sz w:val="32"/>
          <w14:textFill>
            <w14:solidFill>
              <w14:schemeClr w14:val="tx1"/>
            </w14:solidFill>
          </w14:textFill>
        </w:rPr>
        <w:t>1.</w:t>
      </w:r>
      <w:r>
        <w:rPr>
          <w:rFonts w:hint="eastAsia" w:ascii="Times New Roman" w:hAnsi="Times New Roman" w:eastAsia="仿宋_GB2312" w:cs="仿宋_GB2312"/>
          <w:b/>
          <w:bCs/>
          <w:snapToGrid w:val="0"/>
          <w:color w:val="000000" w:themeColor="text1"/>
          <w:spacing w:val="0"/>
          <w:kern w:val="0"/>
          <w:sz w:val="32"/>
          <w:lang w:val="en-US" w:eastAsia="zh-CN"/>
          <w14:textFill>
            <w14:solidFill>
              <w14:schemeClr w14:val="tx1"/>
            </w14:solidFill>
          </w14:textFill>
        </w:rPr>
        <w:t xml:space="preserve"> </w:t>
      </w:r>
      <w:r>
        <w:rPr>
          <w:rFonts w:hint="eastAsia" w:ascii="Times New Roman" w:hAnsi="Times New Roman" w:eastAsia="仿宋_GB2312" w:cs="仿宋_GB2312"/>
          <w:b/>
          <w:bCs/>
          <w:snapToGrid w:val="0"/>
          <w:color w:val="000000" w:themeColor="text1"/>
          <w:spacing w:val="0"/>
          <w:kern w:val="0"/>
          <w:sz w:val="32"/>
          <w14:textFill>
            <w14:solidFill>
              <w14:schemeClr w14:val="tx1"/>
            </w14:solidFill>
          </w14:textFill>
        </w:rPr>
        <w:t>更大力度争项目。</w:t>
      </w:r>
      <w:r>
        <w:rPr>
          <w:rFonts w:hint="eastAsia" w:ascii="Times New Roman" w:hAnsi="Times New Roman" w:eastAsia="仿宋_GB2312" w:cs="仿宋_GB2312"/>
          <w:snapToGrid w:val="0"/>
          <w:color w:val="000000" w:themeColor="text1"/>
          <w:spacing w:val="0"/>
          <w:kern w:val="0"/>
          <w:sz w:val="32"/>
          <w14:textFill>
            <w14:solidFill>
              <w14:schemeClr w14:val="tx1"/>
            </w14:solidFill>
          </w14:textFill>
        </w:rPr>
        <w:t>紧盯政策导向，深入研究国、省投资重点支持领域，结合区域发展实际，加强项目包装储备，谋划一批“含金量”“含新量”“含绿量”高的项目，确保包装项目100个以上。</w:t>
      </w:r>
      <w:r>
        <w:rPr>
          <w:rFonts w:hint="eastAsia" w:ascii="Times New Roman" w:hAnsi="Times New Roman" w:eastAsia="仿宋_GB2312" w:cs="仿宋_GB2312"/>
          <w:snapToGrid w:val="0"/>
          <w:color w:val="000000" w:themeColor="text1"/>
          <w:spacing w:val="0"/>
          <w:kern w:val="0"/>
          <w:sz w:val="32"/>
          <w:lang w:val="en"/>
          <w14:textFill>
            <w14:solidFill>
              <w14:schemeClr w14:val="tx1"/>
            </w14:solidFill>
          </w14:textFill>
        </w:rPr>
        <w:t>围绕“两区一地”建设，谋划推进一批标志性工程。</w:t>
      </w:r>
      <w:r>
        <w:rPr>
          <w:rFonts w:hint="eastAsia" w:ascii="Times New Roman" w:hAnsi="Times New Roman" w:eastAsia="仿宋_GB2312" w:cs="仿宋_GB2312"/>
          <w:snapToGrid w:val="0"/>
          <w:color w:val="000000" w:themeColor="text1"/>
          <w:spacing w:val="0"/>
          <w:kern w:val="0"/>
          <w:sz w:val="32"/>
          <w14:textFill>
            <w14:solidFill>
              <w14:schemeClr w14:val="tx1"/>
            </w14:solidFill>
          </w14:textFill>
        </w:rPr>
        <w:t>抓住“十四五”规划中期调整契机，优化完善我区“十四五”规划，围绕规划项目更大力度赴市跑省进京，争取一批重大项目进入国、省规划“笼子”。在大通湖流域水环境综合治理可持续发展等方向争取项目2个以上。申报专项债项目3个以上，全年立项争资力争完成5亿元以上。</w:t>
      </w:r>
      <w:r>
        <w:rPr>
          <w:rFonts w:hint="eastAsia" w:ascii="Times New Roman" w:hAnsi="Times New Roman" w:eastAsia="仿宋_GB2312" w:cs="仿宋_GB2312"/>
          <w:snapToGrid w:val="0"/>
          <w:color w:val="000000" w:themeColor="text1"/>
          <w:spacing w:val="0"/>
          <w:kern w:val="0"/>
          <w:sz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14:textFill>
            <w14:solidFill>
              <w14:schemeClr w14:val="tx1"/>
            </w14:solidFill>
          </w14:textFill>
        </w:rPr>
        <w:t>区发改财政局牵头，各镇、南湾湖办事处、区直各单位、区大发集团、区生态公司按职能分工负责）</w:t>
      </w:r>
    </w:p>
    <w:p>
      <w:pPr>
        <w:pStyle w:val="8"/>
        <w:keepNext w:val="0"/>
        <w:keepLines w:val="0"/>
        <w:pageBreakBefore w:val="0"/>
        <w:widowControl w:val="0"/>
        <w:kinsoku/>
        <w:wordWrap/>
        <w:overflowPunct w:val="0"/>
        <w:topLinePunct w:val="0"/>
        <w:autoSpaceDE w:val="0"/>
        <w:autoSpaceDN w:val="0"/>
        <w:bidi w:val="0"/>
        <w:spacing w:line="592" w:lineRule="exact"/>
        <w:ind w:firstLine="643"/>
        <w:rPr>
          <w:rFonts w:hint="eastAsia" w:ascii="Times New Roman" w:hAnsi="Times New Roman" w:eastAsia="仿宋_GB2312" w:cs="仿宋_GB2312"/>
          <w:snapToGrid w:val="0"/>
          <w:color w:val="000000" w:themeColor="text1"/>
          <w:spacing w:val="0"/>
          <w:kern w:val="0"/>
          <w:sz w:val="32"/>
          <w14:textFill>
            <w14:solidFill>
              <w14:schemeClr w14:val="tx1"/>
            </w14:solidFill>
          </w14:textFill>
        </w:rPr>
      </w:pPr>
      <w:r>
        <w:rPr>
          <w:rFonts w:hint="eastAsia" w:ascii="Times New Roman" w:hAnsi="Times New Roman" w:eastAsia="仿宋_GB2312" w:cs="仿宋_GB2312"/>
          <w:b/>
          <w:bCs/>
          <w:snapToGrid w:val="0"/>
          <w:color w:val="000000" w:themeColor="text1"/>
          <w:spacing w:val="0"/>
          <w:kern w:val="0"/>
          <w:sz w:val="32"/>
          <w14:textFill>
            <w14:solidFill>
              <w14:schemeClr w14:val="tx1"/>
            </w14:solidFill>
          </w14:textFill>
        </w:rPr>
        <w:t>2.</w:t>
      </w:r>
      <w:r>
        <w:rPr>
          <w:rFonts w:hint="eastAsia" w:ascii="Times New Roman" w:hAnsi="Times New Roman" w:eastAsia="仿宋_GB2312" w:cs="仿宋_GB2312"/>
          <w:b/>
          <w:bCs/>
          <w:snapToGrid w:val="0"/>
          <w:color w:val="000000" w:themeColor="text1"/>
          <w:spacing w:val="0"/>
          <w:kern w:val="0"/>
          <w:sz w:val="32"/>
          <w:lang w:val="en-US" w:eastAsia="zh-CN"/>
          <w14:textFill>
            <w14:solidFill>
              <w14:schemeClr w14:val="tx1"/>
            </w14:solidFill>
          </w14:textFill>
        </w:rPr>
        <w:t xml:space="preserve"> </w:t>
      </w:r>
      <w:r>
        <w:rPr>
          <w:rFonts w:hint="eastAsia" w:ascii="Times New Roman" w:hAnsi="Times New Roman" w:eastAsia="仿宋_GB2312" w:cs="仿宋_GB2312"/>
          <w:b/>
          <w:bCs/>
          <w:snapToGrid w:val="0"/>
          <w:color w:val="000000" w:themeColor="text1"/>
          <w:spacing w:val="0"/>
          <w:kern w:val="0"/>
          <w:sz w:val="32"/>
          <w14:textFill>
            <w14:solidFill>
              <w14:schemeClr w14:val="tx1"/>
            </w14:solidFill>
          </w14:textFill>
        </w:rPr>
        <w:t>更高效率建项目。</w:t>
      </w:r>
      <w:r>
        <w:rPr>
          <w:rFonts w:hint="eastAsia" w:ascii="Times New Roman" w:hAnsi="Times New Roman" w:eastAsia="仿宋_GB2312" w:cs="仿宋_GB2312"/>
          <w:snapToGrid w:val="0"/>
          <w:color w:val="000000" w:themeColor="text1"/>
          <w:spacing w:val="0"/>
          <w:kern w:val="0"/>
          <w:sz w:val="32"/>
          <w14:textFill>
            <w14:solidFill>
              <w14:schemeClr w14:val="tx1"/>
            </w14:solidFill>
          </w14:textFill>
        </w:rPr>
        <w:t>加强考核调度，推动区级领导联系重点项目、帮扶重点企业机制见行见效，做实项目全流程、全生命周期服务。全力抓好82个市、区重大项目建设，做到清单管理责任到人、挂图作战心中有数、有效调度推进有力，确保年度完成投资超34.2亿元。</w:t>
      </w:r>
      <w:r>
        <w:rPr>
          <w:rFonts w:hint="eastAsia" w:ascii="Times New Roman" w:hAnsi="Times New Roman" w:eastAsia="仿宋_GB2312" w:cs="仿宋_GB2312"/>
          <w:snapToGrid w:val="0"/>
          <w:color w:val="000000" w:themeColor="text1"/>
          <w:spacing w:val="0"/>
          <w:kern w:val="0"/>
          <w:sz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14:textFill>
            <w14:solidFill>
              <w14:schemeClr w14:val="tx1"/>
            </w14:solidFill>
          </w14:textFill>
        </w:rPr>
        <w:t>区发改财政局、</w:t>
      </w:r>
      <w:r>
        <w:rPr>
          <w:rFonts w:hint="eastAsia" w:ascii="Times New Roman" w:hAnsi="Times New Roman" w:eastAsia="仿宋_GB2312" w:cs="仿宋_GB2312"/>
          <w:snapToGrid w:val="0"/>
          <w:color w:val="000000" w:themeColor="text1"/>
          <w:spacing w:val="0"/>
          <w:kern w:val="0"/>
          <w:sz w:val="32"/>
          <w:lang w:val="en"/>
          <w14:textFill>
            <w14:solidFill>
              <w14:schemeClr w14:val="tx1"/>
            </w14:solidFill>
          </w14:textFill>
        </w:rPr>
        <w:t>区科技工信局</w:t>
      </w:r>
      <w:r>
        <w:rPr>
          <w:rFonts w:hint="eastAsia" w:ascii="Times New Roman" w:hAnsi="Times New Roman" w:eastAsia="仿宋_GB2312" w:cs="仿宋_GB2312"/>
          <w:snapToGrid w:val="0"/>
          <w:color w:val="000000" w:themeColor="text1"/>
          <w:spacing w:val="0"/>
          <w:kern w:val="0"/>
          <w:sz w:val="32"/>
          <w14:textFill>
            <w14:solidFill>
              <w14:schemeClr w14:val="tx1"/>
            </w14:solidFill>
          </w14:textFill>
        </w:rPr>
        <w:t>牵头，各镇、南湾湖办事处、区直各单位、区大发集团、区生态公司按职能分工负责）</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pPr>
      <w:r>
        <w:rPr>
          <w:rFonts w:hint="eastAsia" w:ascii="Times New Roman" w:hAnsi="Times New Roman" w:eastAsia="黑体" w:cs="黑体"/>
          <w:color w:val="000000" w:themeColor="text1"/>
          <w:spacing w:val="0"/>
          <w:kern w:val="0"/>
          <w:sz w:val="32"/>
          <w:szCs w:val="32"/>
          <w:lang w:eastAsia="zh-CN"/>
          <w14:textFill>
            <w14:solidFill>
              <w14:schemeClr w14:val="tx1"/>
            </w14:solidFill>
          </w14:textFill>
        </w:rPr>
        <w:t>三、推进机制</w:t>
      </w:r>
    </w:p>
    <w:p>
      <w:pPr>
        <w:pStyle w:val="5"/>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成立实施产业培塑行动工作专班，由区委区管委办公室副主任任召集人，区发改财政局主要负责人任副召集人，成员单位包括区科技工信局、区发改财政局、区自然资源局、区生态环境</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分</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局、区住房城乡建设局、区交通运输局、区农业农村水利局、区工商联、区</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教育卫生健康</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局等，专班办公室设在区发改财政局，负责日常协调和调度工作。</w:t>
      </w:r>
    </w:p>
    <w:p/>
    <w:sectPr>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D5E8"/>
    <w:rsid w:val="7B17D5E8"/>
    <w:rsid w:val="E7AFF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rPr>
  </w:style>
  <w:style w:type="paragraph" w:styleId="3">
    <w:name w:val="Body Text First Indent 2"/>
    <w:basedOn w:val="4"/>
    <w:next w:val="1"/>
    <w:qFormat/>
    <w:uiPriority w:val="99"/>
    <w:pPr>
      <w:ind w:firstLine="420" w:firstLineChars="200"/>
    </w:pPr>
    <w:rPr>
      <w:rFonts w:ascii="Times New Roman" w:hAnsi="Times New Roman" w:cs="Times New Roman"/>
      <w:sz w:val="24"/>
      <w:szCs w:val="24"/>
    </w:rPr>
  </w:style>
  <w:style w:type="paragraph" w:styleId="4">
    <w:name w:val="Body Text Indent"/>
    <w:basedOn w:val="1"/>
    <w:qFormat/>
    <w:uiPriority w:val="99"/>
    <w:pPr>
      <w:spacing w:after="120"/>
      <w:ind w:left="420" w:leftChars="200"/>
    </w:pPr>
  </w:style>
  <w:style w:type="paragraph" w:styleId="5">
    <w:name w:val="Body Text"/>
    <w:basedOn w:val="1"/>
    <w:next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val="en-US" w:eastAsia="en-US" w:bidi="ar-SA"/>
    </w:rPr>
  </w:style>
  <w:style w:type="paragraph" w:customStyle="1" w:styleId="8">
    <w:name w:val="BodyText1I2"/>
    <w:basedOn w:val="9"/>
    <w:qFormat/>
    <w:uiPriority w:val="0"/>
    <w:pPr>
      <w:widowControl w:val="0"/>
      <w:spacing w:line="580" w:lineRule="exact"/>
      <w:ind w:left="-1" w:firstLine="420" w:firstLineChars="200"/>
      <w:jc w:val="both"/>
    </w:pPr>
    <w:rPr>
      <w:rFonts w:ascii="宋体" w:hAnsi="宋体" w:eastAsia="宋体" w:cs="方正仿宋简体"/>
      <w:kern w:val="2"/>
      <w:sz w:val="21"/>
      <w:szCs w:val="32"/>
      <w:lang w:val="en-US" w:eastAsia="zh-CN" w:bidi="ar-SA"/>
    </w:rPr>
  </w:style>
  <w:style w:type="paragraph" w:customStyle="1" w:styleId="9">
    <w:name w:val="BodyTextIndent"/>
    <w:qFormat/>
    <w:uiPriority w:val="0"/>
    <w:pPr>
      <w:widowControl w:val="0"/>
      <w:spacing w:line="580" w:lineRule="exact"/>
      <w:ind w:left="-1" w:firstLine="10" w:firstLineChars="3"/>
      <w:jc w:val="both"/>
    </w:pPr>
    <w:rPr>
      <w:rFonts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2024-11-05T11:18:00Z</dcterms:created>
  <dc:creator>dthlenovo</dc:creator>
  <cp:lastModifiedBy>dthlenovo</cp:lastModifiedBy>
  <dcterms:modified xsi:type="dcterms:W3CDTF">2024-11-05T11:19:34Z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