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275B1B">
      <w:pPr>
        <w:tabs>
          <w:tab w:val="left" w:pos="1502"/>
          <w:tab w:val="left" w:pos="2455"/>
          <w:tab w:val="left" w:pos="5327"/>
        </w:tabs>
        <w:jc w:val="left"/>
        <w:rPr>
          <w:rFonts w:hint="eastAsia" w:eastAsia="黑体"/>
          <w:color w:val="000000"/>
          <w:sz w:val="32"/>
          <w:szCs w:val="32"/>
          <w:lang w:val="en-US" w:eastAsia="zh-CN"/>
        </w:rPr>
      </w:pPr>
      <w:r>
        <w:rPr>
          <w:rFonts w:hAnsi="黑体" w:eastAsia="黑体"/>
          <w:color w:val="000000"/>
          <w:sz w:val="32"/>
          <w:szCs w:val="32"/>
        </w:rPr>
        <w:t>附件</w:t>
      </w:r>
      <w:r>
        <w:rPr>
          <w:rFonts w:hint="eastAsia" w:hAnsi="黑体" w:eastAsia="黑体"/>
          <w:color w:val="000000"/>
          <w:sz w:val="32"/>
          <w:szCs w:val="32"/>
          <w:lang w:val="en-US" w:eastAsia="zh-CN"/>
        </w:rPr>
        <w:t>7</w:t>
      </w:r>
    </w:p>
    <w:p w14:paraId="67A334A5">
      <w:pPr>
        <w:widowControl w:val="0"/>
        <w:kinsoku/>
        <w:autoSpaceDE w:val="0"/>
        <w:autoSpaceDN w:val="0"/>
        <w:adjustRightInd/>
        <w:snapToGrid/>
        <w:spacing w:line="360" w:lineRule="auto"/>
        <w:jc w:val="center"/>
        <w:textAlignment w:val="auto"/>
        <w:rPr>
          <w:rFonts w:hint="eastAsia" w:ascii="方正大标宋简体" w:hAnsi="Times New Roman" w:eastAsia="方正大标宋简体" w:cs="仿宋_GB2312"/>
          <w:snapToGrid/>
          <w:color w:val="000000"/>
          <w:kern w:val="2"/>
          <w:sz w:val="44"/>
          <w:szCs w:val="44"/>
          <w:lang w:eastAsia="zh-CN"/>
        </w:rPr>
      </w:pPr>
      <w:r>
        <w:rPr>
          <w:rFonts w:hint="eastAsia" w:ascii="方正大标宋简体" w:hAnsi="Times New Roman" w:eastAsia="方正大标宋简体" w:cs="仿宋_GB2312"/>
          <w:snapToGrid/>
          <w:color w:val="000000"/>
          <w:kern w:val="2"/>
          <w:sz w:val="44"/>
          <w:szCs w:val="44"/>
          <w:lang w:val="en-US" w:eastAsia="zh-CN"/>
        </w:rPr>
        <w:t>2023年</w:t>
      </w:r>
      <w:r>
        <w:rPr>
          <w:rFonts w:hint="eastAsia" w:ascii="方正大标宋简体" w:hAnsi="Times New Roman" w:eastAsia="方正大标宋简体" w:cs="仿宋_GB2312"/>
          <w:snapToGrid/>
          <w:color w:val="000000"/>
          <w:kern w:val="2"/>
          <w:sz w:val="44"/>
          <w:szCs w:val="44"/>
          <w:lang w:eastAsia="zh-CN"/>
        </w:rPr>
        <w:t>财政对城乡居民基本医疗保险基金的补助项目绩效自评指标计分表</w:t>
      </w:r>
    </w:p>
    <w:tbl>
      <w:tblPr>
        <w:tblStyle w:val="6"/>
        <w:tblW w:w="10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797"/>
        <w:gridCol w:w="937"/>
        <w:gridCol w:w="1050"/>
        <w:gridCol w:w="627"/>
        <w:gridCol w:w="3178"/>
        <w:gridCol w:w="3450"/>
        <w:gridCol w:w="506"/>
      </w:tblGrid>
      <w:tr w14:paraId="06A32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tblHeader/>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14:paraId="5F2A836C">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一级</w:t>
            </w:r>
          </w:p>
          <w:p w14:paraId="5ACA10AE">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指标</w:t>
            </w:r>
          </w:p>
        </w:tc>
        <w:tc>
          <w:tcPr>
            <w:tcW w:w="937" w:type="dxa"/>
            <w:tcBorders>
              <w:top w:val="single" w:color="auto" w:sz="4" w:space="0"/>
              <w:left w:val="single" w:color="auto" w:sz="4" w:space="0"/>
              <w:bottom w:val="single" w:color="auto" w:sz="4" w:space="0"/>
              <w:right w:val="single" w:color="auto" w:sz="4" w:space="0"/>
            </w:tcBorders>
            <w:noWrap w:val="0"/>
            <w:vAlign w:val="center"/>
          </w:tcPr>
          <w:p w14:paraId="6B4082D8">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二级</w:t>
            </w:r>
          </w:p>
          <w:p w14:paraId="79769BAB">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指标</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64267294">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三级</w:t>
            </w:r>
          </w:p>
          <w:p w14:paraId="5B8AB797">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指标</w:t>
            </w:r>
          </w:p>
        </w:tc>
        <w:tc>
          <w:tcPr>
            <w:tcW w:w="627" w:type="dxa"/>
            <w:tcBorders>
              <w:top w:val="single" w:color="auto" w:sz="4" w:space="0"/>
              <w:left w:val="single" w:color="auto" w:sz="4" w:space="0"/>
              <w:bottom w:val="single" w:color="auto" w:sz="4" w:space="0"/>
              <w:right w:val="single" w:color="auto" w:sz="4" w:space="0"/>
            </w:tcBorders>
            <w:noWrap w:val="0"/>
            <w:vAlign w:val="center"/>
          </w:tcPr>
          <w:p w14:paraId="7B325D56">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自评分</w:t>
            </w:r>
          </w:p>
        </w:tc>
        <w:tc>
          <w:tcPr>
            <w:tcW w:w="3178" w:type="dxa"/>
            <w:tcBorders>
              <w:top w:val="single" w:color="auto" w:sz="4" w:space="0"/>
              <w:left w:val="single" w:color="auto" w:sz="4" w:space="0"/>
              <w:bottom w:val="single" w:color="auto" w:sz="4" w:space="0"/>
              <w:right w:val="single" w:color="auto" w:sz="4" w:space="0"/>
            </w:tcBorders>
            <w:noWrap w:val="0"/>
            <w:vAlign w:val="center"/>
          </w:tcPr>
          <w:p w14:paraId="5229F5F2">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具体指标</w:t>
            </w:r>
          </w:p>
        </w:tc>
        <w:tc>
          <w:tcPr>
            <w:tcW w:w="3450" w:type="dxa"/>
            <w:tcBorders>
              <w:top w:val="single" w:color="auto" w:sz="4" w:space="0"/>
              <w:left w:val="single" w:color="auto" w:sz="4" w:space="0"/>
              <w:bottom w:val="single" w:color="auto" w:sz="4" w:space="0"/>
              <w:right w:val="single" w:color="auto" w:sz="4" w:space="0"/>
            </w:tcBorders>
            <w:noWrap w:val="0"/>
            <w:vAlign w:val="center"/>
          </w:tcPr>
          <w:p w14:paraId="5E2B3E7D">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评价标准</w:t>
            </w:r>
          </w:p>
        </w:tc>
        <w:tc>
          <w:tcPr>
            <w:tcW w:w="506" w:type="dxa"/>
            <w:tcBorders>
              <w:top w:val="single" w:color="auto" w:sz="4" w:space="0"/>
              <w:left w:val="single" w:color="auto" w:sz="4" w:space="0"/>
              <w:bottom w:val="single" w:color="auto" w:sz="4" w:space="0"/>
              <w:right w:val="single" w:color="auto" w:sz="4" w:space="0"/>
            </w:tcBorders>
            <w:noWrap w:val="0"/>
            <w:vAlign w:val="center"/>
          </w:tcPr>
          <w:p w14:paraId="5C9ECF0A">
            <w:pPr>
              <w:widowControl/>
              <w:spacing w:line="260" w:lineRule="exact"/>
              <w:jc w:val="center"/>
              <w:rPr>
                <w:rFonts w:hint="eastAsia" w:ascii="宋体" w:hAnsi="宋体" w:cs="仿宋_GB2312"/>
                <w:b/>
                <w:bCs/>
                <w:color w:val="000000"/>
                <w:kern w:val="0"/>
                <w:sz w:val="24"/>
              </w:rPr>
            </w:pPr>
            <w:r>
              <w:rPr>
                <w:rFonts w:hint="eastAsia" w:cs="宋体"/>
                <w:b/>
                <w:color w:val="000000"/>
                <w:kern w:val="0"/>
                <w:sz w:val="24"/>
              </w:rPr>
              <w:t>得分</w:t>
            </w:r>
          </w:p>
        </w:tc>
      </w:tr>
      <w:tr w14:paraId="0931A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33" w:hRule="atLeast"/>
          <w:jc w:val="center"/>
        </w:trPr>
        <w:tc>
          <w:tcPr>
            <w:tcW w:w="797" w:type="dxa"/>
            <w:vMerge w:val="restart"/>
            <w:tcBorders>
              <w:top w:val="single" w:color="auto" w:sz="4" w:space="0"/>
              <w:left w:val="single" w:color="auto" w:sz="4" w:space="0"/>
              <w:bottom w:val="single" w:color="auto" w:sz="4" w:space="0"/>
              <w:right w:val="single" w:color="auto" w:sz="4" w:space="0"/>
            </w:tcBorders>
            <w:noWrap w:val="0"/>
            <w:vAlign w:val="center"/>
          </w:tcPr>
          <w:p w14:paraId="01B21CAC">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项</w:t>
            </w:r>
          </w:p>
          <w:p w14:paraId="2865FF89">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目</w:t>
            </w:r>
          </w:p>
          <w:p w14:paraId="530C8B10">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决</w:t>
            </w:r>
          </w:p>
          <w:p w14:paraId="6B9F822E">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策</w:t>
            </w:r>
          </w:p>
          <w:p w14:paraId="2AFBD6FF">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（15分）</w:t>
            </w:r>
          </w:p>
        </w:tc>
        <w:tc>
          <w:tcPr>
            <w:tcW w:w="937" w:type="dxa"/>
            <w:vMerge w:val="restart"/>
            <w:tcBorders>
              <w:top w:val="single" w:color="auto" w:sz="4" w:space="0"/>
              <w:left w:val="single" w:color="auto" w:sz="4" w:space="0"/>
              <w:bottom w:val="single" w:color="auto" w:sz="4" w:space="0"/>
              <w:right w:val="single" w:color="auto" w:sz="4" w:space="0"/>
            </w:tcBorders>
            <w:noWrap w:val="0"/>
            <w:vAlign w:val="center"/>
          </w:tcPr>
          <w:p w14:paraId="09E32133">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决策</w:t>
            </w:r>
          </w:p>
          <w:p w14:paraId="75C74D4B">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过程</w:t>
            </w:r>
          </w:p>
          <w:p w14:paraId="053DDF4F">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（8分）</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3027C693">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决策</w:t>
            </w:r>
          </w:p>
          <w:p w14:paraId="5107242A">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依据</w:t>
            </w:r>
          </w:p>
          <w:p w14:paraId="30C1FBCC">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（4分）</w:t>
            </w:r>
          </w:p>
        </w:tc>
        <w:tc>
          <w:tcPr>
            <w:tcW w:w="627" w:type="dxa"/>
            <w:tcBorders>
              <w:top w:val="single" w:color="auto" w:sz="4" w:space="0"/>
              <w:left w:val="single" w:color="auto" w:sz="4" w:space="0"/>
              <w:bottom w:val="single" w:color="auto" w:sz="4" w:space="0"/>
              <w:right w:val="single" w:color="auto" w:sz="4" w:space="0"/>
            </w:tcBorders>
            <w:noWrap w:val="0"/>
            <w:vAlign w:val="center"/>
          </w:tcPr>
          <w:p w14:paraId="0F0D438C">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4</w:t>
            </w:r>
          </w:p>
        </w:tc>
        <w:tc>
          <w:tcPr>
            <w:tcW w:w="3178" w:type="dxa"/>
            <w:tcBorders>
              <w:top w:val="single" w:color="auto" w:sz="4" w:space="0"/>
              <w:left w:val="single" w:color="auto" w:sz="4" w:space="0"/>
              <w:bottom w:val="single" w:color="auto" w:sz="4" w:space="0"/>
              <w:right w:val="single" w:color="auto" w:sz="4" w:space="0"/>
            </w:tcBorders>
            <w:noWrap w:val="0"/>
            <w:vAlign w:val="center"/>
          </w:tcPr>
          <w:p w14:paraId="288C181B">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有关法律法规的明确规定；某一经济社会发展规划；某部门年度工作计划；某一实际问题和需求</w:t>
            </w:r>
          </w:p>
        </w:tc>
        <w:tc>
          <w:tcPr>
            <w:tcW w:w="3450" w:type="dxa"/>
            <w:tcBorders>
              <w:top w:val="single" w:color="auto" w:sz="4" w:space="0"/>
              <w:left w:val="single" w:color="auto" w:sz="4" w:space="0"/>
              <w:bottom w:val="single" w:color="auto" w:sz="4" w:space="0"/>
              <w:right w:val="single" w:color="auto" w:sz="4" w:space="0"/>
            </w:tcBorders>
            <w:noWrap w:val="0"/>
            <w:vAlign w:val="center"/>
          </w:tcPr>
          <w:p w14:paraId="5666BDEB">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符合法律法规（1分）</w:t>
            </w:r>
          </w:p>
          <w:p w14:paraId="01FE6C30">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符合经济社会发展规划（1分）</w:t>
            </w:r>
          </w:p>
          <w:p w14:paraId="7DE9D35F">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部门年度工作计划（1分）</w:t>
            </w:r>
          </w:p>
          <w:p w14:paraId="68FCBC21">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针对某一实际问题和需求（1分）</w:t>
            </w:r>
          </w:p>
        </w:tc>
        <w:tc>
          <w:tcPr>
            <w:tcW w:w="506" w:type="dxa"/>
            <w:tcBorders>
              <w:top w:val="single" w:color="auto" w:sz="4" w:space="0"/>
              <w:left w:val="single" w:color="auto" w:sz="4" w:space="0"/>
              <w:bottom w:val="single" w:color="auto" w:sz="4" w:space="0"/>
              <w:right w:val="single" w:color="auto" w:sz="4" w:space="0"/>
            </w:tcBorders>
            <w:noWrap w:val="0"/>
            <w:vAlign w:val="center"/>
          </w:tcPr>
          <w:p w14:paraId="0C2DCFF1">
            <w:pPr>
              <w:widowControl/>
              <w:spacing w:line="300" w:lineRule="exact"/>
              <w:jc w:val="center"/>
              <w:rPr>
                <w:rFonts w:hint="eastAsia" w:ascii="宋体" w:hAnsi="宋体" w:eastAsia="宋体" w:cs="仿宋_GB2312"/>
                <w:bCs/>
                <w:snapToGrid w:val="0"/>
                <w:color w:val="000000"/>
                <w:kern w:val="0"/>
                <w:sz w:val="24"/>
                <w:szCs w:val="21"/>
                <w:lang w:val="en-US" w:eastAsia="zh-CN" w:bidi="ar-SA"/>
              </w:rPr>
            </w:pPr>
            <w:r>
              <w:rPr>
                <w:rFonts w:hint="eastAsia" w:ascii="宋体" w:hAnsi="宋体" w:cs="仿宋_GB2312"/>
                <w:bCs/>
                <w:color w:val="000000"/>
                <w:kern w:val="0"/>
                <w:sz w:val="24"/>
                <w:lang w:val="en-US" w:eastAsia="zh-CN"/>
              </w:rPr>
              <w:t>4</w:t>
            </w:r>
          </w:p>
        </w:tc>
      </w:tr>
      <w:tr w14:paraId="7CDC4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14:paraId="3993E34D">
            <w:pPr>
              <w:spacing w:line="300" w:lineRule="exact"/>
              <w:rPr>
                <w:rFonts w:hint="eastAsia" w:ascii="宋体" w:hAnsi="宋体" w:cs="仿宋_GB2312"/>
                <w:bCs/>
                <w:color w:val="000000"/>
                <w:sz w:val="24"/>
              </w:rPr>
            </w:pPr>
          </w:p>
        </w:tc>
        <w:tc>
          <w:tcPr>
            <w:tcW w:w="937" w:type="dxa"/>
            <w:vMerge w:val="continue"/>
            <w:tcBorders>
              <w:top w:val="single" w:color="auto" w:sz="4" w:space="0"/>
              <w:left w:val="single" w:color="auto" w:sz="4" w:space="0"/>
              <w:bottom w:val="single" w:color="auto" w:sz="4" w:space="0"/>
              <w:right w:val="single" w:color="auto" w:sz="4" w:space="0"/>
            </w:tcBorders>
            <w:noWrap w:val="0"/>
            <w:vAlign w:val="center"/>
          </w:tcPr>
          <w:p w14:paraId="12F7DEC6">
            <w:pPr>
              <w:spacing w:line="300" w:lineRule="exact"/>
              <w:rPr>
                <w:rFonts w:hint="eastAsia" w:ascii="宋体" w:hAnsi="宋体" w:cs="仿宋_GB2312"/>
                <w:bCs/>
                <w:color w:val="000000"/>
                <w:sz w:val="24"/>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14:paraId="1F667C1E">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决策</w:t>
            </w:r>
          </w:p>
          <w:p w14:paraId="3FBAA8D5">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程序</w:t>
            </w:r>
          </w:p>
          <w:p w14:paraId="340EDBBD">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（4分）</w:t>
            </w:r>
          </w:p>
        </w:tc>
        <w:tc>
          <w:tcPr>
            <w:tcW w:w="627" w:type="dxa"/>
            <w:tcBorders>
              <w:top w:val="single" w:color="auto" w:sz="4" w:space="0"/>
              <w:left w:val="single" w:color="auto" w:sz="4" w:space="0"/>
              <w:bottom w:val="single" w:color="auto" w:sz="4" w:space="0"/>
              <w:right w:val="single" w:color="auto" w:sz="4" w:space="0"/>
            </w:tcBorders>
            <w:noWrap w:val="0"/>
            <w:vAlign w:val="center"/>
          </w:tcPr>
          <w:p w14:paraId="6E821180">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4</w:t>
            </w:r>
          </w:p>
        </w:tc>
        <w:tc>
          <w:tcPr>
            <w:tcW w:w="3178" w:type="dxa"/>
            <w:tcBorders>
              <w:top w:val="single" w:color="auto" w:sz="4" w:space="0"/>
              <w:left w:val="single" w:color="auto" w:sz="4" w:space="0"/>
              <w:bottom w:val="single" w:color="auto" w:sz="4" w:space="0"/>
              <w:right w:val="single" w:color="auto" w:sz="4" w:space="0"/>
            </w:tcBorders>
            <w:noWrap w:val="0"/>
            <w:vAlign w:val="center"/>
          </w:tcPr>
          <w:p w14:paraId="0CE7258D">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项目符合申报条件；申报、批复程序符合相关管理办法；项目调整履行了相应手续</w:t>
            </w:r>
          </w:p>
        </w:tc>
        <w:tc>
          <w:tcPr>
            <w:tcW w:w="3450" w:type="dxa"/>
            <w:tcBorders>
              <w:top w:val="single" w:color="auto" w:sz="4" w:space="0"/>
              <w:left w:val="single" w:color="auto" w:sz="4" w:space="0"/>
              <w:bottom w:val="single" w:color="auto" w:sz="4" w:space="0"/>
              <w:right w:val="single" w:color="auto" w:sz="4" w:space="0"/>
            </w:tcBorders>
            <w:noWrap w:val="0"/>
            <w:vAlign w:val="center"/>
          </w:tcPr>
          <w:p w14:paraId="132F40DD">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符合申报条件（2分）</w:t>
            </w:r>
          </w:p>
          <w:p w14:paraId="011FE33B">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项目申报、批复程序符合管理办法（1分）</w:t>
            </w:r>
          </w:p>
          <w:p w14:paraId="1103BC23">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项目调整履行了相应手续（1分）</w:t>
            </w:r>
          </w:p>
        </w:tc>
        <w:tc>
          <w:tcPr>
            <w:tcW w:w="506" w:type="dxa"/>
            <w:tcBorders>
              <w:top w:val="single" w:color="auto" w:sz="4" w:space="0"/>
              <w:left w:val="single" w:color="auto" w:sz="4" w:space="0"/>
              <w:bottom w:val="single" w:color="auto" w:sz="4" w:space="0"/>
              <w:right w:val="single" w:color="auto" w:sz="4" w:space="0"/>
            </w:tcBorders>
            <w:noWrap w:val="0"/>
            <w:vAlign w:val="center"/>
          </w:tcPr>
          <w:p w14:paraId="74C53DED">
            <w:pPr>
              <w:widowControl/>
              <w:spacing w:line="300" w:lineRule="exact"/>
              <w:jc w:val="center"/>
              <w:rPr>
                <w:rFonts w:hint="eastAsia" w:ascii="宋体" w:hAnsi="宋体" w:eastAsia="宋体" w:cs="仿宋_GB2312"/>
                <w:bCs/>
                <w:snapToGrid w:val="0"/>
                <w:color w:val="000000"/>
                <w:kern w:val="0"/>
                <w:sz w:val="24"/>
                <w:szCs w:val="21"/>
                <w:lang w:val="en-US" w:eastAsia="zh-CN" w:bidi="ar-SA"/>
              </w:rPr>
            </w:pPr>
            <w:r>
              <w:rPr>
                <w:rFonts w:hint="eastAsia" w:ascii="宋体" w:hAnsi="宋体" w:cs="仿宋_GB2312"/>
                <w:bCs/>
                <w:color w:val="000000"/>
                <w:kern w:val="0"/>
                <w:sz w:val="24"/>
                <w:lang w:val="en-US" w:eastAsia="zh-CN"/>
              </w:rPr>
              <w:t>4</w:t>
            </w:r>
          </w:p>
        </w:tc>
      </w:tr>
      <w:tr w14:paraId="36964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74"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14:paraId="3E192C38">
            <w:pPr>
              <w:spacing w:line="300" w:lineRule="exact"/>
              <w:rPr>
                <w:rFonts w:hint="eastAsia" w:ascii="宋体" w:hAnsi="宋体" w:cs="仿宋_GB2312"/>
                <w:bCs/>
                <w:color w:val="000000"/>
                <w:sz w:val="24"/>
              </w:rPr>
            </w:pPr>
          </w:p>
        </w:tc>
        <w:tc>
          <w:tcPr>
            <w:tcW w:w="937" w:type="dxa"/>
            <w:vMerge w:val="restart"/>
            <w:tcBorders>
              <w:top w:val="single" w:color="auto" w:sz="4" w:space="0"/>
              <w:left w:val="single" w:color="auto" w:sz="4" w:space="0"/>
              <w:bottom w:val="single" w:color="auto" w:sz="4" w:space="0"/>
              <w:right w:val="single" w:color="auto" w:sz="4" w:space="0"/>
            </w:tcBorders>
            <w:noWrap w:val="0"/>
            <w:vAlign w:val="center"/>
          </w:tcPr>
          <w:p w14:paraId="0716CB9C">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资金</w:t>
            </w:r>
          </w:p>
          <w:p w14:paraId="0A6457BF">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分配</w:t>
            </w:r>
          </w:p>
          <w:p w14:paraId="582B451D">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（7分）</w:t>
            </w:r>
          </w:p>
          <w:p w14:paraId="05062923">
            <w:pPr>
              <w:widowControl/>
              <w:spacing w:line="300" w:lineRule="exact"/>
              <w:jc w:val="center"/>
              <w:rPr>
                <w:rFonts w:hint="eastAsia" w:ascii="宋体" w:hAnsi="宋体" w:cs="仿宋_GB2312"/>
                <w:bCs/>
                <w:color w:val="000000"/>
                <w:kern w:val="0"/>
                <w:sz w:val="24"/>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14:paraId="1588C2A5">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分配</w:t>
            </w:r>
          </w:p>
          <w:p w14:paraId="489A686A">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办法</w:t>
            </w:r>
          </w:p>
          <w:p w14:paraId="0FD6502B">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（3分）</w:t>
            </w:r>
          </w:p>
        </w:tc>
        <w:tc>
          <w:tcPr>
            <w:tcW w:w="627" w:type="dxa"/>
            <w:tcBorders>
              <w:top w:val="single" w:color="auto" w:sz="4" w:space="0"/>
              <w:left w:val="single" w:color="auto" w:sz="4" w:space="0"/>
              <w:bottom w:val="single" w:color="auto" w:sz="4" w:space="0"/>
              <w:right w:val="single" w:color="auto" w:sz="4" w:space="0"/>
            </w:tcBorders>
            <w:noWrap w:val="0"/>
            <w:vAlign w:val="center"/>
          </w:tcPr>
          <w:p w14:paraId="1E80E52B">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3</w:t>
            </w:r>
          </w:p>
        </w:tc>
        <w:tc>
          <w:tcPr>
            <w:tcW w:w="3178" w:type="dxa"/>
            <w:tcBorders>
              <w:top w:val="single" w:color="auto" w:sz="4" w:space="0"/>
              <w:left w:val="single" w:color="auto" w:sz="4" w:space="0"/>
              <w:bottom w:val="single" w:color="auto" w:sz="4" w:space="0"/>
              <w:right w:val="single" w:color="auto" w:sz="4" w:space="0"/>
            </w:tcBorders>
            <w:noWrap w:val="0"/>
            <w:vAlign w:val="center"/>
          </w:tcPr>
          <w:p w14:paraId="571DA0B5">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根据需要制定的相关资金管理办法；管理办法中有明确资金分配办法；资金分配因素全面、合理</w:t>
            </w:r>
          </w:p>
        </w:tc>
        <w:tc>
          <w:tcPr>
            <w:tcW w:w="3450" w:type="dxa"/>
            <w:tcBorders>
              <w:top w:val="single" w:color="auto" w:sz="4" w:space="0"/>
              <w:left w:val="single" w:color="auto" w:sz="4" w:space="0"/>
              <w:bottom w:val="single" w:color="auto" w:sz="4" w:space="0"/>
              <w:right w:val="single" w:color="auto" w:sz="4" w:space="0"/>
            </w:tcBorders>
            <w:noWrap w:val="0"/>
            <w:vAlign w:val="center"/>
          </w:tcPr>
          <w:p w14:paraId="1A0ED7DE">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有相应的资金管理办法（1分）</w:t>
            </w:r>
          </w:p>
          <w:p w14:paraId="64A8FD7B">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办法健全、规范（1分）</w:t>
            </w:r>
          </w:p>
          <w:p w14:paraId="17B01F6A">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因素全面合理（1分）</w:t>
            </w:r>
          </w:p>
        </w:tc>
        <w:tc>
          <w:tcPr>
            <w:tcW w:w="506" w:type="dxa"/>
            <w:tcBorders>
              <w:top w:val="single" w:color="auto" w:sz="4" w:space="0"/>
              <w:left w:val="single" w:color="auto" w:sz="4" w:space="0"/>
              <w:bottom w:val="single" w:color="auto" w:sz="4" w:space="0"/>
              <w:right w:val="single" w:color="auto" w:sz="4" w:space="0"/>
            </w:tcBorders>
            <w:noWrap w:val="0"/>
            <w:vAlign w:val="center"/>
          </w:tcPr>
          <w:p w14:paraId="09FC1024">
            <w:pPr>
              <w:widowControl/>
              <w:spacing w:line="300" w:lineRule="exact"/>
              <w:jc w:val="center"/>
              <w:rPr>
                <w:rFonts w:hint="eastAsia" w:ascii="宋体" w:hAnsi="宋体" w:eastAsia="宋体" w:cs="仿宋_GB2312"/>
                <w:bCs/>
                <w:snapToGrid w:val="0"/>
                <w:color w:val="000000"/>
                <w:kern w:val="0"/>
                <w:sz w:val="24"/>
                <w:szCs w:val="21"/>
                <w:lang w:val="en-US" w:eastAsia="zh-CN" w:bidi="ar-SA"/>
              </w:rPr>
            </w:pPr>
            <w:r>
              <w:rPr>
                <w:rFonts w:hint="eastAsia" w:ascii="宋体" w:hAnsi="宋体" w:cs="仿宋_GB2312"/>
                <w:bCs/>
                <w:color w:val="000000"/>
                <w:kern w:val="0"/>
                <w:sz w:val="24"/>
                <w:lang w:val="en-US" w:eastAsia="zh-CN"/>
              </w:rPr>
              <w:t>3</w:t>
            </w:r>
          </w:p>
        </w:tc>
      </w:tr>
      <w:tr w14:paraId="425ED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14:paraId="6BCDECB2">
            <w:pPr>
              <w:spacing w:line="300" w:lineRule="exact"/>
              <w:rPr>
                <w:rFonts w:hint="eastAsia" w:ascii="宋体" w:hAnsi="宋体" w:cs="仿宋_GB2312"/>
                <w:bCs/>
                <w:color w:val="000000"/>
                <w:sz w:val="24"/>
              </w:rPr>
            </w:pPr>
          </w:p>
        </w:tc>
        <w:tc>
          <w:tcPr>
            <w:tcW w:w="937" w:type="dxa"/>
            <w:vMerge w:val="continue"/>
            <w:tcBorders>
              <w:top w:val="single" w:color="auto" w:sz="4" w:space="0"/>
              <w:left w:val="single" w:color="auto" w:sz="4" w:space="0"/>
              <w:bottom w:val="single" w:color="auto" w:sz="4" w:space="0"/>
              <w:right w:val="single" w:color="auto" w:sz="4" w:space="0"/>
            </w:tcBorders>
            <w:noWrap w:val="0"/>
            <w:vAlign w:val="center"/>
          </w:tcPr>
          <w:p w14:paraId="4CBF5B18">
            <w:pPr>
              <w:spacing w:line="300" w:lineRule="exact"/>
              <w:rPr>
                <w:rFonts w:hint="eastAsia" w:ascii="宋体" w:hAnsi="宋体" w:cs="仿宋_GB2312"/>
                <w:bCs/>
                <w:color w:val="000000"/>
                <w:sz w:val="24"/>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14:paraId="715114EA">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分配</w:t>
            </w:r>
          </w:p>
          <w:p w14:paraId="70C34BB4">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结果</w:t>
            </w:r>
          </w:p>
          <w:p w14:paraId="35B892AA">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（4分）</w:t>
            </w:r>
          </w:p>
        </w:tc>
        <w:tc>
          <w:tcPr>
            <w:tcW w:w="627" w:type="dxa"/>
            <w:tcBorders>
              <w:top w:val="single" w:color="auto" w:sz="4" w:space="0"/>
              <w:left w:val="single" w:color="auto" w:sz="4" w:space="0"/>
              <w:bottom w:val="single" w:color="auto" w:sz="4" w:space="0"/>
              <w:right w:val="single" w:color="auto" w:sz="4" w:space="0"/>
            </w:tcBorders>
            <w:noWrap w:val="0"/>
            <w:vAlign w:val="center"/>
          </w:tcPr>
          <w:p w14:paraId="2D196F92">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4</w:t>
            </w:r>
          </w:p>
        </w:tc>
        <w:tc>
          <w:tcPr>
            <w:tcW w:w="3178" w:type="dxa"/>
            <w:tcBorders>
              <w:top w:val="single" w:color="auto" w:sz="4" w:space="0"/>
              <w:left w:val="single" w:color="auto" w:sz="4" w:space="0"/>
              <w:bottom w:val="single" w:color="auto" w:sz="4" w:space="0"/>
              <w:right w:val="single" w:color="auto" w:sz="4" w:space="0"/>
            </w:tcBorders>
            <w:noWrap w:val="0"/>
            <w:vAlign w:val="center"/>
          </w:tcPr>
          <w:p w14:paraId="7C62F7EF">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资金分配符合相关管理办法；分配结果公平合理</w:t>
            </w:r>
          </w:p>
        </w:tc>
        <w:tc>
          <w:tcPr>
            <w:tcW w:w="3450" w:type="dxa"/>
            <w:tcBorders>
              <w:top w:val="single" w:color="auto" w:sz="4" w:space="0"/>
              <w:left w:val="single" w:color="auto" w:sz="4" w:space="0"/>
              <w:bottom w:val="single" w:color="auto" w:sz="4" w:space="0"/>
              <w:right w:val="single" w:color="auto" w:sz="4" w:space="0"/>
            </w:tcBorders>
            <w:noWrap w:val="0"/>
            <w:vAlign w:val="center"/>
          </w:tcPr>
          <w:p w14:paraId="7246CC5F">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符合分配办法（2分）</w:t>
            </w:r>
          </w:p>
          <w:p w14:paraId="47CF479F">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分配公平合理（2分）</w:t>
            </w:r>
          </w:p>
        </w:tc>
        <w:tc>
          <w:tcPr>
            <w:tcW w:w="506" w:type="dxa"/>
            <w:tcBorders>
              <w:top w:val="single" w:color="auto" w:sz="4" w:space="0"/>
              <w:left w:val="single" w:color="auto" w:sz="4" w:space="0"/>
              <w:bottom w:val="single" w:color="auto" w:sz="4" w:space="0"/>
              <w:right w:val="single" w:color="auto" w:sz="4" w:space="0"/>
            </w:tcBorders>
            <w:noWrap w:val="0"/>
            <w:vAlign w:val="center"/>
          </w:tcPr>
          <w:p w14:paraId="254EAB89">
            <w:pPr>
              <w:widowControl/>
              <w:spacing w:line="300" w:lineRule="exact"/>
              <w:jc w:val="center"/>
              <w:rPr>
                <w:rFonts w:hint="eastAsia" w:ascii="宋体" w:hAnsi="宋体" w:eastAsia="宋体" w:cs="仿宋_GB2312"/>
                <w:bCs/>
                <w:snapToGrid w:val="0"/>
                <w:color w:val="000000"/>
                <w:kern w:val="0"/>
                <w:sz w:val="24"/>
                <w:szCs w:val="21"/>
                <w:lang w:val="en-US" w:eastAsia="zh-CN" w:bidi="ar-SA"/>
              </w:rPr>
            </w:pPr>
            <w:r>
              <w:rPr>
                <w:rFonts w:hint="eastAsia" w:ascii="宋体" w:hAnsi="宋体" w:cs="仿宋_GB2312"/>
                <w:bCs/>
                <w:color w:val="000000"/>
                <w:kern w:val="0"/>
                <w:sz w:val="24"/>
                <w:lang w:val="en-US" w:eastAsia="zh-CN"/>
              </w:rPr>
              <w:t>4</w:t>
            </w:r>
          </w:p>
        </w:tc>
      </w:tr>
      <w:tr w14:paraId="3B6DE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restart"/>
            <w:tcBorders>
              <w:top w:val="single" w:color="auto" w:sz="4" w:space="0"/>
              <w:left w:val="single" w:color="auto" w:sz="4" w:space="0"/>
              <w:right w:val="single" w:color="auto" w:sz="4" w:space="0"/>
            </w:tcBorders>
            <w:noWrap w:val="0"/>
            <w:vAlign w:val="center"/>
          </w:tcPr>
          <w:p w14:paraId="05E5A9F5">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项</w:t>
            </w:r>
          </w:p>
          <w:p w14:paraId="61ACCC3F">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目</w:t>
            </w:r>
          </w:p>
          <w:p w14:paraId="34152C3F">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管</w:t>
            </w:r>
          </w:p>
          <w:p w14:paraId="16909B00">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理</w:t>
            </w:r>
          </w:p>
          <w:p w14:paraId="6BB1DF64">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 xml:space="preserve">（25分） </w:t>
            </w:r>
          </w:p>
        </w:tc>
        <w:tc>
          <w:tcPr>
            <w:tcW w:w="937" w:type="dxa"/>
            <w:vMerge w:val="restart"/>
            <w:tcBorders>
              <w:top w:val="single" w:color="auto" w:sz="4" w:space="0"/>
              <w:left w:val="single" w:color="auto" w:sz="4" w:space="0"/>
              <w:bottom w:val="single" w:color="auto" w:sz="4" w:space="0"/>
              <w:right w:val="single" w:color="auto" w:sz="4" w:space="0"/>
            </w:tcBorders>
            <w:noWrap w:val="0"/>
            <w:vAlign w:val="center"/>
          </w:tcPr>
          <w:p w14:paraId="38FE2B12">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资金</w:t>
            </w:r>
          </w:p>
          <w:p w14:paraId="4F4AF714">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到位</w:t>
            </w:r>
          </w:p>
          <w:p w14:paraId="749F7D1E">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（5分）</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0A8251E0">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到位率</w:t>
            </w:r>
          </w:p>
          <w:p w14:paraId="7EE21AFE">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（3分）</w:t>
            </w:r>
          </w:p>
        </w:tc>
        <w:tc>
          <w:tcPr>
            <w:tcW w:w="627" w:type="dxa"/>
            <w:tcBorders>
              <w:top w:val="single" w:color="auto" w:sz="4" w:space="0"/>
              <w:left w:val="single" w:color="auto" w:sz="4" w:space="0"/>
              <w:bottom w:val="single" w:color="auto" w:sz="4" w:space="0"/>
              <w:right w:val="single" w:color="auto" w:sz="4" w:space="0"/>
            </w:tcBorders>
            <w:noWrap w:val="0"/>
            <w:vAlign w:val="center"/>
          </w:tcPr>
          <w:p w14:paraId="40A27B22">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3</w:t>
            </w:r>
          </w:p>
        </w:tc>
        <w:tc>
          <w:tcPr>
            <w:tcW w:w="3178" w:type="dxa"/>
            <w:tcBorders>
              <w:top w:val="single" w:color="auto" w:sz="4" w:space="0"/>
              <w:left w:val="single" w:color="auto" w:sz="4" w:space="0"/>
              <w:bottom w:val="single" w:color="auto" w:sz="4" w:space="0"/>
              <w:right w:val="single" w:color="auto" w:sz="4" w:space="0"/>
            </w:tcBorders>
            <w:noWrap w:val="0"/>
            <w:vAlign w:val="center"/>
          </w:tcPr>
          <w:p w14:paraId="6CFA9C67">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实际到位/计划到位*100%</w:t>
            </w:r>
          </w:p>
        </w:tc>
        <w:tc>
          <w:tcPr>
            <w:tcW w:w="3450" w:type="dxa"/>
            <w:tcBorders>
              <w:top w:val="single" w:color="auto" w:sz="4" w:space="0"/>
              <w:left w:val="single" w:color="auto" w:sz="4" w:space="0"/>
              <w:bottom w:val="single" w:color="auto" w:sz="4" w:space="0"/>
              <w:right w:val="single" w:color="auto" w:sz="4" w:space="0"/>
            </w:tcBorders>
            <w:noWrap w:val="0"/>
            <w:vAlign w:val="center"/>
          </w:tcPr>
          <w:p w14:paraId="4EFE7C26">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根据项目资金的实际到位率计算得分</w:t>
            </w:r>
          </w:p>
        </w:tc>
        <w:tc>
          <w:tcPr>
            <w:tcW w:w="506" w:type="dxa"/>
            <w:tcBorders>
              <w:top w:val="single" w:color="auto" w:sz="4" w:space="0"/>
              <w:left w:val="single" w:color="auto" w:sz="4" w:space="0"/>
              <w:bottom w:val="single" w:color="auto" w:sz="4" w:space="0"/>
              <w:right w:val="single" w:color="auto" w:sz="4" w:space="0"/>
            </w:tcBorders>
            <w:noWrap w:val="0"/>
            <w:vAlign w:val="center"/>
          </w:tcPr>
          <w:p w14:paraId="20FFBB5B">
            <w:pPr>
              <w:widowControl/>
              <w:spacing w:line="300" w:lineRule="exact"/>
              <w:jc w:val="center"/>
              <w:rPr>
                <w:rFonts w:hint="eastAsia" w:ascii="宋体" w:hAnsi="宋体" w:eastAsia="宋体" w:cs="仿宋_GB2312"/>
                <w:bCs/>
                <w:snapToGrid w:val="0"/>
                <w:color w:val="000000"/>
                <w:kern w:val="0"/>
                <w:sz w:val="24"/>
                <w:szCs w:val="21"/>
                <w:lang w:val="en-US" w:eastAsia="zh-CN" w:bidi="ar-SA"/>
              </w:rPr>
            </w:pPr>
            <w:r>
              <w:rPr>
                <w:rFonts w:hint="eastAsia" w:ascii="宋体" w:hAnsi="宋体" w:cs="仿宋_GB2312"/>
                <w:bCs/>
                <w:color w:val="000000"/>
                <w:kern w:val="0"/>
                <w:sz w:val="24"/>
                <w:lang w:val="en-US" w:eastAsia="zh-CN"/>
              </w:rPr>
              <w:t>3</w:t>
            </w:r>
          </w:p>
        </w:tc>
      </w:tr>
      <w:tr w14:paraId="5674A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continue"/>
            <w:tcBorders>
              <w:left w:val="single" w:color="auto" w:sz="4" w:space="0"/>
              <w:right w:val="single" w:color="auto" w:sz="4" w:space="0"/>
            </w:tcBorders>
            <w:noWrap w:val="0"/>
            <w:vAlign w:val="center"/>
          </w:tcPr>
          <w:p w14:paraId="6AC1290C">
            <w:pPr>
              <w:spacing w:line="300" w:lineRule="exact"/>
              <w:rPr>
                <w:rFonts w:hint="eastAsia" w:ascii="宋体" w:hAnsi="宋体" w:cs="仿宋_GB2312"/>
                <w:bCs/>
                <w:color w:val="000000"/>
                <w:sz w:val="24"/>
              </w:rPr>
            </w:pPr>
          </w:p>
        </w:tc>
        <w:tc>
          <w:tcPr>
            <w:tcW w:w="937" w:type="dxa"/>
            <w:vMerge w:val="continue"/>
            <w:tcBorders>
              <w:top w:val="single" w:color="auto" w:sz="4" w:space="0"/>
              <w:left w:val="single" w:color="auto" w:sz="4" w:space="0"/>
              <w:bottom w:val="single" w:color="auto" w:sz="4" w:space="0"/>
              <w:right w:val="single" w:color="auto" w:sz="4" w:space="0"/>
            </w:tcBorders>
            <w:noWrap w:val="0"/>
            <w:vAlign w:val="center"/>
          </w:tcPr>
          <w:p w14:paraId="08D3B987">
            <w:pPr>
              <w:spacing w:line="300" w:lineRule="exact"/>
              <w:rPr>
                <w:rFonts w:hint="eastAsia" w:ascii="宋体" w:hAnsi="宋体" w:cs="仿宋_GB2312"/>
                <w:bCs/>
                <w:color w:val="000000"/>
                <w:sz w:val="24"/>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14:paraId="6A4E05C5">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到位</w:t>
            </w:r>
          </w:p>
          <w:p w14:paraId="60E231BC">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时效</w:t>
            </w:r>
          </w:p>
          <w:p w14:paraId="4005E02E">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（2分）</w:t>
            </w:r>
          </w:p>
        </w:tc>
        <w:tc>
          <w:tcPr>
            <w:tcW w:w="627" w:type="dxa"/>
            <w:tcBorders>
              <w:top w:val="single" w:color="auto" w:sz="4" w:space="0"/>
              <w:left w:val="single" w:color="auto" w:sz="4" w:space="0"/>
              <w:bottom w:val="single" w:color="auto" w:sz="4" w:space="0"/>
              <w:right w:val="single" w:color="auto" w:sz="4" w:space="0"/>
            </w:tcBorders>
            <w:noWrap w:val="0"/>
            <w:vAlign w:val="center"/>
          </w:tcPr>
          <w:p w14:paraId="2B7BA133">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2</w:t>
            </w:r>
          </w:p>
        </w:tc>
        <w:tc>
          <w:tcPr>
            <w:tcW w:w="3178" w:type="dxa"/>
            <w:tcBorders>
              <w:top w:val="single" w:color="auto" w:sz="4" w:space="0"/>
              <w:left w:val="single" w:color="auto" w:sz="4" w:space="0"/>
              <w:bottom w:val="single" w:color="auto" w:sz="4" w:space="0"/>
              <w:right w:val="single" w:color="auto" w:sz="4" w:space="0"/>
            </w:tcBorders>
            <w:noWrap w:val="0"/>
            <w:vAlign w:val="center"/>
          </w:tcPr>
          <w:p w14:paraId="155C1CB8">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资金及时到位；若未及时到位，是否影响项目进度</w:t>
            </w:r>
          </w:p>
        </w:tc>
        <w:tc>
          <w:tcPr>
            <w:tcW w:w="3450" w:type="dxa"/>
            <w:tcBorders>
              <w:top w:val="single" w:color="auto" w:sz="4" w:space="0"/>
              <w:left w:val="single" w:color="auto" w:sz="4" w:space="0"/>
              <w:bottom w:val="single" w:color="auto" w:sz="4" w:space="0"/>
              <w:right w:val="single" w:color="auto" w:sz="4" w:space="0"/>
            </w:tcBorders>
            <w:noWrap w:val="0"/>
            <w:vAlign w:val="center"/>
          </w:tcPr>
          <w:p w14:paraId="2D1BAC0C">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到位及时（2分）</w:t>
            </w:r>
          </w:p>
          <w:p w14:paraId="1C1E39DC">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不及时但未影响项目进度（1分）</w:t>
            </w:r>
          </w:p>
          <w:p w14:paraId="180D51CB">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不及时并影响项目进度（0.5分）</w:t>
            </w:r>
          </w:p>
        </w:tc>
        <w:tc>
          <w:tcPr>
            <w:tcW w:w="506" w:type="dxa"/>
            <w:tcBorders>
              <w:top w:val="single" w:color="auto" w:sz="4" w:space="0"/>
              <w:left w:val="single" w:color="auto" w:sz="4" w:space="0"/>
              <w:bottom w:val="single" w:color="auto" w:sz="4" w:space="0"/>
              <w:right w:val="single" w:color="auto" w:sz="4" w:space="0"/>
            </w:tcBorders>
            <w:noWrap w:val="0"/>
            <w:vAlign w:val="center"/>
          </w:tcPr>
          <w:p w14:paraId="505934C6">
            <w:pPr>
              <w:widowControl/>
              <w:spacing w:line="300" w:lineRule="exact"/>
              <w:jc w:val="center"/>
              <w:rPr>
                <w:rFonts w:hint="eastAsia" w:ascii="宋体" w:hAnsi="宋体" w:eastAsia="宋体" w:cs="仿宋_GB2312"/>
                <w:bCs/>
                <w:snapToGrid w:val="0"/>
                <w:color w:val="000000"/>
                <w:kern w:val="0"/>
                <w:sz w:val="24"/>
                <w:szCs w:val="21"/>
                <w:lang w:val="en-US" w:eastAsia="zh-CN" w:bidi="ar-SA"/>
              </w:rPr>
            </w:pPr>
            <w:r>
              <w:rPr>
                <w:rFonts w:hint="eastAsia" w:ascii="宋体" w:hAnsi="宋体" w:cs="仿宋_GB2312"/>
                <w:bCs/>
                <w:color w:val="000000"/>
                <w:kern w:val="0"/>
                <w:sz w:val="24"/>
                <w:lang w:val="en-US" w:eastAsia="zh-CN"/>
              </w:rPr>
              <w:t>2</w:t>
            </w:r>
          </w:p>
        </w:tc>
      </w:tr>
      <w:tr w14:paraId="56A23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continue"/>
            <w:tcBorders>
              <w:left w:val="single" w:color="auto" w:sz="4" w:space="0"/>
              <w:right w:val="single" w:color="auto" w:sz="4" w:space="0"/>
            </w:tcBorders>
            <w:noWrap w:val="0"/>
            <w:vAlign w:val="center"/>
          </w:tcPr>
          <w:p w14:paraId="209B7FEC">
            <w:pPr>
              <w:spacing w:line="300" w:lineRule="exact"/>
              <w:rPr>
                <w:rFonts w:hint="eastAsia" w:ascii="宋体" w:hAnsi="宋体" w:cs="仿宋_GB2312"/>
                <w:bCs/>
                <w:color w:val="000000"/>
                <w:sz w:val="24"/>
              </w:rPr>
            </w:pPr>
          </w:p>
        </w:tc>
        <w:tc>
          <w:tcPr>
            <w:tcW w:w="937" w:type="dxa"/>
            <w:vMerge w:val="restart"/>
            <w:tcBorders>
              <w:top w:val="single" w:color="auto" w:sz="4" w:space="0"/>
              <w:left w:val="single" w:color="auto" w:sz="4" w:space="0"/>
              <w:bottom w:val="single" w:color="auto" w:sz="4" w:space="0"/>
              <w:right w:val="single" w:color="auto" w:sz="4" w:space="0"/>
            </w:tcBorders>
            <w:noWrap w:val="0"/>
            <w:vAlign w:val="center"/>
          </w:tcPr>
          <w:p w14:paraId="085403F1">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资金</w:t>
            </w:r>
          </w:p>
          <w:p w14:paraId="09FBECA3">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管理</w:t>
            </w:r>
          </w:p>
          <w:p w14:paraId="07C33F6E">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（10分）</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4213A0F6">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资金</w:t>
            </w:r>
          </w:p>
          <w:p w14:paraId="6C937679">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使用</w:t>
            </w:r>
          </w:p>
          <w:p w14:paraId="17604C99">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（7分）</w:t>
            </w:r>
          </w:p>
        </w:tc>
        <w:tc>
          <w:tcPr>
            <w:tcW w:w="627" w:type="dxa"/>
            <w:tcBorders>
              <w:top w:val="single" w:color="auto" w:sz="4" w:space="0"/>
              <w:left w:val="single" w:color="auto" w:sz="4" w:space="0"/>
              <w:bottom w:val="single" w:color="auto" w:sz="4" w:space="0"/>
              <w:right w:val="single" w:color="auto" w:sz="4" w:space="0"/>
            </w:tcBorders>
            <w:noWrap w:val="0"/>
            <w:vAlign w:val="center"/>
          </w:tcPr>
          <w:p w14:paraId="7CAEEDF9">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7</w:t>
            </w:r>
          </w:p>
        </w:tc>
        <w:tc>
          <w:tcPr>
            <w:tcW w:w="3178" w:type="dxa"/>
            <w:tcBorders>
              <w:top w:val="single" w:color="auto" w:sz="4" w:space="0"/>
              <w:left w:val="single" w:color="auto" w:sz="4" w:space="0"/>
              <w:bottom w:val="single" w:color="auto" w:sz="4" w:space="0"/>
              <w:right w:val="single" w:color="auto" w:sz="4" w:space="0"/>
            </w:tcBorders>
            <w:noWrap w:val="0"/>
            <w:vAlign w:val="center"/>
          </w:tcPr>
          <w:p w14:paraId="771727E8">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支出依据合规，无虚列项目支出情况；无截留挤占挪用情况；无超标准开支情况；无超预算情况</w:t>
            </w:r>
          </w:p>
        </w:tc>
        <w:tc>
          <w:tcPr>
            <w:tcW w:w="3450" w:type="dxa"/>
            <w:tcBorders>
              <w:top w:val="single" w:color="auto" w:sz="4" w:space="0"/>
              <w:left w:val="single" w:color="auto" w:sz="4" w:space="0"/>
              <w:bottom w:val="single" w:color="auto" w:sz="4" w:space="0"/>
              <w:right w:val="single" w:color="auto" w:sz="4" w:space="0"/>
            </w:tcBorders>
            <w:noWrap w:val="0"/>
            <w:vAlign w:val="center"/>
          </w:tcPr>
          <w:p w14:paraId="40C550D5">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 xml:space="preserve">虚列套取扣4-7分 </w:t>
            </w:r>
          </w:p>
          <w:p w14:paraId="6538919F">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依据不合规扣2分</w:t>
            </w:r>
          </w:p>
          <w:p w14:paraId="5692456F">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截留、挤占、挪用扣3-6分</w:t>
            </w:r>
          </w:p>
          <w:p w14:paraId="4B43AD7D">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超标准开支扣2-5分</w:t>
            </w:r>
          </w:p>
          <w:p w14:paraId="4BF7B1CC">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超预算扣2-5分</w:t>
            </w:r>
          </w:p>
        </w:tc>
        <w:tc>
          <w:tcPr>
            <w:tcW w:w="506" w:type="dxa"/>
            <w:tcBorders>
              <w:top w:val="single" w:color="auto" w:sz="4" w:space="0"/>
              <w:left w:val="single" w:color="auto" w:sz="4" w:space="0"/>
              <w:bottom w:val="single" w:color="auto" w:sz="4" w:space="0"/>
              <w:right w:val="single" w:color="auto" w:sz="4" w:space="0"/>
            </w:tcBorders>
            <w:noWrap w:val="0"/>
            <w:vAlign w:val="center"/>
          </w:tcPr>
          <w:p w14:paraId="4E93DC75">
            <w:pPr>
              <w:widowControl/>
              <w:spacing w:line="300" w:lineRule="exact"/>
              <w:jc w:val="center"/>
              <w:rPr>
                <w:rFonts w:hint="eastAsia" w:ascii="宋体" w:hAnsi="宋体" w:eastAsia="宋体" w:cs="仿宋_GB2312"/>
                <w:bCs/>
                <w:snapToGrid w:val="0"/>
                <w:color w:val="000000"/>
                <w:kern w:val="0"/>
                <w:sz w:val="24"/>
                <w:szCs w:val="21"/>
                <w:lang w:val="en-US" w:eastAsia="zh-CN" w:bidi="ar-SA"/>
              </w:rPr>
            </w:pPr>
            <w:r>
              <w:rPr>
                <w:rFonts w:hint="eastAsia" w:ascii="宋体" w:hAnsi="宋体" w:cs="仿宋_GB2312"/>
                <w:bCs/>
                <w:color w:val="000000"/>
                <w:kern w:val="0"/>
                <w:sz w:val="24"/>
                <w:lang w:val="en-US" w:eastAsia="zh-CN"/>
              </w:rPr>
              <w:t>7</w:t>
            </w:r>
          </w:p>
        </w:tc>
      </w:tr>
      <w:tr w14:paraId="2BA5D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94" w:hRule="atLeast"/>
          <w:jc w:val="center"/>
        </w:trPr>
        <w:tc>
          <w:tcPr>
            <w:tcW w:w="797" w:type="dxa"/>
            <w:vMerge w:val="continue"/>
            <w:tcBorders>
              <w:left w:val="single" w:color="auto" w:sz="4" w:space="0"/>
              <w:bottom w:val="single" w:color="auto" w:sz="4" w:space="0"/>
              <w:right w:val="single" w:color="auto" w:sz="4" w:space="0"/>
            </w:tcBorders>
            <w:noWrap w:val="0"/>
            <w:vAlign w:val="center"/>
          </w:tcPr>
          <w:p w14:paraId="111894AC">
            <w:pPr>
              <w:spacing w:line="300" w:lineRule="exact"/>
              <w:rPr>
                <w:rFonts w:hint="eastAsia" w:ascii="宋体" w:hAnsi="宋体" w:cs="仿宋_GB2312"/>
                <w:bCs/>
                <w:color w:val="000000"/>
                <w:sz w:val="24"/>
              </w:rPr>
            </w:pPr>
          </w:p>
        </w:tc>
        <w:tc>
          <w:tcPr>
            <w:tcW w:w="937" w:type="dxa"/>
            <w:vMerge w:val="continue"/>
            <w:tcBorders>
              <w:top w:val="single" w:color="auto" w:sz="4" w:space="0"/>
              <w:left w:val="single" w:color="auto" w:sz="4" w:space="0"/>
              <w:bottom w:val="single" w:color="auto" w:sz="4" w:space="0"/>
              <w:right w:val="single" w:color="auto" w:sz="4" w:space="0"/>
            </w:tcBorders>
            <w:noWrap w:val="0"/>
            <w:vAlign w:val="center"/>
          </w:tcPr>
          <w:p w14:paraId="51A6DA41">
            <w:pPr>
              <w:spacing w:line="300" w:lineRule="exact"/>
              <w:rPr>
                <w:rFonts w:hint="eastAsia" w:ascii="宋体" w:hAnsi="宋体" w:cs="仿宋_GB2312"/>
                <w:bCs/>
                <w:color w:val="000000"/>
                <w:sz w:val="24"/>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14:paraId="7FD65B26">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财务</w:t>
            </w:r>
          </w:p>
          <w:p w14:paraId="082C8EF7">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管理</w:t>
            </w:r>
          </w:p>
          <w:p w14:paraId="68D0E3A8">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（3分）</w:t>
            </w:r>
          </w:p>
        </w:tc>
        <w:tc>
          <w:tcPr>
            <w:tcW w:w="627" w:type="dxa"/>
            <w:tcBorders>
              <w:top w:val="single" w:color="auto" w:sz="4" w:space="0"/>
              <w:left w:val="single" w:color="auto" w:sz="4" w:space="0"/>
              <w:bottom w:val="single" w:color="auto" w:sz="4" w:space="0"/>
              <w:right w:val="single" w:color="auto" w:sz="4" w:space="0"/>
            </w:tcBorders>
            <w:noWrap w:val="0"/>
            <w:vAlign w:val="center"/>
          </w:tcPr>
          <w:p w14:paraId="048173ED">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3</w:t>
            </w:r>
          </w:p>
        </w:tc>
        <w:tc>
          <w:tcPr>
            <w:tcW w:w="3178" w:type="dxa"/>
            <w:tcBorders>
              <w:top w:val="single" w:color="auto" w:sz="4" w:space="0"/>
              <w:left w:val="single" w:color="auto" w:sz="4" w:space="0"/>
              <w:bottom w:val="single" w:color="auto" w:sz="4" w:space="0"/>
              <w:right w:val="single" w:color="auto" w:sz="4" w:space="0"/>
            </w:tcBorders>
            <w:noWrap w:val="0"/>
            <w:vAlign w:val="center"/>
          </w:tcPr>
          <w:p w14:paraId="74880634">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资金管理、费用支出等制度健全；制度执行严格；会计核算规范</w:t>
            </w:r>
          </w:p>
        </w:tc>
        <w:tc>
          <w:tcPr>
            <w:tcW w:w="3450" w:type="dxa"/>
            <w:tcBorders>
              <w:top w:val="single" w:color="auto" w:sz="4" w:space="0"/>
              <w:left w:val="single" w:color="auto" w:sz="4" w:space="0"/>
              <w:bottom w:val="single" w:color="auto" w:sz="4" w:space="0"/>
              <w:right w:val="single" w:color="auto" w:sz="4" w:space="0"/>
            </w:tcBorders>
            <w:noWrap w:val="0"/>
            <w:vAlign w:val="center"/>
          </w:tcPr>
          <w:p w14:paraId="6C366C6B">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财务制度健全（1分）</w:t>
            </w:r>
          </w:p>
          <w:p w14:paraId="353D7ADC">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严格执行制度（1分）</w:t>
            </w:r>
          </w:p>
          <w:p w14:paraId="064FD793">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会计核算规范（1分）</w:t>
            </w:r>
          </w:p>
        </w:tc>
        <w:tc>
          <w:tcPr>
            <w:tcW w:w="506" w:type="dxa"/>
            <w:tcBorders>
              <w:top w:val="single" w:color="auto" w:sz="4" w:space="0"/>
              <w:left w:val="single" w:color="auto" w:sz="4" w:space="0"/>
              <w:bottom w:val="single" w:color="auto" w:sz="4" w:space="0"/>
              <w:right w:val="single" w:color="auto" w:sz="4" w:space="0"/>
            </w:tcBorders>
            <w:noWrap w:val="0"/>
            <w:vAlign w:val="center"/>
          </w:tcPr>
          <w:p w14:paraId="229767D0">
            <w:pPr>
              <w:widowControl/>
              <w:spacing w:line="300" w:lineRule="exact"/>
              <w:jc w:val="center"/>
              <w:rPr>
                <w:rFonts w:hint="eastAsia" w:ascii="宋体" w:hAnsi="宋体" w:eastAsia="宋体" w:cs="仿宋_GB2312"/>
                <w:bCs/>
                <w:snapToGrid w:val="0"/>
                <w:color w:val="000000"/>
                <w:kern w:val="0"/>
                <w:sz w:val="24"/>
                <w:szCs w:val="21"/>
                <w:lang w:val="en-US" w:eastAsia="zh-CN" w:bidi="ar-SA"/>
              </w:rPr>
            </w:pPr>
            <w:r>
              <w:rPr>
                <w:rFonts w:hint="eastAsia" w:ascii="宋体" w:hAnsi="宋体" w:cs="仿宋_GB2312"/>
                <w:bCs/>
                <w:color w:val="000000"/>
                <w:kern w:val="0"/>
                <w:sz w:val="24"/>
                <w:lang w:val="en-US" w:eastAsia="zh-CN"/>
              </w:rPr>
              <w:t>3</w:t>
            </w:r>
          </w:p>
        </w:tc>
      </w:tr>
      <w:tr w14:paraId="6B5F4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restart"/>
            <w:tcBorders>
              <w:top w:val="single" w:color="auto" w:sz="4" w:space="0"/>
              <w:left w:val="single" w:color="auto" w:sz="4" w:space="0"/>
              <w:right w:val="single" w:color="auto" w:sz="4" w:space="0"/>
            </w:tcBorders>
            <w:noWrap w:val="0"/>
            <w:vAlign w:val="center"/>
          </w:tcPr>
          <w:p w14:paraId="13C0BAE1">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项</w:t>
            </w:r>
          </w:p>
          <w:p w14:paraId="26DD969F">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目</w:t>
            </w:r>
          </w:p>
          <w:p w14:paraId="70E8143E">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管</w:t>
            </w:r>
          </w:p>
          <w:p w14:paraId="7E2F365C">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理</w:t>
            </w:r>
          </w:p>
          <w:p w14:paraId="3051551D">
            <w:pPr>
              <w:spacing w:line="306" w:lineRule="exact"/>
              <w:rPr>
                <w:rFonts w:hint="eastAsia" w:ascii="宋体" w:hAnsi="宋体" w:cs="仿宋_GB2312"/>
                <w:bCs/>
                <w:color w:val="000000"/>
                <w:sz w:val="24"/>
              </w:rPr>
            </w:pPr>
            <w:r>
              <w:rPr>
                <w:rFonts w:hint="eastAsia" w:ascii="宋体" w:hAnsi="宋体" w:cs="仿宋_GB2312"/>
                <w:bCs/>
                <w:color w:val="000000"/>
                <w:kern w:val="0"/>
                <w:sz w:val="24"/>
              </w:rPr>
              <w:t>（25分）</w:t>
            </w:r>
          </w:p>
        </w:tc>
        <w:tc>
          <w:tcPr>
            <w:tcW w:w="937" w:type="dxa"/>
            <w:vMerge w:val="restart"/>
            <w:tcBorders>
              <w:top w:val="single" w:color="auto" w:sz="4" w:space="0"/>
              <w:left w:val="single" w:color="auto" w:sz="4" w:space="0"/>
              <w:right w:val="single" w:color="auto" w:sz="4" w:space="0"/>
            </w:tcBorders>
            <w:noWrap w:val="0"/>
            <w:vAlign w:val="center"/>
          </w:tcPr>
          <w:p w14:paraId="0BD536A0">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组织</w:t>
            </w:r>
          </w:p>
          <w:p w14:paraId="3C7E815E">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实施</w:t>
            </w:r>
          </w:p>
          <w:p w14:paraId="2E17827A">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（10分）</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3E1BE300">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组织</w:t>
            </w:r>
          </w:p>
          <w:p w14:paraId="525BB47A">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机构</w:t>
            </w:r>
          </w:p>
          <w:p w14:paraId="785D568E">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（2分）</w:t>
            </w:r>
          </w:p>
        </w:tc>
        <w:tc>
          <w:tcPr>
            <w:tcW w:w="627" w:type="dxa"/>
            <w:tcBorders>
              <w:top w:val="single" w:color="auto" w:sz="4" w:space="0"/>
              <w:left w:val="single" w:color="auto" w:sz="4" w:space="0"/>
              <w:bottom w:val="single" w:color="auto" w:sz="4" w:space="0"/>
              <w:right w:val="single" w:color="auto" w:sz="4" w:space="0"/>
            </w:tcBorders>
            <w:noWrap w:val="0"/>
            <w:vAlign w:val="center"/>
          </w:tcPr>
          <w:p w14:paraId="22BBB671">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2</w:t>
            </w:r>
          </w:p>
        </w:tc>
        <w:tc>
          <w:tcPr>
            <w:tcW w:w="3178" w:type="dxa"/>
            <w:tcBorders>
              <w:top w:val="single" w:color="auto" w:sz="4" w:space="0"/>
              <w:left w:val="single" w:color="auto" w:sz="4" w:space="0"/>
              <w:bottom w:val="single" w:color="auto" w:sz="4" w:space="0"/>
              <w:right w:val="single" w:color="auto" w:sz="4" w:space="0"/>
            </w:tcBorders>
            <w:noWrap w:val="0"/>
            <w:vAlign w:val="center"/>
          </w:tcPr>
          <w:p w14:paraId="24351DCD">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机构健全、分工明确</w:t>
            </w:r>
          </w:p>
        </w:tc>
        <w:tc>
          <w:tcPr>
            <w:tcW w:w="3450" w:type="dxa"/>
            <w:tcBorders>
              <w:top w:val="single" w:color="auto" w:sz="4" w:space="0"/>
              <w:left w:val="single" w:color="auto" w:sz="4" w:space="0"/>
              <w:bottom w:val="single" w:color="auto" w:sz="4" w:space="0"/>
              <w:right w:val="single" w:color="auto" w:sz="4" w:space="0"/>
            </w:tcBorders>
            <w:noWrap w:val="0"/>
            <w:vAlign w:val="center"/>
          </w:tcPr>
          <w:p w14:paraId="48CDBBE8">
            <w:pPr>
              <w:widowControl/>
              <w:spacing w:line="306" w:lineRule="exact"/>
              <w:ind w:left="240" w:hanging="240" w:hangingChars="100"/>
              <w:jc w:val="left"/>
              <w:rPr>
                <w:rFonts w:hint="eastAsia" w:ascii="宋体" w:hAnsi="宋体" w:cs="仿宋_GB2312"/>
                <w:bCs/>
                <w:color w:val="000000"/>
                <w:kern w:val="0"/>
                <w:sz w:val="24"/>
              </w:rPr>
            </w:pPr>
            <w:r>
              <w:rPr>
                <w:rFonts w:hint="eastAsia" w:ascii="宋体" w:hAnsi="宋体" w:cs="仿宋_GB2312"/>
                <w:bCs/>
                <w:color w:val="000000"/>
                <w:kern w:val="0"/>
                <w:sz w:val="24"/>
              </w:rPr>
              <w:t>机构健全、分工明确  （2分）</w:t>
            </w:r>
          </w:p>
        </w:tc>
        <w:tc>
          <w:tcPr>
            <w:tcW w:w="506" w:type="dxa"/>
            <w:tcBorders>
              <w:top w:val="single" w:color="auto" w:sz="4" w:space="0"/>
              <w:left w:val="single" w:color="auto" w:sz="4" w:space="0"/>
              <w:bottom w:val="single" w:color="auto" w:sz="4" w:space="0"/>
              <w:right w:val="single" w:color="auto" w:sz="4" w:space="0"/>
            </w:tcBorders>
            <w:noWrap w:val="0"/>
            <w:vAlign w:val="center"/>
          </w:tcPr>
          <w:p w14:paraId="6EC4292B">
            <w:pPr>
              <w:widowControl/>
              <w:spacing w:line="306" w:lineRule="exact"/>
              <w:jc w:val="center"/>
              <w:rPr>
                <w:rFonts w:hint="eastAsia" w:ascii="宋体" w:hAnsi="宋体" w:eastAsia="宋体" w:cs="仿宋_GB2312"/>
                <w:bCs/>
                <w:snapToGrid w:val="0"/>
                <w:color w:val="000000"/>
                <w:kern w:val="0"/>
                <w:sz w:val="24"/>
                <w:szCs w:val="21"/>
                <w:lang w:val="en-US" w:eastAsia="zh-CN" w:bidi="ar-SA"/>
              </w:rPr>
            </w:pPr>
            <w:r>
              <w:rPr>
                <w:rFonts w:hint="eastAsia" w:ascii="宋体" w:hAnsi="宋体" w:cs="仿宋_GB2312"/>
                <w:bCs/>
                <w:color w:val="000000"/>
                <w:kern w:val="0"/>
                <w:sz w:val="24"/>
                <w:lang w:val="en-US" w:eastAsia="zh-CN"/>
              </w:rPr>
              <w:t>2</w:t>
            </w:r>
          </w:p>
        </w:tc>
      </w:tr>
      <w:tr w14:paraId="10FC9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50" w:hRule="atLeast"/>
          <w:jc w:val="center"/>
        </w:trPr>
        <w:tc>
          <w:tcPr>
            <w:tcW w:w="797" w:type="dxa"/>
            <w:vMerge w:val="continue"/>
            <w:tcBorders>
              <w:left w:val="single" w:color="auto" w:sz="4" w:space="0"/>
              <w:right w:val="single" w:color="auto" w:sz="4" w:space="0"/>
            </w:tcBorders>
            <w:noWrap w:val="0"/>
            <w:vAlign w:val="center"/>
          </w:tcPr>
          <w:p w14:paraId="0F2F4333">
            <w:pPr>
              <w:spacing w:line="306" w:lineRule="exact"/>
              <w:rPr>
                <w:rFonts w:hint="eastAsia" w:ascii="宋体" w:hAnsi="宋体" w:cs="仿宋_GB2312"/>
                <w:bCs/>
                <w:color w:val="000000"/>
                <w:sz w:val="24"/>
              </w:rPr>
            </w:pPr>
          </w:p>
        </w:tc>
        <w:tc>
          <w:tcPr>
            <w:tcW w:w="937" w:type="dxa"/>
            <w:vMerge w:val="continue"/>
            <w:tcBorders>
              <w:left w:val="single" w:color="auto" w:sz="4" w:space="0"/>
              <w:right w:val="single" w:color="auto" w:sz="4" w:space="0"/>
            </w:tcBorders>
            <w:noWrap w:val="0"/>
            <w:vAlign w:val="center"/>
          </w:tcPr>
          <w:p w14:paraId="56208EBF">
            <w:pPr>
              <w:spacing w:line="306" w:lineRule="exact"/>
              <w:rPr>
                <w:rFonts w:hint="eastAsia" w:ascii="宋体" w:hAnsi="宋体" w:cs="仿宋_GB2312"/>
                <w:bCs/>
                <w:color w:val="000000"/>
                <w:sz w:val="24"/>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14:paraId="019F278C">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项目</w:t>
            </w:r>
          </w:p>
          <w:p w14:paraId="43A97739">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实施</w:t>
            </w:r>
          </w:p>
          <w:p w14:paraId="3834F1F1">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（3分）</w:t>
            </w:r>
          </w:p>
        </w:tc>
        <w:tc>
          <w:tcPr>
            <w:tcW w:w="627" w:type="dxa"/>
            <w:tcBorders>
              <w:top w:val="single" w:color="auto" w:sz="4" w:space="0"/>
              <w:left w:val="single" w:color="auto" w:sz="4" w:space="0"/>
              <w:bottom w:val="single" w:color="auto" w:sz="4" w:space="0"/>
              <w:right w:val="single" w:color="auto" w:sz="4" w:space="0"/>
            </w:tcBorders>
            <w:noWrap w:val="0"/>
            <w:vAlign w:val="center"/>
          </w:tcPr>
          <w:p w14:paraId="5979F886">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3</w:t>
            </w:r>
          </w:p>
        </w:tc>
        <w:tc>
          <w:tcPr>
            <w:tcW w:w="3178" w:type="dxa"/>
            <w:tcBorders>
              <w:top w:val="single" w:color="auto" w:sz="4" w:space="0"/>
              <w:left w:val="single" w:color="auto" w:sz="4" w:space="0"/>
              <w:bottom w:val="single" w:color="auto" w:sz="4" w:space="0"/>
              <w:right w:val="single" w:color="auto" w:sz="4" w:space="0"/>
            </w:tcBorders>
            <w:noWrap w:val="0"/>
            <w:vAlign w:val="center"/>
          </w:tcPr>
          <w:p w14:paraId="6DBCE2CE">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项目按计划开工；按计划进度开展；按计划完工</w:t>
            </w:r>
          </w:p>
        </w:tc>
        <w:tc>
          <w:tcPr>
            <w:tcW w:w="3450" w:type="dxa"/>
            <w:tcBorders>
              <w:top w:val="single" w:color="auto" w:sz="4" w:space="0"/>
              <w:left w:val="single" w:color="auto" w:sz="4" w:space="0"/>
              <w:bottom w:val="single" w:color="auto" w:sz="4" w:space="0"/>
              <w:right w:val="single" w:color="auto" w:sz="4" w:space="0"/>
            </w:tcBorders>
            <w:noWrap w:val="0"/>
            <w:vAlign w:val="center"/>
          </w:tcPr>
          <w:p w14:paraId="4E5EE0C2">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 xml:space="preserve">按计划开工（1分）   </w:t>
            </w:r>
          </w:p>
          <w:p w14:paraId="06F2D4FA">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 xml:space="preserve">按计划开展（1分）   </w:t>
            </w:r>
          </w:p>
          <w:p w14:paraId="486B054B">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按计划完工（1分）</w:t>
            </w:r>
          </w:p>
        </w:tc>
        <w:tc>
          <w:tcPr>
            <w:tcW w:w="506" w:type="dxa"/>
            <w:tcBorders>
              <w:top w:val="single" w:color="auto" w:sz="4" w:space="0"/>
              <w:left w:val="single" w:color="auto" w:sz="4" w:space="0"/>
              <w:bottom w:val="single" w:color="auto" w:sz="4" w:space="0"/>
              <w:right w:val="single" w:color="auto" w:sz="4" w:space="0"/>
            </w:tcBorders>
            <w:noWrap w:val="0"/>
            <w:vAlign w:val="center"/>
          </w:tcPr>
          <w:p w14:paraId="7C23F718">
            <w:pPr>
              <w:widowControl/>
              <w:spacing w:line="306" w:lineRule="exact"/>
              <w:jc w:val="center"/>
              <w:rPr>
                <w:rFonts w:hint="eastAsia" w:ascii="宋体" w:hAnsi="宋体" w:eastAsia="宋体" w:cs="仿宋_GB2312"/>
                <w:bCs/>
                <w:snapToGrid w:val="0"/>
                <w:color w:val="000000"/>
                <w:kern w:val="0"/>
                <w:sz w:val="24"/>
                <w:szCs w:val="21"/>
                <w:lang w:val="en-US" w:eastAsia="zh-CN" w:bidi="ar-SA"/>
              </w:rPr>
            </w:pPr>
            <w:r>
              <w:rPr>
                <w:rFonts w:hint="eastAsia" w:ascii="宋体" w:hAnsi="宋体" w:cs="仿宋_GB2312"/>
                <w:bCs/>
                <w:color w:val="000000"/>
                <w:kern w:val="0"/>
                <w:sz w:val="24"/>
                <w:lang w:val="en-US" w:eastAsia="zh-CN"/>
              </w:rPr>
              <w:t>3</w:t>
            </w:r>
          </w:p>
        </w:tc>
      </w:tr>
      <w:tr w14:paraId="230C1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continue"/>
            <w:tcBorders>
              <w:left w:val="single" w:color="auto" w:sz="4" w:space="0"/>
              <w:bottom w:val="single" w:color="auto" w:sz="4" w:space="0"/>
              <w:right w:val="single" w:color="auto" w:sz="4" w:space="0"/>
            </w:tcBorders>
            <w:noWrap w:val="0"/>
            <w:vAlign w:val="center"/>
          </w:tcPr>
          <w:p w14:paraId="293257E1">
            <w:pPr>
              <w:spacing w:line="306" w:lineRule="exact"/>
              <w:rPr>
                <w:rFonts w:hint="eastAsia" w:ascii="宋体" w:hAnsi="宋体" w:cs="仿宋_GB2312"/>
                <w:bCs/>
                <w:color w:val="000000"/>
                <w:sz w:val="24"/>
              </w:rPr>
            </w:pPr>
          </w:p>
        </w:tc>
        <w:tc>
          <w:tcPr>
            <w:tcW w:w="937" w:type="dxa"/>
            <w:vMerge w:val="continue"/>
            <w:tcBorders>
              <w:left w:val="single" w:color="auto" w:sz="4" w:space="0"/>
              <w:right w:val="single" w:color="auto" w:sz="4" w:space="0"/>
            </w:tcBorders>
            <w:noWrap w:val="0"/>
            <w:vAlign w:val="center"/>
          </w:tcPr>
          <w:p w14:paraId="51EC1B15">
            <w:pPr>
              <w:spacing w:line="306" w:lineRule="exact"/>
              <w:rPr>
                <w:rFonts w:hint="eastAsia" w:ascii="宋体" w:hAnsi="宋体" w:cs="仿宋_GB2312"/>
                <w:bCs/>
                <w:color w:val="000000"/>
                <w:sz w:val="24"/>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14:paraId="031CFA83">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管理</w:t>
            </w:r>
          </w:p>
          <w:p w14:paraId="089C23DA">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制度</w:t>
            </w:r>
          </w:p>
          <w:p w14:paraId="0962D904">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（5分）</w:t>
            </w:r>
          </w:p>
        </w:tc>
        <w:tc>
          <w:tcPr>
            <w:tcW w:w="627" w:type="dxa"/>
            <w:tcBorders>
              <w:top w:val="single" w:color="auto" w:sz="4" w:space="0"/>
              <w:left w:val="single" w:color="auto" w:sz="4" w:space="0"/>
              <w:bottom w:val="single" w:color="auto" w:sz="4" w:space="0"/>
              <w:right w:val="single" w:color="auto" w:sz="4" w:space="0"/>
            </w:tcBorders>
            <w:noWrap w:val="0"/>
            <w:vAlign w:val="center"/>
          </w:tcPr>
          <w:p w14:paraId="47518CE6">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c>
          <w:tcPr>
            <w:tcW w:w="3178" w:type="dxa"/>
            <w:tcBorders>
              <w:top w:val="single" w:color="auto" w:sz="4" w:space="0"/>
              <w:left w:val="single" w:color="auto" w:sz="4" w:space="0"/>
              <w:bottom w:val="single" w:color="auto" w:sz="4" w:space="0"/>
              <w:right w:val="single" w:color="auto" w:sz="4" w:space="0"/>
            </w:tcBorders>
            <w:noWrap w:val="0"/>
            <w:vAlign w:val="center"/>
          </w:tcPr>
          <w:p w14:paraId="52E14C4A">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项目管理制度健全；严格执行相关管理制度</w:t>
            </w:r>
          </w:p>
        </w:tc>
        <w:tc>
          <w:tcPr>
            <w:tcW w:w="3450" w:type="dxa"/>
            <w:tcBorders>
              <w:top w:val="single" w:color="auto" w:sz="4" w:space="0"/>
              <w:left w:val="single" w:color="auto" w:sz="4" w:space="0"/>
              <w:bottom w:val="single" w:color="auto" w:sz="4" w:space="0"/>
              <w:right w:val="single" w:color="auto" w:sz="4" w:space="0"/>
            </w:tcBorders>
            <w:noWrap w:val="0"/>
            <w:vAlign w:val="center"/>
          </w:tcPr>
          <w:p w14:paraId="62910EB9">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管理制度健全（2分）</w:t>
            </w:r>
          </w:p>
          <w:p w14:paraId="12946531">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制度执行严格（3分）</w:t>
            </w:r>
          </w:p>
        </w:tc>
        <w:tc>
          <w:tcPr>
            <w:tcW w:w="506" w:type="dxa"/>
            <w:tcBorders>
              <w:top w:val="single" w:color="auto" w:sz="4" w:space="0"/>
              <w:left w:val="single" w:color="auto" w:sz="4" w:space="0"/>
              <w:bottom w:val="single" w:color="auto" w:sz="4" w:space="0"/>
              <w:right w:val="single" w:color="auto" w:sz="4" w:space="0"/>
            </w:tcBorders>
            <w:noWrap w:val="0"/>
            <w:vAlign w:val="center"/>
          </w:tcPr>
          <w:p w14:paraId="56B10405">
            <w:pPr>
              <w:widowControl/>
              <w:spacing w:line="306" w:lineRule="exact"/>
              <w:jc w:val="center"/>
              <w:rPr>
                <w:rFonts w:hint="eastAsia" w:ascii="宋体" w:hAnsi="宋体" w:eastAsia="宋体" w:cs="仿宋_GB2312"/>
                <w:bCs/>
                <w:snapToGrid w:val="0"/>
                <w:color w:val="000000"/>
                <w:kern w:val="0"/>
                <w:sz w:val="24"/>
                <w:szCs w:val="21"/>
                <w:lang w:val="en-US" w:eastAsia="zh-CN" w:bidi="ar-SA"/>
              </w:rPr>
            </w:pPr>
            <w:r>
              <w:rPr>
                <w:rFonts w:hint="eastAsia" w:ascii="宋体" w:hAnsi="宋体" w:cs="仿宋_GB2312"/>
                <w:bCs/>
                <w:color w:val="000000"/>
                <w:kern w:val="0"/>
                <w:sz w:val="24"/>
                <w:lang w:val="en-US" w:eastAsia="zh-CN"/>
              </w:rPr>
              <w:t>5</w:t>
            </w:r>
          </w:p>
        </w:tc>
      </w:tr>
      <w:tr w14:paraId="3DF68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restart"/>
            <w:tcBorders>
              <w:top w:val="single" w:color="auto" w:sz="4" w:space="0"/>
              <w:left w:val="single" w:color="auto" w:sz="4" w:space="0"/>
              <w:bottom w:val="single" w:color="auto" w:sz="4" w:space="0"/>
              <w:right w:val="single" w:color="auto" w:sz="4" w:space="0"/>
            </w:tcBorders>
            <w:noWrap w:val="0"/>
            <w:vAlign w:val="center"/>
          </w:tcPr>
          <w:p w14:paraId="225E93E6">
            <w:pPr>
              <w:widowControl/>
              <w:spacing w:line="306" w:lineRule="exact"/>
              <w:jc w:val="center"/>
              <w:rPr>
                <w:rFonts w:hint="eastAsia" w:ascii="宋体" w:hAnsi="宋体" w:cs="仿宋_GB2312"/>
                <w:bCs/>
                <w:color w:val="000000"/>
                <w:kern w:val="0"/>
                <w:sz w:val="24"/>
              </w:rPr>
            </w:pPr>
          </w:p>
          <w:p w14:paraId="7C5EE68D">
            <w:pPr>
              <w:widowControl/>
              <w:spacing w:line="306" w:lineRule="exact"/>
              <w:jc w:val="center"/>
              <w:rPr>
                <w:rFonts w:hint="eastAsia" w:ascii="宋体" w:hAnsi="宋体" w:cs="仿宋_GB2312"/>
                <w:bCs/>
                <w:color w:val="000000"/>
                <w:kern w:val="0"/>
                <w:sz w:val="24"/>
              </w:rPr>
            </w:pPr>
          </w:p>
          <w:p w14:paraId="36824B0E">
            <w:pPr>
              <w:widowControl/>
              <w:spacing w:line="306" w:lineRule="exact"/>
              <w:jc w:val="center"/>
              <w:rPr>
                <w:rFonts w:hint="eastAsia" w:ascii="宋体" w:hAnsi="宋体" w:cs="仿宋_GB2312"/>
                <w:bCs/>
                <w:color w:val="000000"/>
                <w:kern w:val="0"/>
                <w:sz w:val="24"/>
              </w:rPr>
            </w:pPr>
          </w:p>
          <w:p w14:paraId="1BA75B6B">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项</w:t>
            </w:r>
          </w:p>
          <w:p w14:paraId="616B5D7C">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目</w:t>
            </w:r>
          </w:p>
          <w:p w14:paraId="114C2133">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绩</w:t>
            </w:r>
          </w:p>
          <w:p w14:paraId="6A953463">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效</w:t>
            </w:r>
          </w:p>
          <w:p w14:paraId="1100298D">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（60分）</w:t>
            </w:r>
          </w:p>
        </w:tc>
        <w:tc>
          <w:tcPr>
            <w:tcW w:w="937" w:type="dxa"/>
            <w:vMerge w:val="restart"/>
            <w:tcBorders>
              <w:top w:val="single" w:color="auto" w:sz="4" w:space="0"/>
              <w:left w:val="single" w:color="auto" w:sz="4" w:space="0"/>
              <w:bottom w:val="single" w:color="auto" w:sz="4" w:space="0"/>
              <w:right w:val="single" w:color="auto" w:sz="4" w:space="0"/>
            </w:tcBorders>
            <w:noWrap w:val="0"/>
            <w:vAlign w:val="center"/>
          </w:tcPr>
          <w:p w14:paraId="28177014">
            <w:pPr>
              <w:widowControl/>
              <w:spacing w:line="306" w:lineRule="exact"/>
              <w:jc w:val="center"/>
              <w:rPr>
                <w:rFonts w:hint="eastAsia" w:ascii="宋体" w:hAnsi="宋体" w:cs="仿宋_GB2312"/>
                <w:bCs/>
                <w:color w:val="000000"/>
                <w:kern w:val="0"/>
                <w:sz w:val="24"/>
              </w:rPr>
            </w:pPr>
          </w:p>
          <w:p w14:paraId="1A06BB7A">
            <w:pPr>
              <w:widowControl/>
              <w:spacing w:line="306" w:lineRule="exact"/>
              <w:jc w:val="center"/>
              <w:rPr>
                <w:rFonts w:hint="eastAsia" w:ascii="宋体" w:hAnsi="宋体" w:cs="仿宋_GB2312"/>
                <w:bCs/>
                <w:color w:val="000000"/>
                <w:kern w:val="0"/>
                <w:sz w:val="24"/>
              </w:rPr>
            </w:pPr>
          </w:p>
          <w:p w14:paraId="160875D7">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项目</w:t>
            </w:r>
          </w:p>
          <w:p w14:paraId="49CF5895">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产出</w:t>
            </w:r>
          </w:p>
          <w:p w14:paraId="7450D1CB">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（20分）</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6FB4B3ED">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产出</w:t>
            </w:r>
          </w:p>
          <w:p w14:paraId="3D9A7F7C">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数量</w:t>
            </w:r>
          </w:p>
          <w:p w14:paraId="26D1A4B5">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（5分）</w:t>
            </w:r>
          </w:p>
        </w:tc>
        <w:tc>
          <w:tcPr>
            <w:tcW w:w="627" w:type="dxa"/>
            <w:tcBorders>
              <w:top w:val="single" w:color="auto" w:sz="4" w:space="0"/>
              <w:left w:val="single" w:color="auto" w:sz="4" w:space="0"/>
              <w:bottom w:val="single" w:color="auto" w:sz="4" w:space="0"/>
              <w:right w:val="single" w:color="auto" w:sz="4" w:space="0"/>
            </w:tcBorders>
            <w:noWrap w:val="0"/>
            <w:vAlign w:val="center"/>
          </w:tcPr>
          <w:p w14:paraId="5CB73533">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c>
          <w:tcPr>
            <w:tcW w:w="3178" w:type="dxa"/>
            <w:tcBorders>
              <w:top w:val="single" w:color="auto" w:sz="4" w:space="0"/>
              <w:left w:val="single" w:color="auto" w:sz="4" w:space="0"/>
              <w:bottom w:val="single" w:color="auto" w:sz="4" w:space="0"/>
              <w:right w:val="single" w:color="auto" w:sz="4" w:space="0"/>
            </w:tcBorders>
            <w:noWrap w:val="0"/>
            <w:vAlign w:val="center"/>
          </w:tcPr>
          <w:p w14:paraId="012436E1">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根据该项目实际，标识具体明确的产出数量</w:t>
            </w:r>
          </w:p>
        </w:tc>
        <w:tc>
          <w:tcPr>
            <w:tcW w:w="3450" w:type="dxa"/>
            <w:tcBorders>
              <w:top w:val="single" w:color="auto" w:sz="4" w:space="0"/>
              <w:left w:val="single" w:color="auto" w:sz="4" w:space="0"/>
              <w:bottom w:val="single" w:color="auto" w:sz="4" w:space="0"/>
              <w:right w:val="single" w:color="auto" w:sz="4" w:space="0"/>
            </w:tcBorders>
            <w:noWrap w:val="0"/>
            <w:vAlign w:val="center"/>
          </w:tcPr>
          <w:p w14:paraId="21103608">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对照绩效目标，按实际产出数量率计算得分（5分）</w:t>
            </w:r>
          </w:p>
        </w:tc>
        <w:tc>
          <w:tcPr>
            <w:tcW w:w="506" w:type="dxa"/>
            <w:tcBorders>
              <w:top w:val="single" w:color="auto" w:sz="4" w:space="0"/>
              <w:left w:val="single" w:color="auto" w:sz="4" w:space="0"/>
              <w:bottom w:val="single" w:color="auto" w:sz="4" w:space="0"/>
              <w:right w:val="single" w:color="auto" w:sz="4" w:space="0"/>
            </w:tcBorders>
            <w:noWrap w:val="0"/>
            <w:vAlign w:val="center"/>
          </w:tcPr>
          <w:p w14:paraId="5CA77179">
            <w:pPr>
              <w:widowControl/>
              <w:spacing w:line="306" w:lineRule="exact"/>
              <w:jc w:val="center"/>
              <w:rPr>
                <w:rFonts w:hint="eastAsia" w:ascii="宋体" w:hAnsi="宋体" w:eastAsia="宋体" w:cs="仿宋_GB2312"/>
                <w:bCs/>
                <w:snapToGrid w:val="0"/>
                <w:color w:val="000000"/>
                <w:kern w:val="0"/>
                <w:sz w:val="24"/>
                <w:szCs w:val="21"/>
                <w:lang w:val="en-US" w:eastAsia="zh-CN" w:bidi="ar-SA"/>
              </w:rPr>
            </w:pPr>
            <w:r>
              <w:rPr>
                <w:rFonts w:hint="eastAsia" w:ascii="宋体" w:hAnsi="宋体" w:cs="仿宋_GB2312"/>
                <w:bCs/>
                <w:color w:val="000000"/>
                <w:kern w:val="0"/>
                <w:sz w:val="24"/>
                <w:lang w:val="en-US" w:eastAsia="zh-CN"/>
              </w:rPr>
              <w:t>5</w:t>
            </w:r>
          </w:p>
        </w:tc>
      </w:tr>
      <w:tr w14:paraId="1D7E8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14:paraId="0213B4DA">
            <w:pPr>
              <w:spacing w:line="306" w:lineRule="exact"/>
              <w:rPr>
                <w:rFonts w:hint="eastAsia" w:ascii="宋体" w:hAnsi="宋体" w:cs="仿宋_GB2312"/>
                <w:bCs/>
                <w:color w:val="000000"/>
                <w:sz w:val="24"/>
              </w:rPr>
            </w:pPr>
          </w:p>
        </w:tc>
        <w:tc>
          <w:tcPr>
            <w:tcW w:w="937" w:type="dxa"/>
            <w:vMerge w:val="continue"/>
            <w:tcBorders>
              <w:top w:val="single" w:color="auto" w:sz="4" w:space="0"/>
              <w:left w:val="single" w:color="auto" w:sz="4" w:space="0"/>
              <w:bottom w:val="single" w:color="auto" w:sz="4" w:space="0"/>
              <w:right w:val="single" w:color="auto" w:sz="4" w:space="0"/>
            </w:tcBorders>
            <w:noWrap w:val="0"/>
            <w:vAlign w:val="center"/>
          </w:tcPr>
          <w:p w14:paraId="12C51C4F">
            <w:pPr>
              <w:spacing w:line="306" w:lineRule="exact"/>
              <w:rPr>
                <w:rFonts w:hint="eastAsia" w:ascii="宋体" w:hAnsi="宋体" w:cs="仿宋_GB2312"/>
                <w:bCs/>
                <w:color w:val="000000"/>
                <w:sz w:val="24"/>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14:paraId="5FCFDF0A">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产出</w:t>
            </w:r>
          </w:p>
          <w:p w14:paraId="53807734">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质量</w:t>
            </w:r>
          </w:p>
          <w:p w14:paraId="43E91B52">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（5分）</w:t>
            </w:r>
          </w:p>
        </w:tc>
        <w:tc>
          <w:tcPr>
            <w:tcW w:w="627" w:type="dxa"/>
            <w:tcBorders>
              <w:top w:val="single" w:color="auto" w:sz="4" w:space="0"/>
              <w:left w:val="single" w:color="auto" w:sz="4" w:space="0"/>
              <w:bottom w:val="single" w:color="auto" w:sz="4" w:space="0"/>
              <w:right w:val="single" w:color="auto" w:sz="4" w:space="0"/>
            </w:tcBorders>
            <w:noWrap w:val="0"/>
            <w:vAlign w:val="center"/>
          </w:tcPr>
          <w:p w14:paraId="38C5BEAC">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c>
          <w:tcPr>
            <w:tcW w:w="3178" w:type="dxa"/>
            <w:tcBorders>
              <w:top w:val="single" w:color="auto" w:sz="4" w:space="0"/>
              <w:left w:val="single" w:color="auto" w:sz="4" w:space="0"/>
              <w:bottom w:val="single" w:color="auto" w:sz="4" w:space="0"/>
              <w:right w:val="single" w:color="auto" w:sz="4" w:space="0"/>
            </w:tcBorders>
            <w:noWrap w:val="0"/>
            <w:vAlign w:val="center"/>
          </w:tcPr>
          <w:p w14:paraId="49C04469">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根据该项目实际，标识具体明确的产出质量</w:t>
            </w:r>
          </w:p>
        </w:tc>
        <w:tc>
          <w:tcPr>
            <w:tcW w:w="3450" w:type="dxa"/>
            <w:tcBorders>
              <w:top w:val="single" w:color="auto" w:sz="4" w:space="0"/>
              <w:left w:val="single" w:color="auto" w:sz="4" w:space="0"/>
              <w:bottom w:val="single" w:color="auto" w:sz="4" w:space="0"/>
              <w:right w:val="single" w:color="auto" w:sz="4" w:space="0"/>
            </w:tcBorders>
            <w:noWrap w:val="0"/>
            <w:vAlign w:val="center"/>
          </w:tcPr>
          <w:p w14:paraId="1BD5078C">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对照绩效目标，按实际产出质量率计算得分（5分）</w:t>
            </w:r>
          </w:p>
        </w:tc>
        <w:tc>
          <w:tcPr>
            <w:tcW w:w="506" w:type="dxa"/>
            <w:tcBorders>
              <w:top w:val="single" w:color="auto" w:sz="4" w:space="0"/>
              <w:left w:val="single" w:color="auto" w:sz="4" w:space="0"/>
              <w:bottom w:val="single" w:color="auto" w:sz="4" w:space="0"/>
              <w:right w:val="single" w:color="auto" w:sz="4" w:space="0"/>
            </w:tcBorders>
            <w:noWrap w:val="0"/>
            <w:vAlign w:val="center"/>
          </w:tcPr>
          <w:p w14:paraId="0DA45E95">
            <w:pPr>
              <w:widowControl/>
              <w:spacing w:line="306" w:lineRule="exact"/>
              <w:jc w:val="center"/>
              <w:rPr>
                <w:rFonts w:hint="eastAsia" w:ascii="宋体" w:hAnsi="宋体" w:eastAsia="宋体" w:cs="仿宋_GB2312"/>
                <w:bCs/>
                <w:snapToGrid w:val="0"/>
                <w:color w:val="000000"/>
                <w:kern w:val="0"/>
                <w:sz w:val="24"/>
                <w:szCs w:val="21"/>
                <w:lang w:val="en-US" w:eastAsia="zh-CN" w:bidi="ar-SA"/>
              </w:rPr>
            </w:pPr>
            <w:r>
              <w:rPr>
                <w:rFonts w:hint="eastAsia" w:ascii="宋体" w:hAnsi="宋体" w:cs="仿宋_GB2312"/>
                <w:bCs/>
                <w:color w:val="000000"/>
                <w:kern w:val="0"/>
                <w:sz w:val="24"/>
                <w:lang w:val="en-US" w:eastAsia="zh-CN"/>
              </w:rPr>
              <w:t>5</w:t>
            </w:r>
          </w:p>
        </w:tc>
      </w:tr>
      <w:tr w14:paraId="4ADB8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14:paraId="6DF344D7">
            <w:pPr>
              <w:spacing w:line="306" w:lineRule="exact"/>
              <w:rPr>
                <w:rFonts w:hint="eastAsia" w:ascii="宋体" w:hAnsi="宋体" w:cs="仿宋_GB2312"/>
                <w:bCs/>
                <w:color w:val="000000"/>
                <w:sz w:val="24"/>
              </w:rPr>
            </w:pPr>
          </w:p>
        </w:tc>
        <w:tc>
          <w:tcPr>
            <w:tcW w:w="937" w:type="dxa"/>
            <w:vMerge w:val="continue"/>
            <w:tcBorders>
              <w:top w:val="single" w:color="auto" w:sz="4" w:space="0"/>
              <w:left w:val="single" w:color="auto" w:sz="4" w:space="0"/>
              <w:bottom w:val="single" w:color="auto" w:sz="4" w:space="0"/>
              <w:right w:val="single" w:color="auto" w:sz="4" w:space="0"/>
            </w:tcBorders>
            <w:noWrap w:val="0"/>
            <w:vAlign w:val="center"/>
          </w:tcPr>
          <w:p w14:paraId="3BDDAA4B">
            <w:pPr>
              <w:spacing w:line="306" w:lineRule="exact"/>
              <w:rPr>
                <w:rFonts w:hint="eastAsia" w:ascii="宋体" w:hAnsi="宋体" w:cs="仿宋_GB2312"/>
                <w:bCs/>
                <w:color w:val="000000"/>
                <w:sz w:val="24"/>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14:paraId="6E25425D">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产出</w:t>
            </w:r>
          </w:p>
          <w:p w14:paraId="7ED558B8">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时效</w:t>
            </w:r>
          </w:p>
          <w:p w14:paraId="01077095">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（5分）</w:t>
            </w:r>
          </w:p>
        </w:tc>
        <w:tc>
          <w:tcPr>
            <w:tcW w:w="627" w:type="dxa"/>
            <w:tcBorders>
              <w:top w:val="single" w:color="auto" w:sz="4" w:space="0"/>
              <w:left w:val="single" w:color="auto" w:sz="4" w:space="0"/>
              <w:bottom w:val="single" w:color="auto" w:sz="4" w:space="0"/>
              <w:right w:val="single" w:color="auto" w:sz="4" w:space="0"/>
            </w:tcBorders>
            <w:noWrap w:val="0"/>
            <w:vAlign w:val="center"/>
          </w:tcPr>
          <w:p w14:paraId="36F5D118">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c>
          <w:tcPr>
            <w:tcW w:w="3178" w:type="dxa"/>
            <w:tcBorders>
              <w:top w:val="single" w:color="auto" w:sz="4" w:space="0"/>
              <w:left w:val="single" w:color="auto" w:sz="4" w:space="0"/>
              <w:bottom w:val="single" w:color="auto" w:sz="4" w:space="0"/>
              <w:right w:val="single" w:color="auto" w:sz="4" w:space="0"/>
            </w:tcBorders>
            <w:noWrap w:val="0"/>
            <w:vAlign w:val="center"/>
          </w:tcPr>
          <w:p w14:paraId="27A40D32">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根据该项目实际，标识具体明确的产出时效</w:t>
            </w:r>
          </w:p>
        </w:tc>
        <w:tc>
          <w:tcPr>
            <w:tcW w:w="3450" w:type="dxa"/>
            <w:tcBorders>
              <w:top w:val="single" w:color="auto" w:sz="4" w:space="0"/>
              <w:left w:val="single" w:color="auto" w:sz="4" w:space="0"/>
              <w:bottom w:val="single" w:color="auto" w:sz="4" w:space="0"/>
              <w:right w:val="single" w:color="auto" w:sz="4" w:space="0"/>
            </w:tcBorders>
            <w:noWrap w:val="0"/>
            <w:vAlign w:val="center"/>
          </w:tcPr>
          <w:p w14:paraId="614E8880">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对照绩效目标，按实际产出时效率计算得分（5分）</w:t>
            </w:r>
          </w:p>
        </w:tc>
        <w:tc>
          <w:tcPr>
            <w:tcW w:w="506" w:type="dxa"/>
            <w:tcBorders>
              <w:top w:val="single" w:color="auto" w:sz="4" w:space="0"/>
              <w:left w:val="single" w:color="auto" w:sz="4" w:space="0"/>
              <w:bottom w:val="single" w:color="auto" w:sz="4" w:space="0"/>
              <w:right w:val="single" w:color="auto" w:sz="4" w:space="0"/>
            </w:tcBorders>
            <w:noWrap w:val="0"/>
            <w:vAlign w:val="center"/>
          </w:tcPr>
          <w:p w14:paraId="1647A71B">
            <w:pPr>
              <w:widowControl/>
              <w:spacing w:line="306" w:lineRule="exact"/>
              <w:jc w:val="center"/>
              <w:rPr>
                <w:rFonts w:hint="eastAsia" w:ascii="宋体" w:hAnsi="宋体" w:eastAsia="宋体" w:cs="仿宋_GB2312"/>
                <w:bCs/>
                <w:snapToGrid w:val="0"/>
                <w:color w:val="000000"/>
                <w:kern w:val="0"/>
                <w:sz w:val="24"/>
                <w:szCs w:val="21"/>
                <w:lang w:val="en-US" w:eastAsia="zh-CN" w:bidi="ar-SA"/>
              </w:rPr>
            </w:pPr>
            <w:r>
              <w:rPr>
                <w:rFonts w:hint="eastAsia" w:ascii="宋体" w:hAnsi="宋体" w:cs="仿宋_GB2312"/>
                <w:bCs/>
                <w:color w:val="000000"/>
                <w:kern w:val="0"/>
                <w:sz w:val="24"/>
                <w:lang w:val="en-US" w:eastAsia="zh-CN"/>
              </w:rPr>
              <w:t>5</w:t>
            </w:r>
          </w:p>
        </w:tc>
      </w:tr>
      <w:tr w14:paraId="30B9D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14:paraId="2DAD5543">
            <w:pPr>
              <w:spacing w:line="306" w:lineRule="exact"/>
              <w:rPr>
                <w:rFonts w:hint="eastAsia" w:ascii="宋体" w:hAnsi="宋体" w:cs="仿宋_GB2312"/>
                <w:bCs/>
                <w:color w:val="000000"/>
                <w:sz w:val="24"/>
              </w:rPr>
            </w:pPr>
          </w:p>
        </w:tc>
        <w:tc>
          <w:tcPr>
            <w:tcW w:w="937" w:type="dxa"/>
            <w:vMerge w:val="continue"/>
            <w:tcBorders>
              <w:top w:val="single" w:color="auto" w:sz="4" w:space="0"/>
              <w:left w:val="single" w:color="auto" w:sz="4" w:space="0"/>
              <w:bottom w:val="single" w:color="auto" w:sz="4" w:space="0"/>
              <w:right w:val="single" w:color="auto" w:sz="4" w:space="0"/>
            </w:tcBorders>
            <w:noWrap w:val="0"/>
            <w:vAlign w:val="center"/>
          </w:tcPr>
          <w:p w14:paraId="6BA3B68B">
            <w:pPr>
              <w:spacing w:line="306" w:lineRule="exact"/>
              <w:rPr>
                <w:rFonts w:hint="eastAsia" w:ascii="宋体" w:hAnsi="宋体" w:cs="仿宋_GB2312"/>
                <w:bCs/>
                <w:color w:val="000000"/>
                <w:sz w:val="24"/>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14:paraId="3C0A2F2C">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产出</w:t>
            </w:r>
          </w:p>
          <w:p w14:paraId="672BD04D">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成本</w:t>
            </w:r>
          </w:p>
          <w:p w14:paraId="656F8F91">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（5分）</w:t>
            </w:r>
          </w:p>
        </w:tc>
        <w:tc>
          <w:tcPr>
            <w:tcW w:w="627" w:type="dxa"/>
            <w:tcBorders>
              <w:top w:val="single" w:color="auto" w:sz="4" w:space="0"/>
              <w:left w:val="single" w:color="auto" w:sz="4" w:space="0"/>
              <w:bottom w:val="single" w:color="auto" w:sz="4" w:space="0"/>
              <w:right w:val="single" w:color="auto" w:sz="4" w:space="0"/>
            </w:tcBorders>
            <w:noWrap w:val="0"/>
            <w:vAlign w:val="center"/>
          </w:tcPr>
          <w:p w14:paraId="0C29206E">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c>
          <w:tcPr>
            <w:tcW w:w="3178" w:type="dxa"/>
            <w:tcBorders>
              <w:top w:val="single" w:color="auto" w:sz="4" w:space="0"/>
              <w:left w:val="single" w:color="auto" w:sz="4" w:space="0"/>
              <w:bottom w:val="single" w:color="auto" w:sz="4" w:space="0"/>
              <w:right w:val="single" w:color="auto" w:sz="4" w:space="0"/>
            </w:tcBorders>
            <w:noWrap w:val="0"/>
            <w:vAlign w:val="center"/>
          </w:tcPr>
          <w:p w14:paraId="724D75F2">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根据该项目实际，标识具体明确的产出成本</w:t>
            </w:r>
          </w:p>
        </w:tc>
        <w:tc>
          <w:tcPr>
            <w:tcW w:w="3450" w:type="dxa"/>
            <w:tcBorders>
              <w:top w:val="single" w:color="auto" w:sz="4" w:space="0"/>
              <w:left w:val="single" w:color="auto" w:sz="4" w:space="0"/>
              <w:bottom w:val="single" w:color="auto" w:sz="4" w:space="0"/>
              <w:right w:val="single" w:color="auto" w:sz="4" w:space="0"/>
            </w:tcBorders>
            <w:noWrap w:val="0"/>
            <w:vAlign w:val="center"/>
          </w:tcPr>
          <w:p w14:paraId="62AC6C7F">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对照绩效目标，按实际产出成本率计算得分（5分）</w:t>
            </w:r>
          </w:p>
        </w:tc>
        <w:tc>
          <w:tcPr>
            <w:tcW w:w="506" w:type="dxa"/>
            <w:tcBorders>
              <w:top w:val="single" w:color="auto" w:sz="4" w:space="0"/>
              <w:left w:val="single" w:color="auto" w:sz="4" w:space="0"/>
              <w:bottom w:val="single" w:color="auto" w:sz="4" w:space="0"/>
              <w:right w:val="single" w:color="auto" w:sz="4" w:space="0"/>
            </w:tcBorders>
            <w:noWrap w:val="0"/>
            <w:vAlign w:val="center"/>
          </w:tcPr>
          <w:p w14:paraId="09639866">
            <w:pPr>
              <w:widowControl/>
              <w:spacing w:line="306" w:lineRule="exact"/>
              <w:jc w:val="center"/>
              <w:rPr>
                <w:rFonts w:hint="eastAsia" w:ascii="宋体" w:hAnsi="宋体" w:eastAsia="宋体" w:cs="仿宋_GB2312"/>
                <w:bCs/>
                <w:snapToGrid w:val="0"/>
                <w:color w:val="000000"/>
                <w:kern w:val="0"/>
                <w:sz w:val="24"/>
                <w:szCs w:val="21"/>
                <w:lang w:val="en-US" w:eastAsia="zh-CN" w:bidi="ar-SA"/>
              </w:rPr>
            </w:pPr>
            <w:r>
              <w:rPr>
                <w:rFonts w:hint="eastAsia" w:ascii="宋体" w:hAnsi="宋体" w:cs="仿宋_GB2312"/>
                <w:bCs/>
                <w:color w:val="000000"/>
                <w:kern w:val="0"/>
                <w:sz w:val="24"/>
                <w:lang w:val="en-US" w:eastAsia="zh-CN"/>
              </w:rPr>
              <w:t>5</w:t>
            </w:r>
          </w:p>
        </w:tc>
      </w:tr>
      <w:tr w14:paraId="265C1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90"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14:paraId="54DA5B8F">
            <w:pPr>
              <w:spacing w:line="306" w:lineRule="exact"/>
              <w:rPr>
                <w:rFonts w:hint="eastAsia" w:ascii="宋体" w:hAnsi="宋体" w:cs="仿宋_GB2312"/>
                <w:bCs/>
                <w:color w:val="000000"/>
                <w:sz w:val="24"/>
              </w:rPr>
            </w:pPr>
          </w:p>
        </w:tc>
        <w:tc>
          <w:tcPr>
            <w:tcW w:w="937" w:type="dxa"/>
            <w:vMerge w:val="restart"/>
            <w:tcBorders>
              <w:top w:val="single" w:color="auto" w:sz="4" w:space="0"/>
              <w:left w:val="single" w:color="auto" w:sz="4" w:space="0"/>
              <w:bottom w:val="single" w:color="auto" w:sz="4" w:space="0"/>
              <w:right w:val="single" w:color="auto" w:sz="4" w:space="0"/>
            </w:tcBorders>
            <w:noWrap w:val="0"/>
            <w:vAlign w:val="center"/>
          </w:tcPr>
          <w:p w14:paraId="482543F6">
            <w:pPr>
              <w:widowControl/>
              <w:spacing w:line="306" w:lineRule="exact"/>
              <w:rPr>
                <w:rFonts w:hint="eastAsia" w:ascii="宋体" w:hAnsi="宋体" w:cs="仿宋_GB2312"/>
                <w:bCs/>
                <w:color w:val="000000"/>
                <w:kern w:val="0"/>
                <w:sz w:val="24"/>
              </w:rPr>
            </w:pPr>
          </w:p>
          <w:p w14:paraId="4898797B">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项目</w:t>
            </w:r>
          </w:p>
          <w:p w14:paraId="222A6A17">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效果</w:t>
            </w:r>
          </w:p>
          <w:p w14:paraId="5FB23B3E">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（40分）</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52EE17FA">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经济</w:t>
            </w:r>
          </w:p>
          <w:p w14:paraId="5846412B">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效益</w:t>
            </w:r>
          </w:p>
          <w:p w14:paraId="1B1B8280">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（8分）</w:t>
            </w:r>
          </w:p>
        </w:tc>
        <w:tc>
          <w:tcPr>
            <w:tcW w:w="627" w:type="dxa"/>
            <w:tcBorders>
              <w:top w:val="single" w:color="auto" w:sz="4" w:space="0"/>
              <w:left w:val="single" w:color="auto" w:sz="4" w:space="0"/>
              <w:bottom w:val="single" w:color="auto" w:sz="4" w:space="0"/>
              <w:right w:val="single" w:color="auto" w:sz="4" w:space="0"/>
            </w:tcBorders>
            <w:noWrap w:val="0"/>
            <w:vAlign w:val="center"/>
          </w:tcPr>
          <w:p w14:paraId="18B1EF5B">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8</w:t>
            </w:r>
          </w:p>
        </w:tc>
        <w:tc>
          <w:tcPr>
            <w:tcW w:w="3178" w:type="dxa"/>
            <w:tcBorders>
              <w:top w:val="single" w:color="auto" w:sz="4" w:space="0"/>
              <w:left w:val="single" w:color="auto" w:sz="4" w:space="0"/>
              <w:bottom w:val="single" w:color="auto" w:sz="4" w:space="0"/>
              <w:right w:val="single" w:color="auto" w:sz="4" w:space="0"/>
            </w:tcBorders>
            <w:noWrap w:val="0"/>
            <w:vAlign w:val="center"/>
          </w:tcPr>
          <w:p w14:paraId="1903E8CA">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根据项目实际，标识所产生的直接或间接的经济效益</w:t>
            </w:r>
          </w:p>
        </w:tc>
        <w:tc>
          <w:tcPr>
            <w:tcW w:w="3450" w:type="dxa"/>
            <w:tcBorders>
              <w:top w:val="single" w:color="auto" w:sz="4" w:space="0"/>
              <w:left w:val="single" w:color="auto" w:sz="4" w:space="0"/>
              <w:bottom w:val="single" w:color="auto" w:sz="4" w:space="0"/>
              <w:right w:val="single" w:color="auto" w:sz="4" w:space="0"/>
            </w:tcBorders>
            <w:noWrap w:val="0"/>
            <w:vAlign w:val="center"/>
          </w:tcPr>
          <w:p w14:paraId="5C810271">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对照绩效目标，按经济效益实现程度计算得分（8分）</w:t>
            </w:r>
          </w:p>
        </w:tc>
        <w:tc>
          <w:tcPr>
            <w:tcW w:w="506" w:type="dxa"/>
            <w:tcBorders>
              <w:top w:val="single" w:color="auto" w:sz="4" w:space="0"/>
              <w:left w:val="single" w:color="auto" w:sz="4" w:space="0"/>
              <w:bottom w:val="single" w:color="auto" w:sz="4" w:space="0"/>
              <w:right w:val="single" w:color="auto" w:sz="4" w:space="0"/>
            </w:tcBorders>
            <w:noWrap w:val="0"/>
            <w:vAlign w:val="center"/>
          </w:tcPr>
          <w:p w14:paraId="7102C0C5">
            <w:pPr>
              <w:widowControl/>
              <w:spacing w:line="306" w:lineRule="exact"/>
              <w:jc w:val="center"/>
              <w:rPr>
                <w:rFonts w:hint="eastAsia" w:ascii="宋体" w:hAnsi="宋体" w:eastAsia="宋体" w:cs="仿宋_GB2312"/>
                <w:bCs/>
                <w:snapToGrid w:val="0"/>
                <w:color w:val="000000"/>
                <w:kern w:val="0"/>
                <w:sz w:val="24"/>
                <w:szCs w:val="21"/>
                <w:lang w:val="en-US" w:eastAsia="zh-CN" w:bidi="ar-SA"/>
              </w:rPr>
            </w:pPr>
            <w:r>
              <w:rPr>
                <w:rFonts w:hint="eastAsia" w:ascii="宋体" w:hAnsi="宋体" w:cs="仿宋_GB2312"/>
                <w:bCs/>
                <w:color w:val="000000"/>
                <w:kern w:val="0"/>
                <w:sz w:val="24"/>
                <w:lang w:val="en-US" w:eastAsia="zh-CN"/>
              </w:rPr>
              <w:t>8</w:t>
            </w:r>
          </w:p>
        </w:tc>
      </w:tr>
      <w:tr w14:paraId="272CF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27"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14:paraId="20F853EE">
            <w:pPr>
              <w:spacing w:line="306" w:lineRule="exact"/>
              <w:rPr>
                <w:rFonts w:hint="eastAsia" w:ascii="宋体" w:hAnsi="宋体" w:cs="仿宋_GB2312"/>
                <w:bCs/>
                <w:color w:val="000000"/>
                <w:sz w:val="24"/>
              </w:rPr>
            </w:pPr>
          </w:p>
        </w:tc>
        <w:tc>
          <w:tcPr>
            <w:tcW w:w="937" w:type="dxa"/>
            <w:vMerge w:val="continue"/>
            <w:tcBorders>
              <w:top w:val="single" w:color="auto" w:sz="4" w:space="0"/>
              <w:left w:val="single" w:color="auto" w:sz="4" w:space="0"/>
              <w:bottom w:val="single" w:color="auto" w:sz="4" w:space="0"/>
              <w:right w:val="single" w:color="auto" w:sz="4" w:space="0"/>
            </w:tcBorders>
            <w:noWrap w:val="0"/>
            <w:vAlign w:val="center"/>
          </w:tcPr>
          <w:p w14:paraId="1FD9DF8D">
            <w:pPr>
              <w:spacing w:line="306" w:lineRule="exact"/>
              <w:rPr>
                <w:rFonts w:hint="eastAsia" w:ascii="宋体" w:hAnsi="宋体" w:cs="仿宋_GB2312"/>
                <w:bCs/>
                <w:color w:val="000000"/>
                <w:sz w:val="24"/>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14:paraId="1BD86010">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社会</w:t>
            </w:r>
          </w:p>
          <w:p w14:paraId="304E3B9E">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效益</w:t>
            </w:r>
          </w:p>
          <w:p w14:paraId="320EB738">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（8分）</w:t>
            </w:r>
          </w:p>
        </w:tc>
        <w:tc>
          <w:tcPr>
            <w:tcW w:w="627" w:type="dxa"/>
            <w:tcBorders>
              <w:top w:val="single" w:color="auto" w:sz="4" w:space="0"/>
              <w:left w:val="single" w:color="auto" w:sz="4" w:space="0"/>
              <w:bottom w:val="single" w:color="auto" w:sz="4" w:space="0"/>
              <w:right w:val="single" w:color="auto" w:sz="4" w:space="0"/>
            </w:tcBorders>
            <w:noWrap w:val="0"/>
            <w:vAlign w:val="center"/>
          </w:tcPr>
          <w:p w14:paraId="72868FBE">
            <w:pPr>
              <w:widowControl/>
              <w:spacing w:line="306" w:lineRule="exact"/>
              <w:jc w:val="center"/>
              <w:rPr>
                <w:rFonts w:hint="default"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8</w:t>
            </w:r>
          </w:p>
        </w:tc>
        <w:tc>
          <w:tcPr>
            <w:tcW w:w="3178" w:type="dxa"/>
            <w:tcBorders>
              <w:top w:val="single" w:color="auto" w:sz="4" w:space="0"/>
              <w:left w:val="single" w:color="auto" w:sz="4" w:space="0"/>
              <w:bottom w:val="single" w:color="auto" w:sz="4" w:space="0"/>
              <w:right w:val="single" w:color="auto" w:sz="4" w:space="0"/>
            </w:tcBorders>
            <w:noWrap w:val="0"/>
            <w:vAlign w:val="center"/>
          </w:tcPr>
          <w:p w14:paraId="4DDB961C">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根据项目实际，标识所产生的社会效益</w:t>
            </w:r>
          </w:p>
        </w:tc>
        <w:tc>
          <w:tcPr>
            <w:tcW w:w="3450" w:type="dxa"/>
            <w:tcBorders>
              <w:top w:val="single" w:color="auto" w:sz="4" w:space="0"/>
              <w:left w:val="single" w:color="auto" w:sz="4" w:space="0"/>
              <w:bottom w:val="single" w:color="auto" w:sz="4" w:space="0"/>
              <w:right w:val="single" w:color="auto" w:sz="4" w:space="0"/>
            </w:tcBorders>
            <w:noWrap w:val="0"/>
            <w:vAlign w:val="center"/>
          </w:tcPr>
          <w:p w14:paraId="359592AF">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对照绩效目标，按社会效益实现程度计算得分（8分）</w:t>
            </w:r>
          </w:p>
        </w:tc>
        <w:tc>
          <w:tcPr>
            <w:tcW w:w="506" w:type="dxa"/>
            <w:tcBorders>
              <w:top w:val="single" w:color="auto" w:sz="4" w:space="0"/>
              <w:left w:val="single" w:color="auto" w:sz="4" w:space="0"/>
              <w:bottom w:val="single" w:color="auto" w:sz="4" w:space="0"/>
              <w:right w:val="single" w:color="auto" w:sz="4" w:space="0"/>
            </w:tcBorders>
            <w:noWrap w:val="0"/>
            <w:vAlign w:val="center"/>
          </w:tcPr>
          <w:p w14:paraId="3496C460">
            <w:pPr>
              <w:widowControl/>
              <w:spacing w:line="306" w:lineRule="exact"/>
              <w:jc w:val="center"/>
              <w:rPr>
                <w:rFonts w:hint="eastAsia" w:ascii="宋体" w:hAnsi="宋体" w:eastAsia="宋体" w:cs="仿宋_GB2312"/>
                <w:bCs/>
                <w:snapToGrid w:val="0"/>
                <w:color w:val="000000"/>
                <w:kern w:val="0"/>
                <w:sz w:val="24"/>
                <w:szCs w:val="21"/>
                <w:lang w:val="en-US" w:eastAsia="zh-CN" w:bidi="ar-SA"/>
              </w:rPr>
            </w:pPr>
            <w:r>
              <w:rPr>
                <w:rFonts w:hint="eastAsia" w:ascii="宋体" w:hAnsi="宋体" w:cs="仿宋_GB2312"/>
                <w:bCs/>
                <w:color w:val="000000"/>
                <w:kern w:val="0"/>
                <w:sz w:val="24"/>
                <w:lang w:val="en-US" w:eastAsia="zh-CN"/>
              </w:rPr>
              <w:t>8</w:t>
            </w:r>
          </w:p>
        </w:tc>
      </w:tr>
      <w:tr w14:paraId="50627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81"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14:paraId="41F2045B">
            <w:pPr>
              <w:spacing w:line="306" w:lineRule="exact"/>
              <w:rPr>
                <w:rFonts w:hint="eastAsia" w:ascii="宋体" w:hAnsi="宋体" w:cs="仿宋_GB2312"/>
                <w:bCs/>
                <w:color w:val="000000"/>
                <w:sz w:val="24"/>
              </w:rPr>
            </w:pPr>
          </w:p>
        </w:tc>
        <w:tc>
          <w:tcPr>
            <w:tcW w:w="937" w:type="dxa"/>
            <w:vMerge w:val="continue"/>
            <w:tcBorders>
              <w:top w:val="single" w:color="auto" w:sz="4" w:space="0"/>
              <w:left w:val="single" w:color="auto" w:sz="4" w:space="0"/>
              <w:bottom w:val="single" w:color="auto" w:sz="4" w:space="0"/>
              <w:right w:val="single" w:color="auto" w:sz="4" w:space="0"/>
            </w:tcBorders>
            <w:noWrap w:val="0"/>
            <w:vAlign w:val="center"/>
          </w:tcPr>
          <w:p w14:paraId="6E991F4C">
            <w:pPr>
              <w:spacing w:line="306" w:lineRule="exact"/>
              <w:rPr>
                <w:rFonts w:hint="eastAsia" w:ascii="宋体" w:hAnsi="宋体" w:cs="仿宋_GB2312"/>
                <w:bCs/>
                <w:color w:val="000000"/>
                <w:sz w:val="24"/>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14:paraId="5D557224">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环境</w:t>
            </w:r>
          </w:p>
          <w:p w14:paraId="4C81E5B0">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效益</w:t>
            </w:r>
          </w:p>
          <w:p w14:paraId="4D364B9E">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（8分）</w:t>
            </w:r>
          </w:p>
        </w:tc>
        <w:tc>
          <w:tcPr>
            <w:tcW w:w="627" w:type="dxa"/>
            <w:tcBorders>
              <w:top w:val="single" w:color="auto" w:sz="4" w:space="0"/>
              <w:left w:val="single" w:color="auto" w:sz="4" w:space="0"/>
              <w:bottom w:val="single" w:color="auto" w:sz="4" w:space="0"/>
              <w:right w:val="single" w:color="auto" w:sz="4" w:space="0"/>
            </w:tcBorders>
            <w:noWrap w:val="0"/>
            <w:vAlign w:val="center"/>
          </w:tcPr>
          <w:p w14:paraId="08C20AD5">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8</w:t>
            </w:r>
          </w:p>
        </w:tc>
        <w:tc>
          <w:tcPr>
            <w:tcW w:w="3178" w:type="dxa"/>
            <w:tcBorders>
              <w:top w:val="single" w:color="auto" w:sz="4" w:space="0"/>
              <w:left w:val="single" w:color="auto" w:sz="4" w:space="0"/>
              <w:bottom w:val="single" w:color="auto" w:sz="4" w:space="0"/>
              <w:right w:val="single" w:color="auto" w:sz="4" w:space="0"/>
            </w:tcBorders>
            <w:noWrap w:val="0"/>
            <w:vAlign w:val="center"/>
          </w:tcPr>
          <w:p w14:paraId="14098E2E">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根据项目实际，标识对环境所产生的积极或消极影响</w:t>
            </w:r>
          </w:p>
        </w:tc>
        <w:tc>
          <w:tcPr>
            <w:tcW w:w="3450" w:type="dxa"/>
            <w:tcBorders>
              <w:top w:val="single" w:color="auto" w:sz="4" w:space="0"/>
              <w:left w:val="single" w:color="auto" w:sz="4" w:space="0"/>
              <w:bottom w:val="single" w:color="auto" w:sz="4" w:space="0"/>
              <w:right w:val="single" w:color="auto" w:sz="4" w:space="0"/>
            </w:tcBorders>
            <w:noWrap w:val="0"/>
            <w:vAlign w:val="center"/>
          </w:tcPr>
          <w:p w14:paraId="740E247C">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对照绩效目标，按对环境所产生的实际影响程度计算得分（8分）</w:t>
            </w:r>
          </w:p>
        </w:tc>
        <w:tc>
          <w:tcPr>
            <w:tcW w:w="506" w:type="dxa"/>
            <w:tcBorders>
              <w:top w:val="single" w:color="auto" w:sz="4" w:space="0"/>
              <w:left w:val="single" w:color="auto" w:sz="4" w:space="0"/>
              <w:bottom w:val="single" w:color="auto" w:sz="4" w:space="0"/>
              <w:right w:val="single" w:color="auto" w:sz="4" w:space="0"/>
            </w:tcBorders>
            <w:noWrap w:val="0"/>
            <w:vAlign w:val="center"/>
          </w:tcPr>
          <w:p w14:paraId="1A7C2E28">
            <w:pPr>
              <w:widowControl/>
              <w:spacing w:line="306" w:lineRule="exact"/>
              <w:jc w:val="center"/>
              <w:rPr>
                <w:rFonts w:hint="eastAsia" w:ascii="宋体" w:hAnsi="宋体" w:eastAsia="宋体" w:cs="仿宋_GB2312"/>
                <w:bCs/>
                <w:snapToGrid w:val="0"/>
                <w:color w:val="000000"/>
                <w:kern w:val="0"/>
                <w:sz w:val="24"/>
                <w:szCs w:val="21"/>
                <w:lang w:val="en-US" w:eastAsia="zh-CN" w:bidi="ar-SA"/>
              </w:rPr>
            </w:pPr>
            <w:r>
              <w:rPr>
                <w:rFonts w:hint="eastAsia" w:ascii="宋体" w:hAnsi="宋体" w:cs="仿宋_GB2312"/>
                <w:bCs/>
                <w:color w:val="000000"/>
                <w:kern w:val="0"/>
                <w:sz w:val="24"/>
                <w:lang w:val="en-US" w:eastAsia="zh-CN"/>
              </w:rPr>
              <w:t>8</w:t>
            </w:r>
          </w:p>
        </w:tc>
      </w:tr>
      <w:tr w14:paraId="0DFD5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14:paraId="5E1D53E5">
            <w:pPr>
              <w:spacing w:line="306" w:lineRule="exact"/>
              <w:rPr>
                <w:rFonts w:hint="eastAsia" w:ascii="宋体" w:hAnsi="宋体" w:cs="仿宋_GB2312"/>
                <w:bCs/>
                <w:color w:val="000000"/>
                <w:sz w:val="24"/>
              </w:rPr>
            </w:pPr>
          </w:p>
        </w:tc>
        <w:tc>
          <w:tcPr>
            <w:tcW w:w="937" w:type="dxa"/>
            <w:vMerge w:val="continue"/>
            <w:tcBorders>
              <w:top w:val="single" w:color="auto" w:sz="4" w:space="0"/>
              <w:left w:val="single" w:color="auto" w:sz="4" w:space="0"/>
              <w:bottom w:val="single" w:color="auto" w:sz="4" w:space="0"/>
              <w:right w:val="single" w:color="auto" w:sz="4" w:space="0"/>
            </w:tcBorders>
            <w:noWrap w:val="0"/>
            <w:vAlign w:val="center"/>
          </w:tcPr>
          <w:p w14:paraId="44784ACE">
            <w:pPr>
              <w:spacing w:line="306" w:lineRule="exact"/>
              <w:rPr>
                <w:rFonts w:hint="eastAsia" w:ascii="宋体" w:hAnsi="宋体" w:cs="仿宋_GB2312"/>
                <w:bCs/>
                <w:color w:val="000000"/>
                <w:sz w:val="24"/>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14:paraId="54D65B0C">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可持续影响</w:t>
            </w:r>
          </w:p>
          <w:p w14:paraId="1400C8DD">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（8分）</w:t>
            </w:r>
          </w:p>
        </w:tc>
        <w:tc>
          <w:tcPr>
            <w:tcW w:w="627" w:type="dxa"/>
            <w:tcBorders>
              <w:top w:val="single" w:color="auto" w:sz="4" w:space="0"/>
              <w:left w:val="single" w:color="auto" w:sz="4" w:space="0"/>
              <w:bottom w:val="single" w:color="auto" w:sz="4" w:space="0"/>
              <w:right w:val="single" w:color="auto" w:sz="4" w:space="0"/>
            </w:tcBorders>
            <w:noWrap w:val="0"/>
            <w:vAlign w:val="center"/>
          </w:tcPr>
          <w:p w14:paraId="4760E161">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8</w:t>
            </w:r>
          </w:p>
        </w:tc>
        <w:tc>
          <w:tcPr>
            <w:tcW w:w="3178" w:type="dxa"/>
            <w:tcBorders>
              <w:top w:val="single" w:color="auto" w:sz="4" w:space="0"/>
              <w:left w:val="single" w:color="auto" w:sz="4" w:space="0"/>
              <w:bottom w:val="single" w:color="auto" w:sz="4" w:space="0"/>
              <w:right w:val="single" w:color="auto" w:sz="4" w:space="0"/>
            </w:tcBorders>
            <w:noWrap w:val="0"/>
            <w:vAlign w:val="center"/>
          </w:tcPr>
          <w:p w14:paraId="0F2E7D42">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项目产出能持续运用；项目运行所依赖的政策制度能持续执行</w:t>
            </w:r>
          </w:p>
        </w:tc>
        <w:tc>
          <w:tcPr>
            <w:tcW w:w="3450" w:type="dxa"/>
            <w:tcBorders>
              <w:top w:val="single" w:color="auto" w:sz="4" w:space="0"/>
              <w:left w:val="single" w:color="auto" w:sz="4" w:space="0"/>
              <w:bottom w:val="single" w:color="auto" w:sz="4" w:space="0"/>
              <w:right w:val="single" w:color="auto" w:sz="4" w:space="0"/>
            </w:tcBorders>
            <w:noWrap w:val="0"/>
            <w:vAlign w:val="center"/>
          </w:tcPr>
          <w:p w14:paraId="5759B3A8">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项目产出能持续运用（4分）</w:t>
            </w:r>
          </w:p>
          <w:p w14:paraId="49BB75E1">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所依赖的政策制度能持续执行（4分）</w:t>
            </w:r>
          </w:p>
        </w:tc>
        <w:tc>
          <w:tcPr>
            <w:tcW w:w="506" w:type="dxa"/>
            <w:tcBorders>
              <w:top w:val="single" w:color="auto" w:sz="4" w:space="0"/>
              <w:left w:val="single" w:color="auto" w:sz="4" w:space="0"/>
              <w:bottom w:val="single" w:color="auto" w:sz="4" w:space="0"/>
              <w:right w:val="single" w:color="auto" w:sz="4" w:space="0"/>
            </w:tcBorders>
            <w:noWrap w:val="0"/>
            <w:vAlign w:val="center"/>
          </w:tcPr>
          <w:p w14:paraId="1581D86B">
            <w:pPr>
              <w:widowControl/>
              <w:spacing w:line="306" w:lineRule="exact"/>
              <w:jc w:val="center"/>
              <w:rPr>
                <w:rFonts w:hint="eastAsia" w:ascii="宋体" w:hAnsi="宋体" w:eastAsia="宋体" w:cs="仿宋_GB2312"/>
                <w:bCs/>
                <w:snapToGrid w:val="0"/>
                <w:color w:val="000000"/>
                <w:kern w:val="0"/>
                <w:sz w:val="24"/>
                <w:szCs w:val="21"/>
                <w:lang w:val="en-US" w:eastAsia="zh-CN" w:bidi="ar-SA"/>
              </w:rPr>
            </w:pPr>
            <w:r>
              <w:rPr>
                <w:rFonts w:hint="eastAsia" w:ascii="宋体" w:hAnsi="宋体" w:cs="仿宋_GB2312"/>
                <w:bCs/>
                <w:color w:val="000000"/>
                <w:kern w:val="0"/>
                <w:sz w:val="24"/>
                <w:lang w:val="en-US" w:eastAsia="zh-CN"/>
              </w:rPr>
              <w:t>8</w:t>
            </w:r>
          </w:p>
        </w:tc>
      </w:tr>
      <w:tr w14:paraId="01189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14:paraId="0C408702">
            <w:pPr>
              <w:spacing w:line="306" w:lineRule="exact"/>
              <w:rPr>
                <w:rFonts w:hint="eastAsia" w:ascii="宋体" w:hAnsi="宋体" w:cs="仿宋_GB2312"/>
                <w:bCs/>
                <w:color w:val="000000"/>
                <w:sz w:val="24"/>
              </w:rPr>
            </w:pPr>
          </w:p>
        </w:tc>
        <w:tc>
          <w:tcPr>
            <w:tcW w:w="937" w:type="dxa"/>
            <w:vMerge w:val="continue"/>
            <w:tcBorders>
              <w:top w:val="single" w:color="auto" w:sz="4" w:space="0"/>
              <w:left w:val="single" w:color="auto" w:sz="4" w:space="0"/>
              <w:bottom w:val="single" w:color="auto" w:sz="4" w:space="0"/>
              <w:right w:val="single" w:color="auto" w:sz="4" w:space="0"/>
            </w:tcBorders>
            <w:noWrap w:val="0"/>
            <w:vAlign w:val="center"/>
          </w:tcPr>
          <w:p w14:paraId="6D0EBF3C">
            <w:pPr>
              <w:spacing w:line="306" w:lineRule="exact"/>
              <w:rPr>
                <w:rFonts w:hint="eastAsia" w:ascii="宋体" w:hAnsi="宋体" w:cs="仿宋_GB2312"/>
                <w:bCs/>
                <w:color w:val="000000"/>
                <w:sz w:val="24"/>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14:paraId="1AE886A4">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服务</w:t>
            </w:r>
          </w:p>
          <w:p w14:paraId="37E2BB3F">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对象</w:t>
            </w:r>
          </w:p>
          <w:p w14:paraId="2EA867CB">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满意度</w:t>
            </w:r>
          </w:p>
          <w:p w14:paraId="63F10CEF">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（8分）</w:t>
            </w:r>
          </w:p>
        </w:tc>
        <w:tc>
          <w:tcPr>
            <w:tcW w:w="627" w:type="dxa"/>
            <w:tcBorders>
              <w:top w:val="single" w:color="auto" w:sz="4" w:space="0"/>
              <w:left w:val="single" w:color="auto" w:sz="4" w:space="0"/>
              <w:bottom w:val="single" w:color="auto" w:sz="4" w:space="0"/>
              <w:right w:val="single" w:color="auto" w:sz="4" w:space="0"/>
            </w:tcBorders>
            <w:noWrap w:val="0"/>
            <w:vAlign w:val="center"/>
          </w:tcPr>
          <w:p w14:paraId="3148B723">
            <w:pPr>
              <w:widowControl/>
              <w:spacing w:line="306" w:lineRule="exact"/>
              <w:jc w:val="center"/>
              <w:rPr>
                <w:rFonts w:hint="default"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8</w:t>
            </w:r>
          </w:p>
        </w:tc>
        <w:tc>
          <w:tcPr>
            <w:tcW w:w="3178" w:type="dxa"/>
            <w:tcBorders>
              <w:top w:val="single" w:color="auto" w:sz="4" w:space="0"/>
              <w:left w:val="single" w:color="auto" w:sz="4" w:space="0"/>
              <w:bottom w:val="single" w:color="auto" w:sz="4" w:space="0"/>
              <w:right w:val="single" w:color="auto" w:sz="4" w:space="0"/>
            </w:tcBorders>
            <w:noWrap w:val="0"/>
            <w:vAlign w:val="center"/>
          </w:tcPr>
          <w:p w14:paraId="52C8EEAF">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项目预期服务对象对项目实施的满意程度</w:t>
            </w:r>
          </w:p>
        </w:tc>
        <w:tc>
          <w:tcPr>
            <w:tcW w:w="3450" w:type="dxa"/>
            <w:tcBorders>
              <w:top w:val="single" w:color="auto" w:sz="4" w:space="0"/>
              <w:left w:val="single" w:color="auto" w:sz="4" w:space="0"/>
              <w:bottom w:val="single" w:color="auto" w:sz="4" w:space="0"/>
              <w:right w:val="single" w:color="auto" w:sz="4" w:space="0"/>
            </w:tcBorders>
            <w:noWrap w:val="0"/>
            <w:vAlign w:val="center"/>
          </w:tcPr>
          <w:p w14:paraId="401C1020">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按收集到的项目服务对象的满意率计算得分（8分）</w:t>
            </w:r>
          </w:p>
        </w:tc>
        <w:tc>
          <w:tcPr>
            <w:tcW w:w="506" w:type="dxa"/>
            <w:tcBorders>
              <w:top w:val="single" w:color="auto" w:sz="4" w:space="0"/>
              <w:left w:val="single" w:color="auto" w:sz="4" w:space="0"/>
              <w:bottom w:val="single" w:color="auto" w:sz="4" w:space="0"/>
              <w:right w:val="single" w:color="auto" w:sz="4" w:space="0"/>
            </w:tcBorders>
            <w:noWrap w:val="0"/>
            <w:vAlign w:val="center"/>
          </w:tcPr>
          <w:p w14:paraId="4C9BE5FF">
            <w:pPr>
              <w:widowControl/>
              <w:spacing w:line="306" w:lineRule="exact"/>
              <w:jc w:val="center"/>
              <w:rPr>
                <w:rFonts w:hint="eastAsia" w:ascii="宋体" w:hAnsi="宋体" w:eastAsia="宋体" w:cs="仿宋_GB2312"/>
                <w:bCs/>
                <w:snapToGrid w:val="0"/>
                <w:color w:val="000000"/>
                <w:kern w:val="0"/>
                <w:sz w:val="24"/>
                <w:szCs w:val="21"/>
                <w:lang w:val="en-US" w:eastAsia="zh-CN" w:bidi="ar-SA"/>
              </w:rPr>
            </w:pPr>
            <w:r>
              <w:rPr>
                <w:rFonts w:hint="eastAsia" w:ascii="宋体" w:hAnsi="宋体" w:cs="仿宋_GB2312"/>
                <w:bCs/>
                <w:color w:val="000000"/>
                <w:kern w:val="0"/>
                <w:sz w:val="24"/>
                <w:lang w:val="en-US" w:eastAsia="zh-CN"/>
              </w:rPr>
              <w:t>8</w:t>
            </w:r>
          </w:p>
        </w:tc>
      </w:tr>
      <w:tr w14:paraId="104A8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2784" w:type="dxa"/>
            <w:gridSpan w:val="3"/>
            <w:tcBorders>
              <w:top w:val="single" w:color="auto" w:sz="4" w:space="0"/>
              <w:left w:val="single" w:color="auto" w:sz="4" w:space="0"/>
              <w:bottom w:val="single" w:color="auto" w:sz="4" w:space="0"/>
              <w:right w:val="single" w:color="auto" w:sz="4" w:space="0"/>
            </w:tcBorders>
            <w:noWrap w:val="0"/>
            <w:vAlign w:val="center"/>
          </w:tcPr>
          <w:p w14:paraId="356D0183">
            <w:pPr>
              <w:widowControl/>
              <w:spacing w:line="26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总分</w:t>
            </w:r>
          </w:p>
        </w:tc>
        <w:tc>
          <w:tcPr>
            <w:tcW w:w="7761" w:type="dxa"/>
            <w:gridSpan w:val="4"/>
            <w:tcBorders>
              <w:top w:val="single" w:color="auto" w:sz="4" w:space="0"/>
              <w:left w:val="single" w:color="auto" w:sz="4" w:space="0"/>
              <w:bottom w:val="single" w:color="auto" w:sz="4" w:space="0"/>
              <w:right w:val="single" w:color="auto" w:sz="4" w:space="0"/>
            </w:tcBorders>
            <w:noWrap w:val="0"/>
            <w:vAlign w:val="center"/>
          </w:tcPr>
          <w:p w14:paraId="28F4F657">
            <w:pPr>
              <w:widowControl/>
              <w:spacing w:line="26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　</w:t>
            </w:r>
          </w:p>
          <w:p w14:paraId="0796EE5C">
            <w:pPr>
              <w:widowControl/>
              <w:spacing w:line="260" w:lineRule="exact"/>
              <w:jc w:val="center"/>
              <w:rPr>
                <w:rFonts w:hint="default"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100</w:t>
            </w:r>
          </w:p>
        </w:tc>
      </w:tr>
    </w:tbl>
    <w:p w14:paraId="735D01FC">
      <w:pP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br w:type="page"/>
      </w:r>
    </w:p>
    <w:p w14:paraId="409EA670">
      <w:pPr>
        <w:spacing w:line="592" w:lineRule="exact"/>
        <w:rPr>
          <w:rFonts w:hint="eastAsia" w:eastAsia="黑体"/>
          <w:color w:val="000000"/>
          <w:sz w:val="32"/>
          <w:szCs w:val="32"/>
          <w:lang w:val="en-US" w:eastAsia="zh-CN"/>
        </w:rPr>
      </w:pPr>
      <w:r>
        <w:rPr>
          <w:rFonts w:eastAsia="黑体"/>
          <w:color w:val="000000"/>
          <w:sz w:val="32"/>
          <w:szCs w:val="32"/>
        </w:rPr>
        <w:t>附件</w:t>
      </w:r>
      <w:r>
        <w:rPr>
          <w:rFonts w:hint="eastAsia" w:eastAsia="黑体"/>
          <w:color w:val="000000"/>
          <w:sz w:val="32"/>
          <w:szCs w:val="32"/>
          <w:lang w:val="en-US" w:eastAsia="zh-CN"/>
        </w:rPr>
        <w:t>8</w:t>
      </w:r>
    </w:p>
    <w:p w14:paraId="65B97C68">
      <w:pPr>
        <w:pStyle w:val="3"/>
        <w:kinsoku/>
        <w:autoSpaceDE/>
        <w:autoSpaceDN/>
        <w:adjustRightInd w:val="0"/>
        <w:snapToGrid w:val="0"/>
        <w:spacing w:before="0" w:beforeAutospacing="0" w:after="0" w:afterAutospacing="0" w:line="592" w:lineRule="exact"/>
        <w:jc w:val="center"/>
        <w:textAlignment w:val="auto"/>
        <w:rPr>
          <w:rFonts w:hint="eastAsia" w:ascii="方正大标宋简体" w:hAnsi="Times New Roman" w:eastAsia="方正大标宋简体" w:cs="仿宋_GB2312"/>
          <w:snapToGrid/>
          <w:color w:val="000000"/>
          <w:sz w:val="44"/>
          <w:szCs w:val="44"/>
          <w:lang w:val="en-US" w:eastAsia="zh-CN"/>
        </w:rPr>
      </w:pPr>
      <w:r>
        <w:rPr>
          <w:rFonts w:hint="eastAsia" w:ascii="方正大标宋简体" w:hAnsi="Times New Roman" w:eastAsia="方正大标宋简体" w:cs="仿宋_GB2312"/>
          <w:snapToGrid/>
          <w:color w:val="000000"/>
          <w:sz w:val="44"/>
          <w:szCs w:val="44"/>
          <w:lang w:val="en-US" w:eastAsia="zh-CN"/>
        </w:rPr>
        <w:t>2023年财政对城乡居民基本医疗保险基金的补助项目支出绩效评价报告</w:t>
      </w:r>
    </w:p>
    <w:p w14:paraId="2EDE9637">
      <w:pPr>
        <w:keepNext w:val="0"/>
        <w:keepLines w:val="0"/>
        <w:pageBreakBefore w:val="0"/>
        <w:widowControl/>
        <w:kinsoku w:val="0"/>
        <w:wordWrap/>
        <w:overflowPunct/>
        <w:topLinePunct w:val="0"/>
        <w:autoSpaceDE w:val="0"/>
        <w:autoSpaceDN w:val="0"/>
        <w:bidi w:val="0"/>
        <w:adjustRightInd w:val="0"/>
        <w:snapToGrid w:val="0"/>
        <w:spacing w:line="600" w:lineRule="exact"/>
        <w:ind w:firstLine="643" w:firstLineChars="200"/>
        <w:textAlignment w:val="baseline"/>
        <w:rPr>
          <w:rFonts w:hint="eastAsia" w:ascii="黑体" w:hAnsi="黑体" w:eastAsia="黑体" w:cs="黑体"/>
          <w:b/>
          <w:bCs/>
          <w:sz w:val="32"/>
          <w:szCs w:val="32"/>
        </w:rPr>
      </w:pPr>
      <w:r>
        <w:rPr>
          <w:rFonts w:hint="eastAsia" w:ascii="黑体" w:hAnsi="黑体" w:eastAsia="黑体" w:cs="黑体"/>
          <w:b/>
          <w:bCs/>
          <w:sz w:val="32"/>
          <w:szCs w:val="32"/>
        </w:rPr>
        <w:t>一、基本情况</w:t>
      </w:r>
    </w:p>
    <w:p w14:paraId="51D302E0">
      <w:pPr>
        <w:keepNext w:val="0"/>
        <w:keepLines w:val="0"/>
        <w:pageBreakBefore w:val="0"/>
        <w:widowControl/>
        <w:kinsoku w:val="0"/>
        <w:wordWrap/>
        <w:overflowPunct/>
        <w:topLinePunct w:val="0"/>
        <w:autoSpaceDE w:val="0"/>
        <w:autoSpaceDN w:val="0"/>
        <w:bidi w:val="0"/>
        <w:adjustRightInd w:val="0"/>
        <w:snapToGrid w:val="0"/>
        <w:spacing w:line="600" w:lineRule="exact"/>
        <w:ind w:firstLine="643" w:firstLineChars="200"/>
        <w:textAlignment w:val="baseline"/>
        <w:rPr>
          <w:rFonts w:hint="eastAsia" w:ascii="楷体" w:hAnsi="楷体" w:eastAsia="楷体" w:cs="楷体"/>
          <w:b/>
          <w:bCs/>
          <w:sz w:val="32"/>
          <w:szCs w:val="32"/>
        </w:rPr>
      </w:pPr>
      <w:r>
        <w:rPr>
          <w:rFonts w:hint="eastAsia" w:ascii="楷体" w:hAnsi="楷体" w:eastAsia="楷体" w:cs="楷体"/>
          <w:b/>
          <w:bCs/>
          <w:sz w:val="32"/>
          <w:szCs w:val="32"/>
        </w:rPr>
        <w:t>(一)资金情况</w:t>
      </w:r>
    </w:p>
    <w:p w14:paraId="3BDDC5B8">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根据湖南省医疗保障局办公室《关于开展2023年医保转移支付绩效评价工作的通知》(湘医保办函〔2024〕2号)文件精神，按照相关文件要求，我区对2023年城乡居民医保补助资金 使用情况和效果进行了认真的评估和总结2023年城乡居民基本医疗保险人均财政补助标准每年不低于640元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中央财政按规定对地方实行分档补助，地方各级财政要将补助资金及时发放到位。2023年大通湖区城乡居民参保人数72578人。</w:t>
      </w:r>
    </w:p>
    <w:p w14:paraId="76CEAFE9">
      <w:pPr>
        <w:keepNext w:val="0"/>
        <w:keepLines w:val="0"/>
        <w:pageBreakBefore w:val="0"/>
        <w:widowControl/>
        <w:kinsoku w:val="0"/>
        <w:wordWrap/>
        <w:overflowPunct/>
        <w:topLinePunct w:val="0"/>
        <w:autoSpaceDE w:val="0"/>
        <w:autoSpaceDN w:val="0"/>
        <w:bidi w:val="0"/>
        <w:adjustRightInd w:val="0"/>
        <w:snapToGrid w:val="0"/>
        <w:spacing w:line="600" w:lineRule="exact"/>
        <w:ind w:firstLine="643" w:firstLineChars="200"/>
        <w:textAlignment w:val="baseline"/>
        <w:rPr>
          <w:rFonts w:hint="eastAsia" w:ascii="楷体" w:hAnsi="楷体" w:eastAsia="楷体" w:cs="楷体"/>
          <w:b/>
          <w:bCs/>
          <w:sz w:val="32"/>
          <w:szCs w:val="32"/>
        </w:rPr>
      </w:pPr>
      <w:r>
        <w:rPr>
          <w:rFonts w:hint="eastAsia" w:ascii="楷体" w:hAnsi="楷体" w:eastAsia="楷体" w:cs="楷体"/>
          <w:b/>
          <w:bCs/>
          <w:sz w:val="32"/>
          <w:szCs w:val="32"/>
        </w:rPr>
        <w:t>(二)绩效目标分解下达情况</w:t>
      </w:r>
    </w:p>
    <w:p w14:paraId="44EEECC9">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2023年大通湖区城乡居民医保补助资金预算4707.92万元，其中：中央补助3778.87万元，省级补助630.35万元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地方补助278.70万元。资金到位率100%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绩效目标为：1.巩固参保率；2.稳步提高保障水平；3.实现基金收支平衡。</w:t>
      </w:r>
    </w:p>
    <w:p w14:paraId="62E755CE">
      <w:pPr>
        <w:keepNext w:val="0"/>
        <w:keepLines w:val="0"/>
        <w:pageBreakBefore w:val="0"/>
        <w:widowControl/>
        <w:kinsoku w:val="0"/>
        <w:wordWrap/>
        <w:overflowPunct/>
        <w:topLinePunct w:val="0"/>
        <w:autoSpaceDE w:val="0"/>
        <w:autoSpaceDN w:val="0"/>
        <w:bidi w:val="0"/>
        <w:adjustRightInd w:val="0"/>
        <w:snapToGrid w:val="0"/>
        <w:spacing w:line="600" w:lineRule="exact"/>
        <w:ind w:firstLine="643" w:firstLineChars="200"/>
        <w:textAlignment w:val="baseline"/>
        <w:rPr>
          <w:rFonts w:hint="eastAsia" w:ascii="黑体" w:hAnsi="黑体" w:eastAsia="黑体" w:cs="黑体"/>
          <w:b/>
          <w:bCs/>
          <w:sz w:val="32"/>
          <w:szCs w:val="32"/>
        </w:rPr>
      </w:pPr>
      <w:r>
        <w:rPr>
          <w:rFonts w:hint="eastAsia" w:ascii="黑体" w:hAnsi="黑体" w:eastAsia="黑体" w:cs="黑体"/>
          <w:b/>
          <w:bCs/>
          <w:sz w:val="32"/>
          <w:szCs w:val="32"/>
        </w:rPr>
        <w:t>二、绩效评价工作开展情况</w:t>
      </w:r>
    </w:p>
    <w:p w14:paraId="55F0B3E9">
      <w:pPr>
        <w:keepNext w:val="0"/>
        <w:keepLines w:val="0"/>
        <w:pageBreakBefore w:val="0"/>
        <w:widowControl/>
        <w:kinsoku w:val="0"/>
        <w:wordWrap/>
        <w:overflowPunct/>
        <w:topLinePunct w:val="0"/>
        <w:autoSpaceDE w:val="0"/>
        <w:autoSpaceDN w:val="0"/>
        <w:bidi w:val="0"/>
        <w:adjustRightInd w:val="0"/>
        <w:snapToGrid w:val="0"/>
        <w:spacing w:line="600" w:lineRule="exact"/>
        <w:ind w:firstLine="643" w:firstLineChars="200"/>
        <w:textAlignment w:val="baseline"/>
        <w:rPr>
          <w:rFonts w:hint="eastAsia" w:ascii="楷体" w:hAnsi="楷体" w:eastAsia="楷体" w:cs="楷体"/>
          <w:b/>
          <w:bCs/>
          <w:sz w:val="32"/>
          <w:szCs w:val="32"/>
        </w:rPr>
      </w:pPr>
      <w:r>
        <w:rPr>
          <w:rFonts w:hint="eastAsia" w:ascii="楷体" w:hAnsi="楷体" w:eastAsia="楷体" w:cs="楷体"/>
          <w:b/>
          <w:bCs/>
          <w:sz w:val="32"/>
          <w:szCs w:val="32"/>
        </w:rPr>
        <w:t>(一)基本情况</w:t>
      </w:r>
    </w:p>
    <w:p w14:paraId="3953B035">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项目决策依据符合《国家医疗保障局关于全面实施预算绩效 管理的意见》、《项目支出绩效评价管理办法》、《中央财政城 乡居民基本医疗保险补助资金管理办法》以及各省市制定的预算 绩效管理要求和资金管理办法的相关规定。严格落实《社会保险法》、《预算法》及省市绩效管理工作有关规定，客观评价资金使用绩效，规范财政资金管理，加强财政资金使用监督，提高资金使用社会效益，促进医保事业的发展。我局依据绩效自评指标计分表，逐条逐项对照自查自评，并进行综合评价，梳理问题，明确方向，以进一步规范财政资金管理，发挥城乡居民医疗保险补助资金使用效益，更加扎实有效地做好医疗保险工作。</w:t>
      </w:r>
    </w:p>
    <w:p w14:paraId="75FFFE79">
      <w:pPr>
        <w:keepNext w:val="0"/>
        <w:keepLines w:val="0"/>
        <w:pageBreakBefore w:val="0"/>
        <w:widowControl/>
        <w:kinsoku w:val="0"/>
        <w:wordWrap/>
        <w:overflowPunct/>
        <w:topLinePunct w:val="0"/>
        <w:autoSpaceDE w:val="0"/>
        <w:autoSpaceDN w:val="0"/>
        <w:bidi w:val="0"/>
        <w:adjustRightInd w:val="0"/>
        <w:snapToGrid w:val="0"/>
        <w:spacing w:line="600" w:lineRule="exact"/>
        <w:ind w:firstLine="643" w:firstLineChars="200"/>
        <w:textAlignment w:val="baseline"/>
        <w:rPr>
          <w:rFonts w:hint="eastAsia" w:ascii="楷体" w:hAnsi="楷体" w:eastAsia="楷体" w:cs="楷体"/>
          <w:b/>
          <w:bCs/>
          <w:sz w:val="32"/>
          <w:szCs w:val="32"/>
        </w:rPr>
      </w:pPr>
      <w:r>
        <w:rPr>
          <w:rFonts w:hint="eastAsia" w:ascii="楷体" w:hAnsi="楷体" w:eastAsia="楷体" w:cs="楷体"/>
          <w:b/>
          <w:bCs/>
          <w:sz w:val="32"/>
          <w:szCs w:val="32"/>
        </w:rPr>
        <w:t>(二)评价结果</w:t>
      </w:r>
    </w:p>
    <w:p w14:paraId="7E5E8798">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2022年项目整体评价为优秀。</w:t>
      </w:r>
    </w:p>
    <w:p w14:paraId="137BB78D">
      <w:pPr>
        <w:keepNext w:val="0"/>
        <w:keepLines w:val="0"/>
        <w:pageBreakBefore w:val="0"/>
        <w:widowControl/>
        <w:kinsoku w:val="0"/>
        <w:wordWrap/>
        <w:overflowPunct/>
        <w:topLinePunct w:val="0"/>
        <w:autoSpaceDE w:val="0"/>
        <w:autoSpaceDN w:val="0"/>
        <w:bidi w:val="0"/>
        <w:adjustRightInd w:val="0"/>
        <w:snapToGrid w:val="0"/>
        <w:spacing w:line="600" w:lineRule="exact"/>
        <w:ind w:firstLine="643" w:firstLineChars="200"/>
        <w:textAlignment w:val="baseline"/>
        <w:rPr>
          <w:rFonts w:hint="eastAsia" w:ascii="楷体" w:hAnsi="楷体" w:eastAsia="楷体" w:cs="楷体"/>
          <w:b/>
          <w:bCs/>
          <w:sz w:val="32"/>
          <w:szCs w:val="32"/>
        </w:rPr>
      </w:pPr>
      <w:r>
        <w:rPr>
          <w:rFonts w:hint="eastAsia" w:ascii="楷体" w:hAnsi="楷体" w:eastAsia="楷体" w:cs="楷体"/>
          <w:b/>
          <w:bCs/>
          <w:sz w:val="32"/>
          <w:szCs w:val="32"/>
        </w:rPr>
        <w:t>(三)绩效评价指标完成情况</w:t>
      </w:r>
    </w:p>
    <w:p w14:paraId="0B7AFCD7">
      <w:pPr>
        <w:keepNext w:val="0"/>
        <w:keepLines w:val="0"/>
        <w:pageBreakBefore w:val="0"/>
        <w:widowControl/>
        <w:kinsoku w:val="0"/>
        <w:wordWrap/>
        <w:overflowPunct/>
        <w:topLinePunct w:val="0"/>
        <w:autoSpaceDE w:val="0"/>
        <w:autoSpaceDN w:val="0"/>
        <w:bidi w:val="0"/>
        <w:adjustRightInd w:val="0"/>
        <w:snapToGrid w:val="0"/>
        <w:spacing w:line="600" w:lineRule="exact"/>
        <w:ind w:firstLine="643" w:firstLineChars="200"/>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1、资金投入情况分析。</w:t>
      </w:r>
    </w:p>
    <w:p w14:paraId="20D24448">
      <w:pPr>
        <w:keepNext w:val="0"/>
        <w:keepLines w:val="0"/>
        <w:pageBreakBefore w:val="0"/>
        <w:widowControl/>
        <w:kinsoku w:val="0"/>
        <w:wordWrap/>
        <w:overflowPunct/>
        <w:topLinePunct w:val="0"/>
        <w:autoSpaceDE w:val="0"/>
        <w:autoSpaceDN w:val="0"/>
        <w:bidi w:val="0"/>
        <w:adjustRightInd w:val="0"/>
        <w:snapToGrid w:val="0"/>
        <w:spacing w:line="600" w:lineRule="exact"/>
        <w:ind w:firstLine="643" w:firstLineChars="200"/>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(1)资金到位情况分析</w:t>
      </w:r>
    </w:p>
    <w:p w14:paraId="255C44D2">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2023年大通湖区城乡居民医保补助资金到位4707.92万 元，其中：中央补助3778.87万元，省级补助630.35万元， 地方补助278.70万元。资金到位率100%。</w:t>
      </w:r>
    </w:p>
    <w:p w14:paraId="6963B875">
      <w:pPr>
        <w:keepNext w:val="0"/>
        <w:keepLines w:val="0"/>
        <w:pageBreakBefore w:val="0"/>
        <w:widowControl/>
        <w:kinsoku w:val="0"/>
        <w:wordWrap/>
        <w:overflowPunct/>
        <w:topLinePunct w:val="0"/>
        <w:autoSpaceDE w:val="0"/>
        <w:autoSpaceDN w:val="0"/>
        <w:bidi w:val="0"/>
        <w:adjustRightInd w:val="0"/>
        <w:snapToGrid w:val="0"/>
        <w:spacing w:line="600" w:lineRule="exact"/>
        <w:ind w:firstLine="643" w:firstLineChars="200"/>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(2)资金执行情况分析</w:t>
      </w:r>
    </w:p>
    <w:p w14:paraId="40384E81">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2023年大通湖区城乡居民医保资金支出6306.46万元，其中：基本医疗保险待遇支出5661.48万元，大病保险支出615.40万元，其他支出29.58万元。各级财政补助支出执行率100%。</w:t>
      </w:r>
    </w:p>
    <w:p w14:paraId="3ABD81ED">
      <w:pPr>
        <w:keepNext w:val="0"/>
        <w:keepLines w:val="0"/>
        <w:pageBreakBefore w:val="0"/>
        <w:widowControl/>
        <w:kinsoku w:val="0"/>
        <w:wordWrap/>
        <w:overflowPunct/>
        <w:topLinePunct w:val="0"/>
        <w:autoSpaceDE w:val="0"/>
        <w:autoSpaceDN w:val="0"/>
        <w:bidi w:val="0"/>
        <w:adjustRightInd w:val="0"/>
        <w:snapToGrid w:val="0"/>
        <w:spacing w:line="600" w:lineRule="exact"/>
        <w:ind w:firstLine="643" w:firstLineChars="200"/>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(3)资金管理情况分析</w:t>
      </w:r>
    </w:p>
    <w:p w14:paraId="773B934E">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根据资金预算情况，年初制定了年度城乡居民医保实施方案。按城乡居民医保基金财务管理制度要求，严格管理城乡居民医保基金的收缴、使用、支付，在资金管理上强化责任意识，建立健全管理制度，定期调度资金拨付情况，提高预算执行效率和资金使用效益，确保资金使用安全。 </w:t>
      </w:r>
    </w:p>
    <w:p w14:paraId="36914AD9">
      <w:pPr>
        <w:keepNext w:val="0"/>
        <w:keepLines w:val="0"/>
        <w:pageBreakBefore w:val="0"/>
        <w:widowControl/>
        <w:kinsoku w:val="0"/>
        <w:wordWrap/>
        <w:overflowPunct/>
        <w:topLinePunct w:val="0"/>
        <w:autoSpaceDE w:val="0"/>
        <w:autoSpaceDN w:val="0"/>
        <w:bidi w:val="0"/>
        <w:adjustRightInd w:val="0"/>
        <w:snapToGrid w:val="0"/>
        <w:spacing w:line="600" w:lineRule="exact"/>
        <w:ind w:firstLine="643" w:firstLineChars="200"/>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2、绩效指标完成情况分析。</w:t>
      </w:r>
    </w:p>
    <w:p w14:paraId="0F525D54">
      <w:pPr>
        <w:keepNext w:val="0"/>
        <w:keepLines w:val="0"/>
        <w:pageBreakBefore w:val="0"/>
        <w:widowControl/>
        <w:kinsoku w:val="0"/>
        <w:wordWrap/>
        <w:overflowPunct/>
        <w:topLinePunct w:val="0"/>
        <w:autoSpaceDE w:val="0"/>
        <w:autoSpaceDN w:val="0"/>
        <w:bidi w:val="0"/>
        <w:adjustRightInd w:val="0"/>
        <w:snapToGrid w:val="0"/>
        <w:spacing w:line="600" w:lineRule="exact"/>
        <w:ind w:firstLine="643" w:firstLineChars="200"/>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1.项目决策指标分析</w:t>
      </w:r>
    </w:p>
    <w:p w14:paraId="1DEBE8EB">
      <w:pPr>
        <w:keepNext w:val="0"/>
        <w:keepLines w:val="0"/>
        <w:pageBreakBefore w:val="0"/>
        <w:widowControl/>
        <w:kinsoku w:val="0"/>
        <w:wordWrap/>
        <w:overflowPunct/>
        <w:topLinePunct w:val="0"/>
        <w:autoSpaceDE w:val="0"/>
        <w:autoSpaceDN w:val="0"/>
        <w:bidi w:val="0"/>
        <w:adjustRightInd w:val="0"/>
        <w:snapToGrid w:val="0"/>
        <w:spacing w:line="600" w:lineRule="exact"/>
        <w:ind w:firstLine="643" w:firstLineChars="200"/>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(1)决策依据</w:t>
      </w:r>
    </w:p>
    <w:p w14:paraId="3E2B6125">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根据《中共中央国务院关于深化医疗保障制度改革的意见》, 严格贯彻执行中央医疗保障制度改革有关城乡居民医保决策的部署。项目决策依据符合《国家医疗保障局关于全面实施预算绩效管理的意见》、《项目支出绩效评价管理办法》、《中央财政城乡居民基本医疗保险补助资金管理办法》以及各省市制定的预算 绩效管理要求和资金管理办法的相关规定。</w:t>
      </w:r>
    </w:p>
    <w:p w14:paraId="3F39ED84">
      <w:pPr>
        <w:keepNext w:val="0"/>
        <w:keepLines w:val="0"/>
        <w:pageBreakBefore w:val="0"/>
        <w:widowControl/>
        <w:kinsoku w:val="0"/>
        <w:wordWrap/>
        <w:overflowPunct/>
        <w:topLinePunct w:val="0"/>
        <w:autoSpaceDE w:val="0"/>
        <w:autoSpaceDN w:val="0"/>
        <w:bidi w:val="0"/>
        <w:adjustRightInd w:val="0"/>
        <w:snapToGrid w:val="0"/>
        <w:spacing w:line="600" w:lineRule="exact"/>
        <w:ind w:firstLine="643" w:firstLineChars="200"/>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(2)决策过程</w:t>
      </w:r>
    </w:p>
    <w:p w14:paraId="658379A4">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对转移支付资金支持项目的必要性、可行性等进行科学论证，按规定履行立项审批、预算评审等报批程序，下达预算指标的同时明确绩效目标。</w:t>
      </w:r>
    </w:p>
    <w:p w14:paraId="009C7F78">
      <w:pPr>
        <w:keepNext w:val="0"/>
        <w:keepLines w:val="0"/>
        <w:pageBreakBefore w:val="0"/>
        <w:widowControl/>
        <w:kinsoku w:val="0"/>
        <w:wordWrap/>
        <w:overflowPunct/>
        <w:topLinePunct w:val="0"/>
        <w:autoSpaceDE w:val="0"/>
        <w:autoSpaceDN w:val="0"/>
        <w:bidi w:val="0"/>
        <w:adjustRightInd w:val="0"/>
        <w:snapToGrid w:val="0"/>
        <w:spacing w:line="600" w:lineRule="exact"/>
        <w:ind w:firstLine="643" w:firstLineChars="200"/>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(3)绩效目标</w:t>
      </w:r>
    </w:p>
    <w:p w14:paraId="0C074838">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遵照省局下达的年度总体目标和具体绩效指标，以“稳定参保率、稳步提高保障水平、实现基金收支平衡”为年度总体目标，明确产出指标、满意度指标等绩效指标要求，并分解细化绩效目标。</w:t>
      </w:r>
    </w:p>
    <w:p w14:paraId="6F218125">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通过开展绩效评价分析城乡居民医保基金补助的使用、管理和项目实施等情况，总结资金使用管理经验和实行效</w:t>
      </w:r>
      <w:r>
        <w:rPr>
          <w:rFonts w:hint="eastAsia" w:ascii="仿宋_GB2312" w:hAnsi="仿宋_GB2312" w:eastAsia="仿宋_GB2312" w:cs="仿宋_GB2312"/>
          <w:sz w:val="32"/>
          <w:szCs w:val="32"/>
          <w:lang w:val="en-US" w:eastAsia="zh-CN"/>
        </w:rPr>
        <w:t>果，</w:t>
      </w:r>
      <w:r>
        <w:rPr>
          <w:rFonts w:hint="eastAsia" w:ascii="仿宋_GB2312" w:hAnsi="仿宋_GB2312" w:eastAsia="仿宋_GB2312" w:cs="仿宋_GB2312"/>
          <w:sz w:val="32"/>
          <w:szCs w:val="32"/>
        </w:rPr>
        <w:t>完善资金管理，强化财政支出绩效理念，提高资金使用效益</w:t>
      </w:r>
      <w:r>
        <w:rPr>
          <w:rFonts w:hint="eastAsia" w:ascii="仿宋_GB2312" w:hAnsi="仿宋_GB2312" w:eastAsia="仿宋_GB2312" w:cs="仿宋_GB2312"/>
          <w:sz w:val="32"/>
          <w:szCs w:val="32"/>
          <w:lang w:eastAsia="zh-CN"/>
        </w:rPr>
        <w:t>。</w:t>
      </w:r>
    </w:p>
    <w:p w14:paraId="03922DBB">
      <w:pPr>
        <w:keepNext w:val="0"/>
        <w:keepLines w:val="0"/>
        <w:pageBreakBefore w:val="0"/>
        <w:widowControl/>
        <w:kinsoku w:val="0"/>
        <w:wordWrap/>
        <w:overflowPunct/>
        <w:topLinePunct w:val="0"/>
        <w:autoSpaceDE w:val="0"/>
        <w:autoSpaceDN w:val="0"/>
        <w:bidi w:val="0"/>
        <w:adjustRightInd w:val="0"/>
        <w:snapToGrid w:val="0"/>
        <w:spacing w:line="600" w:lineRule="exact"/>
        <w:ind w:firstLine="643" w:firstLineChars="200"/>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(4)资金分配</w:t>
      </w:r>
    </w:p>
    <w:p w14:paraId="46CB0F45">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按照湖南省人民政府办公厅关于印发《医疗卫生领域省与市 县财政事权和支出责任划分改革方案的通知》(湘政办发〔2019〕40号)文件规定，省财政按照省政府办公厅湘政办发〔2019〕16号文件确定的分类分档分担比例承担支出责任。</w:t>
      </w:r>
    </w:p>
    <w:p w14:paraId="6CE989B1">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根据要求，市</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两级财政部门要按照规定标准足额安排预算，并及时安排补助资金，补助资金已在2023年7月1日前到位，并在12月31日前全部上解至市医保基金财政专户。</w:t>
      </w:r>
    </w:p>
    <w:p w14:paraId="42C49209">
      <w:pPr>
        <w:keepNext w:val="0"/>
        <w:keepLines w:val="0"/>
        <w:pageBreakBefore w:val="0"/>
        <w:widowControl/>
        <w:kinsoku w:val="0"/>
        <w:wordWrap/>
        <w:overflowPunct/>
        <w:topLinePunct w:val="0"/>
        <w:autoSpaceDE w:val="0"/>
        <w:autoSpaceDN w:val="0"/>
        <w:bidi w:val="0"/>
        <w:adjustRightInd w:val="0"/>
        <w:snapToGrid w:val="0"/>
        <w:spacing w:line="600" w:lineRule="exact"/>
        <w:ind w:firstLine="643" w:firstLineChars="200"/>
        <w:textAlignment w:val="baseline"/>
        <w:rPr>
          <w:rFonts w:hint="eastAsia" w:ascii="楷体" w:hAnsi="楷体" w:eastAsia="楷体" w:cs="楷体"/>
          <w:b/>
          <w:bCs/>
          <w:sz w:val="32"/>
          <w:szCs w:val="32"/>
        </w:rPr>
      </w:pPr>
      <w:r>
        <w:rPr>
          <w:rFonts w:hint="eastAsia" w:ascii="楷体" w:hAnsi="楷体" w:eastAsia="楷体" w:cs="楷体"/>
          <w:b/>
          <w:bCs/>
          <w:sz w:val="32"/>
          <w:szCs w:val="32"/>
        </w:rPr>
        <w:t>2.过程管理指标分析</w:t>
      </w:r>
    </w:p>
    <w:p w14:paraId="248E0131">
      <w:pPr>
        <w:keepNext w:val="0"/>
        <w:keepLines w:val="0"/>
        <w:pageBreakBefore w:val="0"/>
        <w:widowControl/>
        <w:kinsoku w:val="0"/>
        <w:wordWrap/>
        <w:overflowPunct/>
        <w:topLinePunct w:val="0"/>
        <w:autoSpaceDE w:val="0"/>
        <w:autoSpaceDN w:val="0"/>
        <w:bidi w:val="0"/>
        <w:adjustRightInd w:val="0"/>
        <w:snapToGrid w:val="0"/>
        <w:spacing w:line="600" w:lineRule="exact"/>
        <w:ind w:firstLine="643" w:firstLineChars="200"/>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(1)资金管理</w:t>
      </w:r>
    </w:p>
    <w:p w14:paraId="567E659A">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2023年城乡居民医保补助资金预算数4707.92万元，全年 执行数4707.92万元，预算执行率为100%。</w:t>
      </w:r>
    </w:p>
    <w:p w14:paraId="141F9672">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2023年城乡居民医保补助资金在符合财经法规和有</w:t>
      </w:r>
      <w:r>
        <w:rPr>
          <w:rFonts w:hint="eastAsia" w:ascii="仿宋_GB2312" w:hAnsi="仿宋_GB2312" w:eastAsia="仿宋_GB2312" w:cs="仿宋_GB2312"/>
          <w:sz w:val="32"/>
          <w:szCs w:val="32"/>
          <w:lang w:val="en-US" w:eastAsia="zh-CN"/>
        </w:rPr>
        <w:t>关</w:t>
      </w:r>
      <w:r>
        <w:rPr>
          <w:rFonts w:hint="eastAsia" w:ascii="仿宋_GB2312" w:hAnsi="仿宋_GB2312" w:eastAsia="仿宋_GB2312" w:cs="仿宋_GB2312"/>
          <w:sz w:val="32"/>
          <w:szCs w:val="32"/>
        </w:rPr>
        <w:t>专项资金管理办法的基础上，财政专户专账核算、专款专</w:t>
      </w:r>
      <w:r>
        <w:rPr>
          <w:rFonts w:hint="eastAsia" w:ascii="仿宋_GB2312" w:hAnsi="仿宋_GB2312" w:eastAsia="仿宋_GB2312" w:cs="仿宋_GB2312"/>
          <w:sz w:val="32"/>
          <w:szCs w:val="32"/>
          <w:lang w:val="en-US" w:eastAsia="zh-CN"/>
        </w:rPr>
        <w:t>用，</w:t>
      </w:r>
      <w:r>
        <w:rPr>
          <w:rFonts w:hint="eastAsia" w:ascii="仿宋_GB2312" w:hAnsi="仿宋_GB2312" w:eastAsia="仿宋_GB2312" w:cs="仿宋_GB2312"/>
          <w:sz w:val="32"/>
          <w:szCs w:val="32"/>
        </w:rPr>
        <w:t>未发生截留、挤占、挪用、虚列支出等情况。</w:t>
      </w:r>
    </w:p>
    <w:p w14:paraId="72131B91">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自2020年10月1日正式实行医疗保险市级统筹，城乡居民 医疗保险筹资收入全部上解至市级财政专户，实行统收统支，并按照上年度筹资总额的5%上解风险储备金。</w:t>
      </w:r>
    </w:p>
    <w:p w14:paraId="6ADEBF91">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医保基金监督检查制度实现了全覆盖，实行医疗保险基金的透明度管理，在医疗保险基金的筹集、使用、管理过程中定期向 广大社会民众公开医疗保险基金的使用、管理情况，提高保险基 金使用的透明度。充分利用医疗保险信息系统现有的统计和智能 监审功能，对定点医疗机构住院人次、人均住院医疗费用、医保 基金总额等指标进行重点监控，并以通报、会议等形式定期公布，实行医保基金违法违规行为有奖举报。</w:t>
      </w:r>
    </w:p>
    <w:p w14:paraId="0C394DFC">
      <w:pPr>
        <w:keepNext w:val="0"/>
        <w:keepLines w:val="0"/>
        <w:pageBreakBefore w:val="0"/>
        <w:widowControl/>
        <w:kinsoku w:val="0"/>
        <w:wordWrap/>
        <w:overflowPunct/>
        <w:topLinePunct w:val="0"/>
        <w:autoSpaceDE w:val="0"/>
        <w:autoSpaceDN w:val="0"/>
        <w:bidi w:val="0"/>
        <w:adjustRightInd w:val="0"/>
        <w:snapToGrid w:val="0"/>
        <w:spacing w:line="600" w:lineRule="exact"/>
        <w:ind w:firstLine="643" w:firstLineChars="200"/>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(2)组织管理</w:t>
      </w:r>
    </w:p>
    <w:p w14:paraId="2F8AAE5A">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全区城乡居民医疗保障职能早已整合，已实现覆盖范围、筹 资政策、保障待遇、医保目录、定点管理、基金管理“六统一”。</w:t>
      </w:r>
    </w:p>
    <w:p w14:paraId="215F156D">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对全区47家医药机构进行协议管理，建立考核评价</w:t>
      </w:r>
      <w:r>
        <w:rPr>
          <w:rFonts w:hint="eastAsia" w:ascii="仿宋_GB2312" w:hAnsi="仿宋_GB2312" w:eastAsia="仿宋_GB2312" w:cs="仿宋_GB2312"/>
          <w:sz w:val="32"/>
          <w:szCs w:val="32"/>
          <w:lang w:val="en-US" w:eastAsia="zh-CN"/>
        </w:rPr>
        <w:t>机制，</w:t>
      </w:r>
      <w:r>
        <w:rPr>
          <w:rFonts w:hint="eastAsia" w:ascii="仿宋_GB2312" w:hAnsi="仿宋_GB2312" w:eastAsia="仿宋_GB2312" w:cs="仿宋_GB2312"/>
          <w:sz w:val="32"/>
          <w:szCs w:val="32"/>
        </w:rPr>
        <w:t>实行动态进入和退出机制，建立益阳特色的“互联网+基金监管”体系，实现协议医药机构现场检查覆盖率100%。</w:t>
      </w:r>
    </w:p>
    <w:p w14:paraId="5229A6B0">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信息系统运转正常，能够及时准确提取参保人数、财政补助资金到位率、城乡居民个人缴费水平等数据，并通过益阳医保公众号开通全市参保自助缴费、参保情况查询、协议机构和目录查询、医药服务价格查询和异地就医自助备案等业务。</w:t>
      </w:r>
    </w:p>
    <w:p w14:paraId="73CF1AC3">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医保基金统计、基金会计报表根据市局要求上报，确保准确 完整、及时有效，对异常数据有说明解释。</w:t>
      </w:r>
    </w:p>
    <w:p w14:paraId="2FFA98FF">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全面实现绩效管理，对市局下发的绩效指标根据大通湖区实际进行细化明确。自评报告严格按照市局要求规范完整上报，及时将评价结果公示并为下一年度的城乡居民医疗补助资金绩效评价工作提供参照。</w:t>
      </w:r>
    </w:p>
    <w:p w14:paraId="46B5D457">
      <w:pPr>
        <w:keepNext w:val="0"/>
        <w:keepLines w:val="0"/>
        <w:pageBreakBefore w:val="0"/>
        <w:widowControl/>
        <w:kinsoku w:val="0"/>
        <w:wordWrap/>
        <w:overflowPunct/>
        <w:topLinePunct w:val="0"/>
        <w:autoSpaceDE w:val="0"/>
        <w:autoSpaceDN w:val="0"/>
        <w:bidi w:val="0"/>
        <w:adjustRightInd w:val="0"/>
        <w:snapToGrid w:val="0"/>
        <w:spacing w:line="600" w:lineRule="exact"/>
        <w:ind w:firstLine="643" w:firstLineChars="200"/>
        <w:textAlignment w:val="baseline"/>
        <w:rPr>
          <w:rFonts w:hint="eastAsia" w:ascii="楷体" w:hAnsi="楷体" w:eastAsia="楷体" w:cs="楷体"/>
          <w:b/>
          <w:bCs/>
          <w:sz w:val="32"/>
          <w:szCs w:val="32"/>
        </w:rPr>
      </w:pPr>
      <w:r>
        <w:rPr>
          <w:rFonts w:hint="eastAsia" w:ascii="楷体" w:hAnsi="楷体" w:eastAsia="楷体" w:cs="楷体"/>
          <w:b/>
          <w:bCs/>
          <w:sz w:val="32"/>
          <w:szCs w:val="32"/>
        </w:rPr>
        <w:t>3.产出指标完成情况分析</w:t>
      </w:r>
    </w:p>
    <w:p w14:paraId="6C764E43">
      <w:pPr>
        <w:keepNext w:val="0"/>
        <w:keepLines w:val="0"/>
        <w:pageBreakBefore w:val="0"/>
        <w:widowControl/>
        <w:kinsoku w:val="0"/>
        <w:wordWrap/>
        <w:overflowPunct/>
        <w:topLinePunct w:val="0"/>
        <w:autoSpaceDE w:val="0"/>
        <w:autoSpaceDN w:val="0"/>
        <w:bidi w:val="0"/>
        <w:adjustRightInd w:val="0"/>
        <w:snapToGrid w:val="0"/>
        <w:spacing w:line="600" w:lineRule="exact"/>
        <w:ind w:firstLine="643" w:firstLineChars="200"/>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(1)数量指标。</w:t>
      </w:r>
    </w:p>
    <w:p w14:paraId="296F0DF1">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随着城乡居民医保工作的不断深入，2023年度大通湖区城乡居民参保人数72578人，各级财政补助标准640元/人</w:t>
      </w:r>
    </w:p>
    <w:p w14:paraId="21941CBF">
      <w:pPr>
        <w:keepNext w:val="0"/>
        <w:keepLines w:val="0"/>
        <w:pageBreakBefore w:val="0"/>
        <w:widowControl/>
        <w:kinsoku w:val="0"/>
        <w:wordWrap/>
        <w:overflowPunct/>
        <w:topLinePunct w:val="0"/>
        <w:autoSpaceDE w:val="0"/>
        <w:autoSpaceDN w:val="0"/>
        <w:bidi w:val="0"/>
        <w:adjustRightInd w:val="0"/>
        <w:snapToGrid w:val="0"/>
        <w:spacing w:line="600" w:lineRule="exact"/>
        <w:ind w:firstLine="643" w:firstLineChars="200"/>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(2)质量指标</w:t>
      </w:r>
    </w:p>
    <w:p w14:paraId="38BDC6C7">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2023年全区以常住人口为基础计算的基本医保综合参保率102%,以户籍人口数为基数计算的基本医保综合参保率93%。重复参保人数和虚报参保人数都为0,参保人政策范围内住院费用报销比例70.08%,参保人住院费用实际报销比例61.59%,实行了按病种、按人头付费等支付方式改革，开展门诊统筹，实行个人账户向门诊统筹过渡，住院人次的逐年增加，体现了城乡居民 医保制度的优越性和先进性。为保障居民的受益度，从单一的住院补偿发展到现在的大病二次补偿、门诊统筹补偿、特慢疾病补偿、“双通道”补</w:t>
      </w:r>
      <w:r>
        <w:rPr>
          <w:rFonts w:hint="eastAsia" w:ascii="仿宋_GB2312" w:hAnsi="仿宋_GB2312" w:eastAsia="仿宋_GB2312" w:cs="仿宋_GB2312"/>
          <w:sz w:val="32"/>
          <w:szCs w:val="32"/>
          <w:lang w:eastAsia="zh-CN"/>
        </w:rPr>
        <w:t>偿统</w:t>
      </w:r>
      <w:r>
        <w:rPr>
          <w:rFonts w:hint="eastAsia" w:ascii="仿宋_GB2312" w:hAnsi="仿宋_GB2312" w:eastAsia="仿宋_GB2312" w:cs="仿宋_GB2312"/>
          <w:sz w:val="32"/>
          <w:szCs w:val="32"/>
        </w:rPr>
        <w:t>筹等，居民的健康需求得到了满足，群众对城乡居民医保的满意度逐年增加，经办机构管理逐步规范，城乡居民医保的实施，保障了居民基本医疗，改善乡镇卫生院和区级医疗机构的医疗环境的同时也提高了乡镇医疗技术水平，各医疗机构内部管理更加规范。基金滚存结余可支配月数11.67个月</w:t>
      </w:r>
      <w:r>
        <w:rPr>
          <w:rFonts w:hint="eastAsia" w:ascii="仿宋_GB2312" w:hAnsi="仿宋_GB2312" w:eastAsia="仿宋_GB2312" w:cs="仿宋_GB2312"/>
          <w:sz w:val="32"/>
          <w:szCs w:val="32"/>
          <w:lang w:eastAsia="zh-CN"/>
        </w:rPr>
        <w:t>。</w:t>
      </w:r>
    </w:p>
    <w:p w14:paraId="074F1C57">
      <w:pPr>
        <w:keepNext w:val="0"/>
        <w:keepLines w:val="0"/>
        <w:pageBreakBefore w:val="0"/>
        <w:widowControl/>
        <w:kinsoku w:val="0"/>
        <w:wordWrap/>
        <w:overflowPunct/>
        <w:topLinePunct w:val="0"/>
        <w:autoSpaceDE w:val="0"/>
        <w:autoSpaceDN w:val="0"/>
        <w:bidi w:val="0"/>
        <w:adjustRightInd w:val="0"/>
        <w:snapToGrid w:val="0"/>
        <w:spacing w:line="600" w:lineRule="exact"/>
        <w:ind w:firstLine="643" w:firstLineChars="200"/>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(3)时效指标</w:t>
      </w:r>
    </w:p>
    <w:p w14:paraId="591898AA">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2023年医疗费用及时结算率达96%,按政策及时结算。</w:t>
      </w:r>
    </w:p>
    <w:p w14:paraId="02E3502A">
      <w:pPr>
        <w:keepNext w:val="0"/>
        <w:keepLines w:val="0"/>
        <w:pageBreakBefore w:val="0"/>
        <w:widowControl/>
        <w:kinsoku w:val="0"/>
        <w:wordWrap/>
        <w:overflowPunct/>
        <w:topLinePunct w:val="0"/>
        <w:autoSpaceDE w:val="0"/>
        <w:autoSpaceDN w:val="0"/>
        <w:bidi w:val="0"/>
        <w:adjustRightInd w:val="0"/>
        <w:snapToGrid w:val="0"/>
        <w:spacing w:line="600" w:lineRule="exact"/>
        <w:ind w:firstLine="643" w:firstLineChars="200"/>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 满意度指标</w:t>
      </w:r>
    </w:p>
    <w:p w14:paraId="55EC8EFB">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参保对象服务满意度95%。</w:t>
      </w:r>
    </w:p>
    <w:p w14:paraId="6DD973D9">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2023年度大通湖区城乡居民医保补助资金绩效自评总得分</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00分。</w:t>
      </w:r>
    </w:p>
    <w:p w14:paraId="54EFD2C3">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黑体" w:hAnsi="黑体" w:eastAsia="黑体" w:cs="黑体"/>
          <w:sz w:val="32"/>
          <w:szCs w:val="32"/>
        </w:rPr>
      </w:pPr>
      <w:r>
        <w:rPr>
          <w:rFonts w:hint="eastAsia" w:ascii="黑体" w:hAnsi="黑体" w:eastAsia="黑体" w:cs="黑体"/>
          <w:sz w:val="32"/>
          <w:szCs w:val="32"/>
        </w:rPr>
        <w:t>三、绩效目标完成情况</w:t>
      </w:r>
    </w:p>
    <w:p w14:paraId="59D008B5">
      <w:pPr>
        <w:keepNext w:val="0"/>
        <w:keepLines w:val="0"/>
        <w:pageBreakBefore w:val="0"/>
        <w:widowControl/>
        <w:kinsoku w:val="0"/>
        <w:wordWrap/>
        <w:overflowPunct/>
        <w:topLinePunct w:val="0"/>
        <w:autoSpaceDE w:val="0"/>
        <w:autoSpaceDN w:val="0"/>
        <w:bidi w:val="0"/>
        <w:adjustRightInd w:val="0"/>
        <w:snapToGrid w:val="0"/>
        <w:spacing w:line="600" w:lineRule="exact"/>
        <w:ind w:firstLine="643" w:firstLineChars="200"/>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1、年度绩效目标完成情况分析</w:t>
      </w:r>
    </w:p>
    <w:p w14:paraId="7346DA34">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(1)以常住人口为基数的基本参保综合参保率达102%。</w:t>
      </w:r>
    </w:p>
    <w:p w14:paraId="43EA76FF">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(2)2023年我区参保人员住院费用实际报销比例达到 61.59%。</w:t>
      </w:r>
    </w:p>
    <w:p w14:paraId="1DBF2B72">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(3)强化政策宣传，提升知晓率。</w:t>
      </w:r>
      <w:r>
        <w:rPr>
          <w:rFonts w:hint="eastAsia" w:ascii="仿宋_GB2312" w:hAnsi="仿宋_GB2312" w:eastAsia="仿宋_GB2312" w:cs="仿宋_GB2312"/>
          <w:b/>
          <w:bCs/>
          <w:sz w:val="32"/>
          <w:szCs w:val="32"/>
        </w:rPr>
        <w:t>一是</w:t>
      </w:r>
      <w:r>
        <w:rPr>
          <w:rFonts w:hint="eastAsia" w:ascii="仿宋_GB2312" w:hAnsi="仿宋_GB2312" w:eastAsia="仿宋_GB2312" w:cs="仿宋_GB2312"/>
          <w:sz w:val="32"/>
          <w:szCs w:val="32"/>
        </w:rPr>
        <w:t>以各级各类</w:t>
      </w:r>
      <w:r>
        <w:rPr>
          <w:rFonts w:hint="eastAsia" w:ascii="仿宋_GB2312" w:hAnsi="仿宋_GB2312" w:eastAsia="仿宋_GB2312" w:cs="仿宋_GB2312"/>
          <w:sz w:val="32"/>
          <w:szCs w:val="32"/>
          <w:lang w:val="en-US" w:eastAsia="zh-CN"/>
        </w:rPr>
        <w:t>会议、</w:t>
      </w:r>
      <w:r>
        <w:rPr>
          <w:rFonts w:hint="eastAsia" w:ascii="仿宋_GB2312" w:hAnsi="仿宋_GB2312" w:eastAsia="仿宋_GB2312" w:cs="仿宋_GB2312"/>
          <w:sz w:val="32"/>
          <w:szCs w:val="32"/>
        </w:rPr>
        <w:t>培训为媒介，大力解读城乡居民医保筹资政策，并结合实例广泛宣传城乡居民医保政策，用患重大疾病从中得到医疗救助实惠的 典型事例引导居民积极参保。</w:t>
      </w:r>
      <w:r>
        <w:rPr>
          <w:rFonts w:hint="eastAsia" w:ascii="仿宋_GB2312" w:hAnsi="仿宋_GB2312" w:eastAsia="仿宋_GB2312" w:cs="仿宋_GB2312"/>
          <w:b/>
          <w:bCs/>
          <w:sz w:val="32"/>
          <w:szCs w:val="32"/>
        </w:rPr>
        <w:t>二是</w:t>
      </w:r>
      <w:r>
        <w:rPr>
          <w:rFonts w:hint="eastAsia" w:ascii="仿宋_GB2312" w:hAnsi="仿宋_GB2312" w:eastAsia="仿宋_GB2312" w:cs="仿宋_GB2312"/>
          <w:sz w:val="32"/>
          <w:szCs w:val="32"/>
        </w:rPr>
        <w:t>印发城乡居民医保政策宣传单、宣传册，确保参保人员及时了解政策。</w:t>
      </w:r>
      <w:r>
        <w:rPr>
          <w:rFonts w:hint="eastAsia" w:ascii="仿宋_GB2312" w:hAnsi="仿宋_GB2312" w:eastAsia="仿宋_GB2312" w:cs="仿宋_GB2312"/>
          <w:b/>
          <w:bCs/>
          <w:sz w:val="32"/>
          <w:szCs w:val="32"/>
        </w:rPr>
        <w:t>三是</w:t>
      </w:r>
      <w:r>
        <w:rPr>
          <w:rFonts w:hint="eastAsia" w:ascii="仿宋_GB2312" w:hAnsi="仿宋_GB2312" w:eastAsia="仿宋_GB2312" w:cs="仿宋_GB2312"/>
          <w:sz w:val="32"/>
          <w:szCs w:val="32"/>
        </w:rPr>
        <w:t>通过广播对最新的政 策进行宣传。</w:t>
      </w:r>
    </w:p>
    <w:p w14:paraId="5367F10D">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(4)严把基金监管，确保安全。主要做到了严把“四关”,即严把审核关、稽查关、收支关、监管关。</w:t>
      </w:r>
      <w:r>
        <w:rPr>
          <w:rFonts w:hint="eastAsia" w:ascii="仿宋_GB2312" w:hAnsi="仿宋_GB2312" w:eastAsia="仿宋_GB2312" w:cs="仿宋_GB2312"/>
          <w:b/>
          <w:bCs/>
          <w:sz w:val="32"/>
          <w:szCs w:val="32"/>
        </w:rPr>
        <w:t>一是</w:t>
      </w:r>
      <w:r>
        <w:rPr>
          <w:rFonts w:hint="eastAsia" w:ascii="仿宋_GB2312" w:hAnsi="仿宋_GB2312" w:eastAsia="仿宋_GB2312" w:cs="仿宋_GB2312"/>
          <w:sz w:val="32"/>
          <w:szCs w:val="32"/>
        </w:rPr>
        <w:t>严格执行定点医疗机构协议管理办法，实行考核评价机制及准入退出机制。按定期与不定期，网上审核、现场稽查、病历抽查等方法对全区协议 医疗机构进行稽核。开展打击欺诈骗保专项行动，组织各协议医药机构开展打击欺诈骗保自查自纠。</w:t>
      </w:r>
      <w:r>
        <w:rPr>
          <w:rFonts w:hint="eastAsia" w:ascii="仿宋_GB2312" w:hAnsi="仿宋_GB2312" w:eastAsia="仿宋_GB2312" w:cs="仿宋_GB2312"/>
          <w:b/>
          <w:bCs/>
          <w:sz w:val="32"/>
          <w:szCs w:val="32"/>
        </w:rPr>
        <w:t>二是</w:t>
      </w:r>
      <w:r>
        <w:rPr>
          <w:rFonts w:hint="eastAsia" w:ascii="仿宋_GB2312" w:hAnsi="仿宋_GB2312" w:eastAsia="仿宋_GB2312" w:cs="仿宋_GB2312"/>
          <w:sz w:val="32"/>
          <w:szCs w:val="32"/>
        </w:rPr>
        <w:t>落实城乡居民医保三级定期公示制度。定期公示城乡居民医保主要政策、就诊(转诊) 流程、医疗费用报销情况和监督举报电话等内容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广泛接受社会及群众监督。</w:t>
      </w:r>
      <w:r>
        <w:rPr>
          <w:rFonts w:hint="eastAsia" w:ascii="仿宋_GB2312" w:hAnsi="仿宋_GB2312" w:eastAsia="仿宋_GB2312" w:cs="仿宋_GB2312"/>
          <w:b/>
          <w:bCs/>
          <w:sz w:val="32"/>
          <w:szCs w:val="32"/>
        </w:rPr>
        <w:t>三是</w:t>
      </w:r>
      <w:r>
        <w:rPr>
          <w:rFonts w:hint="eastAsia" w:ascii="仿宋_GB2312" w:hAnsi="仿宋_GB2312" w:eastAsia="仿宋_GB2312" w:cs="仿宋_GB2312"/>
          <w:sz w:val="32"/>
          <w:szCs w:val="32"/>
        </w:rPr>
        <w:t>对违反《中华人民共和国社会保险法》和基本医疗保险制度政策等有关规定骗取、套取城乡居民医保基金的行为，严肃查处，绝不姑息。</w:t>
      </w:r>
    </w:p>
    <w:p w14:paraId="53FC5B78">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(5)深化医保改革，卓有成效。</w:t>
      </w:r>
      <w:r>
        <w:rPr>
          <w:rFonts w:hint="eastAsia" w:ascii="仿宋_GB2312" w:hAnsi="仿宋_GB2312" w:eastAsia="仿宋_GB2312" w:cs="仿宋_GB2312"/>
          <w:b/>
          <w:bCs/>
          <w:sz w:val="32"/>
          <w:szCs w:val="32"/>
        </w:rPr>
        <w:t>一是</w:t>
      </w:r>
      <w:r>
        <w:rPr>
          <w:rFonts w:hint="eastAsia" w:ascii="仿宋_GB2312" w:hAnsi="仿宋_GB2312" w:eastAsia="仿宋_GB2312" w:cs="仿宋_GB2312"/>
          <w:sz w:val="32"/>
          <w:szCs w:val="32"/>
        </w:rPr>
        <w:t>实现参保群众全国异 地住院即时结算，现阶段我们按省里统一要求进行系统备案，参保群众跨省异地就医无需跑腿、垫资。</w:t>
      </w:r>
      <w:r>
        <w:rPr>
          <w:rFonts w:hint="eastAsia" w:ascii="仿宋_GB2312" w:hAnsi="仿宋_GB2312" w:eastAsia="仿宋_GB2312" w:cs="仿宋_GB2312"/>
          <w:b/>
          <w:bCs/>
          <w:sz w:val="32"/>
          <w:szCs w:val="32"/>
        </w:rPr>
        <w:t>二是</w:t>
      </w:r>
      <w:r>
        <w:rPr>
          <w:rFonts w:hint="eastAsia" w:ascii="仿宋_GB2312" w:hAnsi="仿宋_GB2312" w:eastAsia="仿宋_GB2312" w:cs="仿宋_GB2312"/>
          <w:sz w:val="32"/>
          <w:szCs w:val="32"/>
        </w:rPr>
        <w:t>完善一站式平台建设。根据精准扶贫政策要求，建立一站式窗口，完善一站式平台，贫困人口基本医疗、大病保险、医疗救助、扶贫特惠保、医院减免、财政兜底一次性补偿到位，为贫困患者报销提供了便捷的服务，让他们少跑路，得实惠。</w:t>
      </w:r>
    </w:p>
    <w:p w14:paraId="1C68A71E">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(6)落实优惠政策、受惠于民。大通湖区落实各种优惠政策：</w:t>
      </w:r>
      <w:r>
        <w:rPr>
          <w:rFonts w:hint="eastAsia" w:ascii="仿宋_GB2312" w:hAnsi="仿宋_GB2312" w:eastAsia="仿宋_GB2312" w:cs="仿宋_GB2312"/>
          <w:b/>
          <w:bCs/>
          <w:sz w:val="32"/>
          <w:szCs w:val="32"/>
        </w:rPr>
        <w:t>一是</w:t>
      </w:r>
      <w:r>
        <w:rPr>
          <w:rFonts w:hint="eastAsia" w:ascii="仿宋_GB2312" w:hAnsi="仿宋_GB2312" w:eastAsia="仿宋_GB2312" w:cs="仿宋_GB2312"/>
          <w:sz w:val="32"/>
          <w:szCs w:val="32"/>
        </w:rPr>
        <w:t>开展就医结算“一站式”服务工作，整合各部门资金，建立“一站式”结算专户，确保贫困人员在区内定点医院住院综合保障，</w:t>
      </w:r>
      <w:r>
        <w:rPr>
          <w:rFonts w:hint="eastAsia" w:ascii="仿宋_GB2312" w:hAnsi="仿宋_GB2312" w:eastAsia="仿宋_GB2312" w:cs="仿宋_GB2312"/>
          <w:b/>
          <w:bCs/>
          <w:sz w:val="32"/>
          <w:szCs w:val="32"/>
        </w:rPr>
        <w:t>二是</w:t>
      </w:r>
      <w:r>
        <w:rPr>
          <w:rFonts w:hint="eastAsia" w:ascii="仿宋_GB2312" w:hAnsi="仿宋_GB2312" w:eastAsia="仿宋_GB2312" w:cs="仿宋_GB2312"/>
          <w:sz w:val="32"/>
          <w:szCs w:val="32"/>
        </w:rPr>
        <w:t>特殊困难群体的优惠政策；</w:t>
      </w:r>
      <w:r>
        <w:rPr>
          <w:rFonts w:hint="eastAsia" w:ascii="仿宋_GB2312" w:hAnsi="仿宋_GB2312" w:eastAsia="仿宋_GB2312" w:cs="仿宋_GB2312"/>
          <w:b/>
          <w:bCs/>
          <w:sz w:val="32"/>
          <w:szCs w:val="32"/>
        </w:rPr>
        <w:t>三是</w:t>
      </w:r>
      <w:r>
        <w:rPr>
          <w:rFonts w:hint="eastAsia" w:ascii="仿宋_GB2312" w:hAnsi="仿宋_GB2312" w:eastAsia="仿宋_GB2312" w:cs="仿宋_GB2312"/>
          <w:sz w:val="32"/>
          <w:szCs w:val="32"/>
        </w:rPr>
        <w:t>提高大病二次补偿的报销比例；</w:t>
      </w:r>
      <w:r>
        <w:rPr>
          <w:rFonts w:hint="eastAsia" w:ascii="仿宋_GB2312" w:hAnsi="仿宋_GB2312" w:eastAsia="仿宋_GB2312" w:cs="仿宋_GB2312"/>
          <w:b/>
          <w:bCs/>
          <w:sz w:val="32"/>
          <w:szCs w:val="32"/>
        </w:rPr>
        <w:t>四是</w:t>
      </w:r>
      <w:r>
        <w:rPr>
          <w:rFonts w:hint="eastAsia" w:ascii="仿宋_GB2312" w:hAnsi="仿宋_GB2312" w:eastAsia="仿宋_GB2312" w:cs="仿宋_GB2312"/>
          <w:sz w:val="32"/>
          <w:szCs w:val="32"/>
        </w:rPr>
        <w:t>对43种门诊特殊病种进行了“一站式”救助补偿。这些政策的落实，真正解决了困难群体的需求，对防止其因病致贫、因病返贫起到了重要作用</w:t>
      </w:r>
      <w:r>
        <w:rPr>
          <w:rFonts w:hint="eastAsia" w:ascii="仿宋_GB2312" w:hAnsi="仿宋_GB2312" w:eastAsia="仿宋_GB2312" w:cs="仿宋_GB2312"/>
          <w:sz w:val="32"/>
          <w:szCs w:val="32"/>
          <w:lang w:eastAsia="zh-CN"/>
        </w:rPr>
        <w:t>。</w:t>
      </w:r>
    </w:p>
    <w:p w14:paraId="7E168252">
      <w:pPr>
        <w:keepNext w:val="0"/>
        <w:keepLines w:val="0"/>
        <w:pageBreakBefore w:val="0"/>
        <w:widowControl/>
        <w:kinsoku w:val="0"/>
        <w:wordWrap/>
        <w:overflowPunct/>
        <w:topLinePunct w:val="0"/>
        <w:autoSpaceDE w:val="0"/>
        <w:autoSpaceDN w:val="0"/>
        <w:bidi w:val="0"/>
        <w:adjustRightInd w:val="0"/>
        <w:snapToGrid w:val="0"/>
        <w:spacing w:line="600" w:lineRule="exact"/>
        <w:ind w:firstLine="643" w:firstLineChars="200"/>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2、产出指标完成情况分析</w:t>
      </w:r>
    </w:p>
    <w:p w14:paraId="03B4FBC6">
      <w:pPr>
        <w:keepNext w:val="0"/>
        <w:keepLines w:val="0"/>
        <w:pageBreakBefore w:val="0"/>
        <w:widowControl/>
        <w:kinsoku w:val="0"/>
        <w:wordWrap/>
        <w:overflowPunct/>
        <w:topLinePunct w:val="0"/>
        <w:autoSpaceDE w:val="0"/>
        <w:autoSpaceDN w:val="0"/>
        <w:bidi w:val="0"/>
        <w:adjustRightInd w:val="0"/>
        <w:snapToGrid w:val="0"/>
        <w:spacing w:line="600" w:lineRule="exact"/>
        <w:ind w:firstLine="643" w:firstLineChars="200"/>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(1)数量指标</w:t>
      </w:r>
    </w:p>
    <w:p w14:paraId="2EE10D7A">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随着城乡居民医保工作的不断深入，2023年度大通湖区城乡居民参保人数72578人，各级财政补助标准640元/人。</w:t>
      </w:r>
    </w:p>
    <w:p w14:paraId="71608AA3">
      <w:pPr>
        <w:keepNext w:val="0"/>
        <w:keepLines w:val="0"/>
        <w:pageBreakBefore w:val="0"/>
        <w:widowControl/>
        <w:kinsoku w:val="0"/>
        <w:wordWrap/>
        <w:overflowPunct/>
        <w:topLinePunct w:val="0"/>
        <w:autoSpaceDE w:val="0"/>
        <w:autoSpaceDN w:val="0"/>
        <w:bidi w:val="0"/>
        <w:adjustRightInd w:val="0"/>
        <w:snapToGrid w:val="0"/>
        <w:spacing w:line="600" w:lineRule="exact"/>
        <w:ind w:firstLine="643" w:firstLineChars="200"/>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(2)质量指标</w:t>
      </w:r>
    </w:p>
    <w:p w14:paraId="46CAE76C">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全区以常住人口为基础计算的基本医保综合参保率102%,以户籍人口数为基数计算的基本医保综合参保率96%。重复参保人数和虚报参保人数都为0,参保人政策范围内住院费用报销比例70.08%,参保人住院费用实际报销比例61.59%,实行了按病种、按人头付费等支付方式改革，开展门诊统筹，实行个人账户向门诊统筹过渡，住院人次的逐年增加，体现了城乡居民医保制度的优越性和先进性。为保障居民的受益度，从单一的住院补偿发展到现在的大病二次补偿、门诊统筹补偿、特慢疾病补偿、“双通道”补</w:t>
      </w:r>
      <w:r>
        <w:rPr>
          <w:rFonts w:hint="eastAsia" w:ascii="仿宋_GB2312" w:hAnsi="仿宋_GB2312" w:eastAsia="仿宋_GB2312" w:cs="仿宋_GB2312"/>
          <w:sz w:val="32"/>
          <w:szCs w:val="32"/>
          <w:lang w:eastAsia="zh-CN"/>
        </w:rPr>
        <w:t>偿统</w:t>
      </w:r>
      <w:r>
        <w:rPr>
          <w:rFonts w:hint="eastAsia" w:ascii="仿宋_GB2312" w:hAnsi="仿宋_GB2312" w:eastAsia="仿宋_GB2312" w:cs="仿宋_GB2312"/>
          <w:sz w:val="32"/>
          <w:szCs w:val="32"/>
        </w:rPr>
        <w:t>筹等，居民的健康需求得到了满足，群众对城乡居民医保的满意度逐年增加，经办机构管理逐步规范，城乡居民医保的实施，保障了居民基本医疗，改善乡镇卫生院和区级医疗机构的医疗环境的同时也提高了乡镇医疗技术水平，各医疗机构内部管理更加规范。基金滚存结余可支配月数11.67个月。</w:t>
      </w:r>
    </w:p>
    <w:p w14:paraId="4A8F2F84">
      <w:pPr>
        <w:keepNext w:val="0"/>
        <w:keepLines w:val="0"/>
        <w:pageBreakBefore w:val="0"/>
        <w:widowControl/>
        <w:kinsoku w:val="0"/>
        <w:wordWrap/>
        <w:overflowPunct/>
        <w:topLinePunct w:val="0"/>
        <w:autoSpaceDE w:val="0"/>
        <w:autoSpaceDN w:val="0"/>
        <w:bidi w:val="0"/>
        <w:adjustRightInd w:val="0"/>
        <w:snapToGrid w:val="0"/>
        <w:spacing w:line="600" w:lineRule="exact"/>
        <w:ind w:firstLine="643" w:firstLineChars="200"/>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(3)时效指标</w:t>
      </w:r>
    </w:p>
    <w:p w14:paraId="160149B6">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2023年医疗费用及时结算率达96%,按政策及时结算。</w:t>
      </w:r>
    </w:p>
    <w:p w14:paraId="0B31F65C">
      <w:pPr>
        <w:keepNext w:val="0"/>
        <w:keepLines w:val="0"/>
        <w:pageBreakBefore w:val="0"/>
        <w:widowControl/>
        <w:kinsoku w:val="0"/>
        <w:wordWrap/>
        <w:overflowPunct/>
        <w:topLinePunct w:val="0"/>
        <w:autoSpaceDE w:val="0"/>
        <w:autoSpaceDN w:val="0"/>
        <w:bidi w:val="0"/>
        <w:adjustRightInd w:val="0"/>
        <w:snapToGrid w:val="0"/>
        <w:spacing w:line="600" w:lineRule="exact"/>
        <w:ind w:firstLine="643" w:firstLineChars="200"/>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(4)满意度指标</w:t>
      </w:r>
    </w:p>
    <w:p w14:paraId="27BEF787">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参保对象服务满意度95%。</w:t>
      </w:r>
    </w:p>
    <w:p w14:paraId="76210227">
      <w:pPr>
        <w:keepNext w:val="0"/>
        <w:keepLines w:val="0"/>
        <w:pageBreakBefore w:val="0"/>
        <w:widowControl/>
        <w:kinsoku w:val="0"/>
        <w:wordWrap/>
        <w:overflowPunct/>
        <w:topLinePunct w:val="0"/>
        <w:autoSpaceDE w:val="0"/>
        <w:autoSpaceDN w:val="0"/>
        <w:bidi w:val="0"/>
        <w:adjustRightInd w:val="0"/>
        <w:snapToGrid w:val="0"/>
        <w:spacing w:line="600" w:lineRule="exact"/>
        <w:ind w:firstLine="643" w:firstLineChars="200"/>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3、效益指标完成情况分析</w:t>
      </w:r>
    </w:p>
    <w:p w14:paraId="1C42A487">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多措并举，提高参保对象的服务满意度和政策知晓率。推进 药品耗材集采落实落地。紧盯“就近办”需求，实现特门“双通道”乡镇(街道)全覆盖。紧密结合“我为群众办实事”活动，将医保服务最大限度向群众身边延伸。有效衔接乡村振兴。健全 防范化解因病返贫致贫长效机制，医疗救助政策落实率达到 100%,一站式结算实现全覆盖，打造医保服务实践基地，有针对性地开展医保政策宣传、答疑解惑等，满足村民多样化医疗保障需求；全力推进全民参保，应保尽保，高效助力乡村振兴。</w:t>
      </w:r>
    </w:p>
    <w:p w14:paraId="388B389D">
      <w:pPr>
        <w:keepNext w:val="0"/>
        <w:keepLines w:val="0"/>
        <w:pageBreakBefore w:val="0"/>
        <w:widowControl/>
        <w:kinsoku w:val="0"/>
        <w:wordWrap/>
        <w:overflowPunct/>
        <w:topLinePunct w:val="0"/>
        <w:autoSpaceDE w:val="0"/>
        <w:autoSpaceDN w:val="0"/>
        <w:bidi w:val="0"/>
        <w:adjustRightInd w:val="0"/>
        <w:snapToGrid w:val="0"/>
        <w:spacing w:line="600" w:lineRule="exact"/>
        <w:ind w:firstLine="643" w:firstLineChars="200"/>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4、服务对象满意度分析</w:t>
      </w:r>
    </w:p>
    <w:p w14:paraId="5D5F1ECC">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参保对象对工作满意度95%。完善一站式服务平台，提高了群众报账效率、优化报账流程。参保群众对城乡居民医保工作开 展比较满意。现行的城乡居民医保制度更优质、更实际，参保居民的获得感和满意度不断提高。</w:t>
      </w:r>
    </w:p>
    <w:p w14:paraId="2044821C">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黑体" w:hAnsi="黑体" w:eastAsia="黑体" w:cs="黑体"/>
          <w:sz w:val="32"/>
          <w:szCs w:val="32"/>
        </w:rPr>
      </w:pPr>
      <w:r>
        <w:rPr>
          <w:rFonts w:hint="eastAsia" w:ascii="黑体" w:hAnsi="黑体" w:eastAsia="黑体" w:cs="黑体"/>
          <w:sz w:val="32"/>
          <w:szCs w:val="32"/>
        </w:rPr>
        <w:t>四、存在的主要问题及原因分析、下一步改进措施</w:t>
      </w:r>
    </w:p>
    <w:p w14:paraId="166B7924">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(1)存在的问题及困难</w:t>
      </w:r>
    </w:p>
    <w:p w14:paraId="54426C15">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第一，2023年参保人数与上年相比略有减少，筹资标准年年 提高，群众反</w:t>
      </w:r>
      <w:r>
        <w:rPr>
          <w:rFonts w:hint="eastAsia" w:ascii="仿宋_GB2312" w:hAnsi="仿宋_GB2312" w:eastAsia="仿宋_GB2312" w:cs="仿宋_GB2312"/>
          <w:sz w:val="32"/>
          <w:szCs w:val="32"/>
          <w:lang w:eastAsia="zh-CN"/>
        </w:rPr>
        <w:t>映</w:t>
      </w:r>
      <w:r>
        <w:rPr>
          <w:rFonts w:hint="eastAsia" w:ascii="仿宋_GB2312" w:hAnsi="仿宋_GB2312" w:eastAsia="仿宋_GB2312" w:cs="仿宋_GB2312"/>
          <w:sz w:val="32"/>
          <w:szCs w:val="32"/>
        </w:rPr>
        <w:t>负担过重，增加了工作难度，降低了参保率。</w:t>
      </w:r>
    </w:p>
    <w:p w14:paraId="35F3AA69">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第二，基金滚存结余可支付月数高于指标值。</w:t>
      </w:r>
    </w:p>
    <w:p w14:paraId="24ABE1BF">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第三，住院医疗费用增幅大，基金运行压力剧增。医疗机构服务能力相对不足、区内的医疗技术水平有限，以及乡镇卫生院 基本药物制度的实施，许多原本能在区内医疗机构诊</w:t>
      </w:r>
      <w:bookmarkStart w:id="0" w:name="_GoBack"/>
      <w:r>
        <w:rPr>
          <w:rFonts w:hint="eastAsia" w:ascii="仿宋_GB2312" w:hAnsi="仿宋_GB2312" w:eastAsia="仿宋_GB2312" w:cs="仿宋_GB2312"/>
          <w:sz w:val="32"/>
          <w:szCs w:val="32"/>
        </w:rPr>
        <w:t>治</w:t>
      </w:r>
      <w:bookmarkEnd w:id="0"/>
      <w:r>
        <w:rPr>
          <w:rFonts w:hint="eastAsia" w:ascii="仿宋_GB2312" w:hAnsi="仿宋_GB2312" w:eastAsia="仿宋_GB2312" w:cs="仿宋_GB2312"/>
          <w:sz w:val="32"/>
          <w:szCs w:val="32"/>
        </w:rPr>
        <w:t>患者选择到区外就医病源外流，居民医保基金外流。</w:t>
      </w:r>
    </w:p>
    <w:p w14:paraId="4B56E3FB">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(一)下一步改进措施及建议</w:t>
      </w:r>
    </w:p>
    <w:p w14:paraId="3B3D4B3B">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进一步加大宣传力度，提升医保服务水平，做到应保 尽保。</w:t>
      </w:r>
    </w:p>
    <w:p w14:paraId="3FB2778E">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基金监管有待加强。</w:t>
      </w:r>
    </w:p>
    <w:p w14:paraId="5E84439A">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进一步加大定点医疗机构监管力度。建议各级卫健行 政部门要进一步强化对定点医疗机构服务行为的监管，引导医疗 机构合理治疗、合理检查、合理收费，规范医院医疗服务行为。重点是加强对各医院主要负责人的管理和引导，明确医保基金管 理和使用原则，真正明白“政府得民心、卫生得发展、群众得实 惠”的含义。</w:t>
      </w:r>
    </w:p>
    <w:p w14:paraId="00447F0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eastAsia="仿宋_GB2312"/>
          <w:color w:val="000000"/>
          <w:sz w:val="32"/>
          <w:szCs w:val="32"/>
        </w:rPr>
      </w:pPr>
      <w:r>
        <w:rPr>
          <w:rFonts w:hint="eastAsia" w:ascii="黑体" w:hAnsi="黑体" w:eastAsia="黑体" w:cs="黑体"/>
          <w:color w:val="000000"/>
          <w:sz w:val="32"/>
          <w:szCs w:val="32"/>
        </w:rPr>
        <w:t>五、有关建议</w:t>
      </w:r>
    </w:p>
    <w:p w14:paraId="32ABD5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eastAsia="仿宋_GB2312"/>
          <w:color w:val="000000"/>
          <w:sz w:val="32"/>
          <w:szCs w:val="32"/>
        </w:rPr>
      </w:pPr>
      <w:r>
        <w:rPr>
          <w:rFonts w:hint="eastAsia" w:eastAsia="仿宋_GB2312"/>
          <w:color w:val="000000"/>
          <w:sz w:val="32"/>
          <w:szCs w:val="32"/>
        </w:rPr>
        <w:t>无</w:t>
      </w:r>
    </w:p>
    <w:p w14:paraId="390CCC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cs="黑体"/>
          <w:color w:val="000000"/>
          <w:sz w:val="32"/>
          <w:szCs w:val="32"/>
        </w:rPr>
      </w:pPr>
      <w:r>
        <w:rPr>
          <w:rFonts w:hint="eastAsia" w:ascii="黑体" w:hAnsi="黑体" w:eastAsia="黑体" w:cs="黑体"/>
          <w:color w:val="000000"/>
          <w:sz w:val="32"/>
          <w:szCs w:val="32"/>
        </w:rPr>
        <w:t>六、其他需要说明的问题</w:t>
      </w:r>
    </w:p>
    <w:p w14:paraId="32DFECF0">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14:paraId="2BD6A59F">
      <w:pPr>
        <w:keepNext w:val="0"/>
        <w:keepLines w:val="0"/>
        <w:pageBreakBefore w:val="0"/>
        <w:widowControl/>
        <w:kinsoku w:val="0"/>
        <w:wordWrap/>
        <w:overflowPunct/>
        <w:topLinePunct w:val="0"/>
        <w:autoSpaceDE w:val="0"/>
        <w:autoSpaceDN w:val="0"/>
        <w:bidi w:val="0"/>
        <w:adjustRightInd w:val="0"/>
        <w:snapToGrid w:val="0"/>
        <w:spacing w:line="600" w:lineRule="exact"/>
        <w:textAlignment w:val="baseline"/>
        <w:rPr>
          <w:rFonts w:hint="eastAsia" w:ascii="仿宋_GB2312" w:hAnsi="仿宋_GB2312" w:eastAsia="仿宋_GB2312" w:cs="仿宋_GB2312"/>
          <w:sz w:val="32"/>
          <w:szCs w:val="32"/>
        </w:rPr>
      </w:pPr>
    </w:p>
    <w:p w14:paraId="6C2951A1">
      <w:pPr>
        <w:pStyle w:val="2"/>
        <w:rPr>
          <w:rFonts w:hint="eastAsia" w:ascii="仿宋_GB2312" w:hAnsi="仿宋_GB2312" w:cs="仿宋_GB2312"/>
          <w:sz w:val="32"/>
          <w:szCs w:val="32"/>
          <w:lang w:val="en-US" w:eastAsia="zh-CN"/>
        </w:rPr>
      </w:pPr>
      <w:r>
        <w:rPr>
          <w:rFonts w:hint="eastAsia" w:ascii="仿宋_GB2312" w:hAnsi="仿宋_GB2312" w:cs="仿宋_GB2312"/>
          <w:sz w:val="32"/>
          <w:szCs w:val="32"/>
          <w:lang w:val="en-US" w:eastAsia="zh-CN"/>
        </w:rPr>
        <w:t xml:space="preserve">                    益阳市大通湖区医疗保障局</w:t>
      </w:r>
    </w:p>
    <w:p w14:paraId="68D7E3E0">
      <w:pPr>
        <w:pStyle w:val="2"/>
        <w:rPr>
          <w:rFonts w:hint="default" w:ascii="仿宋_GB2312" w:hAnsi="仿宋_GB2312" w:cs="仿宋_GB2312"/>
          <w:sz w:val="32"/>
          <w:szCs w:val="32"/>
          <w:lang w:val="en-US" w:eastAsia="zh-CN"/>
        </w:rPr>
      </w:pPr>
      <w:r>
        <w:rPr>
          <w:rFonts w:hint="eastAsia" w:ascii="仿宋_GB2312" w:hAnsi="仿宋_GB2312" w:cs="仿宋_GB2312"/>
          <w:sz w:val="32"/>
          <w:szCs w:val="32"/>
          <w:lang w:val="en-US" w:eastAsia="zh-CN"/>
        </w:rPr>
        <w:t xml:space="preserve">                         2024年7月31日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大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MzhkMjk5MzU5ODg2MTNkYWY1MThiZTNmNGI4MDYifQ=="/>
  </w:docVars>
  <w:rsids>
    <w:rsidRoot w:val="362F1344"/>
    <w:rsid w:val="07401675"/>
    <w:rsid w:val="28761E51"/>
    <w:rsid w:val="35583387"/>
    <w:rsid w:val="362F1344"/>
    <w:rsid w:val="374D5F48"/>
    <w:rsid w:val="5D1A0310"/>
    <w:rsid w:val="5ECF5B3F"/>
    <w:rsid w:val="75596B26"/>
    <w:rsid w:val="76983DF5"/>
    <w:rsid w:val="773E0B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2"/>
    <w:basedOn w:val="1"/>
    <w:next w:val="1"/>
    <w:unhideWhenUsed/>
    <w:qFormat/>
    <w:uiPriority w:val="0"/>
    <w:pPr>
      <w:widowControl/>
      <w:spacing w:before="100" w:beforeAutospacing="1" w:after="100" w:afterAutospacing="1"/>
      <w:jc w:val="left"/>
      <w:outlineLvl w:val="1"/>
    </w:pPr>
    <w:rPr>
      <w:rFonts w:ascii="宋体" w:hAnsi="宋体" w:cs="宋体"/>
      <w:kern w:val="0"/>
      <w:sz w:val="36"/>
      <w:szCs w:val="36"/>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新正文"/>
    <w:basedOn w:val="1"/>
    <w:qFormat/>
    <w:uiPriority w:val="99"/>
    <w:pPr>
      <w:spacing w:line="610" w:lineRule="exact"/>
      <w:ind w:firstLine="880" w:firstLineChars="200"/>
    </w:pPr>
    <w:rPr>
      <w:rFonts w:eastAsia="仿宋_GB2312"/>
      <w:sz w:val="32"/>
    </w:rPr>
  </w:style>
  <w:style w:type="paragraph" w:styleId="4">
    <w:name w:val="Body Text"/>
    <w:basedOn w:val="1"/>
    <w:semiHidden/>
    <w:qFormat/>
    <w:uiPriority w:val="0"/>
    <w:rPr>
      <w:rFonts w:ascii="仿宋" w:hAnsi="仿宋" w:eastAsia="仿宋" w:cs="仿宋"/>
      <w:sz w:val="33"/>
      <w:szCs w:val="33"/>
      <w:lang w:val="en-US" w:eastAsia="en-US" w:bidi="ar-SA"/>
    </w:rPr>
  </w:style>
  <w:style w:type="paragraph" w:styleId="5">
    <w:name w:val="footer"/>
    <w:basedOn w:val="1"/>
    <w:qFormat/>
    <w:uiPriority w:val="0"/>
    <w:pPr>
      <w:tabs>
        <w:tab w:val="center" w:pos="4153"/>
        <w:tab w:val="right" w:pos="8306"/>
      </w:tabs>
      <w:snapToGrid w:val="0"/>
      <w:jc w:val="left"/>
    </w:pPr>
    <w:rPr>
      <w:sz w:val="18"/>
    </w:rPr>
  </w:style>
  <w:style w:type="character" w:styleId="8">
    <w:name w:val="page number"/>
    <w:basedOn w:val="7"/>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6246</Words>
  <Characters>6596</Characters>
  <Lines>0</Lines>
  <Paragraphs>0</Paragraphs>
  <TotalTime>2</TotalTime>
  <ScaleCrop>false</ScaleCrop>
  <LinksUpToDate>false</LinksUpToDate>
  <CharactersWithSpaces>6689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2024-07-31T09:20:00Z</dcterms:created>
  <dc:creator>Administrator</dc:creator>
  <cp:lastModifiedBy>缱绻·絲</cp:lastModifiedBy>
  <cp:lastPrinted>2024-12-16T13:20:31Z</cp:lastPrinted>
  <dcterms:modified xsi:type="dcterms:W3CDTF">2024-12-16T13:20:37Z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FA5849DE7D8A4CCB87417F674A2BC727</vt:lpwstr>
  </property>
</Properties>
</file>