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C83EF">
      <w:pPr>
        <w:tabs>
          <w:tab w:val="left" w:pos="1502"/>
          <w:tab w:val="left" w:pos="2455"/>
          <w:tab w:val="left" w:pos="5327"/>
        </w:tabs>
        <w:jc w:val="left"/>
        <w:rPr>
          <w:rFonts w:hint="eastAsia" w:hAnsi="黑体" w:eastAsia="黑体"/>
          <w:color w:val="000000"/>
          <w:sz w:val="32"/>
          <w:szCs w:val="32"/>
          <w:lang w:val="en-US" w:eastAsia="zh-CN"/>
        </w:rPr>
      </w:pPr>
      <w:r>
        <w:rPr>
          <w:rFonts w:hAnsi="黑体" w:eastAsia="黑体"/>
          <w:color w:val="000000"/>
          <w:sz w:val="32"/>
          <w:szCs w:val="32"/>
        </w:rPr>
        <w:t>附件</w:t>
      </w:r>
      <w:r>
        <w:rPr>
          <w:rFonts w:hint="eastAsia" w:hAnsi="黑体" w:eastAsia="黑体"/>
          <w:color w:val="000000"/>
          <w:sz w:val="32"/>
          <w:szCs w:val="32"/>
          <w:lang w:val="en-US" w:eastAsia="zh-CN"/>
        </w:rPr>
        <w:t>7</w:t>
      </w:r>
    </w:p>
    <w:p w14:paraId="410EF07B">
      <w:pPr>
        <w:tabs>
          <w:tab w:val="left" w:pos="1502"/>
          <w:tab w:val="left" w:pos="2455"/>
          <w:tab w:val="left" w:pos="5327"/>
        </w:tabs>
        <w:ind w:right="-512" w:rightChars="-244"/>
        <w:jc w:val="center"/>
        <w:rPr>
          <w:rFonts w:hint="eastAsia" w:ascii="方正大标宋简体" w:eastAsia="方正大标宋简体" w:cs="仿宋_GB2312"/>
          <w:color w:val="000000"/>
          <w:sz w:val="44"/>
          <w:szCs w:val="44"/>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23</w:t>
      </w:r>
      <w:r>
        <w:rPr>
          <w:rFonts w:hint="eastAsia" w:ascii="方正大标宋简体" w:eastAsia="方正大标宋简体" w:cs="仿宋_GB2312"/>
          <w:color w:val="000000"/>
          <w:sz w:val="44"/>
          <w:szCs w:val="44"/>
        </w:rPr>
        <w:t>年机关事业单位转移人员职业年金个人账户记实补记项目支出绩效自评指标计分表</w:t>
      </w:r>
    </w:p>
    <w:tbl>
      <w:tblPr>
        <w:tblStyle w:val="4"/>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97"/>
        <w:gridCol w:w="1054"/>
        <w:gridCol w:w="1054"/>
        <w:gridCol w:w="932"/>
        <w:gridCol w:w="3000"/>
        <w:gridCol w:w="3353"/>
        <w:gridCol w:w="355"/>
      </w:tblGrid>
      <w:tr w14:paraId="60C5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blHeader/>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62939827">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一级</w:t>
            </w:r>
          </w:p>
          <w:p w14:paraId="01B2F83B">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428BB503">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二级</w:t>
            </w:r>
          </w:p>
          <w:p w14:paraId="1C0622A9">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6CE0DA77">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三级</w:t>
            </w:r>
          </w:p>
          <w:p w14:paraId="50C210FA">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5967C268">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自评分</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7968F4C1">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具体指标</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203A695E">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评价标准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17E47C2D">
            <w:pPr>
              <w:widowControl/>
              <w:spacing w:line="260" w:lineRule="exact"/>
              <w:jc w:val="center"/>
              <w:rPr>
                <w:rFonts w:hint="eastAsia" w:ascii="宋体" w:hAnsi="宋体" w:cs="仿宋_GB2312"/>
                <w:b/>
                <w:bCs/>
                <w:color w:val="000000"/>
                <w:kern w:val="0"/>
                <w:sz w:val="24"/>
              </w:rPr>
            </w:pPr>
            <w:r>
              <w:rPr>
                <w:rFonts w:hint="eastAsia" w:cs="宋体"/>
                <w:b/>
                <w:color w:val="000000"/>
                <w:kern w:val="0"/>
                <w:sz w:val="24"/>
              </w:rPr>
              <w:t>得分</w:t>
            </w:r>
          </w:p>
        </w:tc>
      </w:tr>
      <w:tr w14:paraId="7CB2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3"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1C096E0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595E824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68FA6D08">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w:t>
            </w:r>
          </w:p>
          <w:p w14:paraId="30DEA05C">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策</w:t>
            </w:r>
          </w:p>
          <w:p w14:paraId="42D96535">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（15分）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14:paraId="3B8B3D47">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14:paraId="2B371C7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过程</w:t>
            </w:r>
          </w:p>
          <w:p w14:paraId="2279EB8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69D51D7">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14:paraId="3CBB1413">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依据</w:t>
            </w:r>
          </w:p>
          <w:p w14:paraId="38582FFD">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29CFAA63">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7FF48DA0">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有关法律法规的明确规定；某一经济社会发展规划；某部门年度工作计划；某一实际问题和需求</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3BA0AF63">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符合法律法规（1分）</w:t>
            </w:r>
          </w:p>
          <w:p w14:paraId="59B1ACAC">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符合经济社会发展规划（1分）</w:t>
            </w:r>
          </w:p>
          <w:p w14:paraId="424513B2">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部门年度工作计划（1分）</w:t>
            </w:r>
          </w:p>
          <w:p w14:paraId="79D71885">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针对某一实际问题和需求（1分）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07091411">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4</w:t>
            </w:r>
          </w:p>
        </w:tc>
      </w:tr>
      <w:tr w14:paraId="6AF3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3FF309E">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7C1EDA4C">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3146A126">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14:paraId="00C8D02F">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程序</w:t>
            </w:r>
          </w:p>
          <w:p w14:paraId="0D4F3BE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21A171">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1A982D86">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项目符合申报条件；申报、批复程序符合相关管理办法；项目调整履行了相应手续</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250B8E75">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符合申报条件（2分）</w:t>
            </w:r>
          </w:p>
          <w:p w14:paraId="6F82D434">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项目申报、批复程序符合管理办法（1分）</w:t>
            </w:r>
          </w:p>
          <w:p w14:paraId="12D8CD77">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项目调整履行了相应手续（1分）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6E1F057E">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4</w:t>
            </w:r>
          </w:p>
        </w:tc>
      </w:tr>
      <w:tr w14:paraId="5B51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4"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DF44479">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14:paraId="7A2280E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43559D7C">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14:paraId="33928393">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p w14:paraId="41CEB840">
            <w:pPr>
              <w:widowControl/>
              <w:spacing w:line="300" w:lineRule="exact"/>
              <w:jc w:val="center"/>
              <w:rPr>
                <w:rFonts w:hint="eastAsia" w:ascii="宋体" w:hAnsi="宋体" w:cs="仿宋_GB2312"/>
                <w:bCs/>
                <w:color w:val="000000"/>
                <w:kern w:val="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FA0487B">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14:paraId="1A550811">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办法</w:t>
            </w:r>
          </w:p>
          <w:p w14:paraId="5106CF31">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718D46C6">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61B522A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根据需要制定的相关资金管理办法；管理办法中有明确资金分配办法；资金分配因素全面、合理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5EDED554">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有相应的资金管理办法（1分）</w:t>
            </w:r>
          </w:p>
          <w:p w14:paraId="65A6531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办法健全、规范（1分）</w:t>
            </w:r>
          </w:p>
          <w:p w14:paraId="46AEDD12">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因素全面合理（1分）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62739F47">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3</w:t>
            </w:r>
          </w:p>
        </w:tc>
      </w:tr>
      <w:tr w14:paraId="1571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4F8D5EC7">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10A474BA">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85D358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14:paraId="38E7691B">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结果</w:t>
            </w:r>
          </w:p>
          <w:p w14:paraId="1F567B7D">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5963E050">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64E93877">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资金分配符合相关管理办法；分配结果公平合理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47997269">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符合分配办法（2分）</w:t>
            </w:r>
          </w:p>
          <w:p w14:paraId="397A8461">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分配公平合理（2分）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314B413E">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4</w:t>
            </w:r>
          </w:p>
        </w:tc>
      </w:tr>
      <w:tr w14:paraId="5287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14:paraId="5477A99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6CD5E3D4">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29DFD1F3">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14:paraId="5011618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14:paraId="5D0E231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xml:space="preserve">（25分） </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14:paraId="46591C6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13D49EEF">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14:paraId="2759EA28">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4A89CE9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到位率</w:t>
            </w:r>
          </w:p>
          <w:p w14:paraId="1EE90114">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35D137">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193DFB6A">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实际到位/计划到位*100%</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3F434F6C">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根据项目资金的实际到位率计算得分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5F134BA2">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3</w:t>
            </w:r>
          </w:p>
        </w:tc>
      </w:tr>
      <w:tr w14:paraId="5EC8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right w:val="single" w:color="auto" w:sz="4" w:space="0"/>
            </w:tcBorders>
            <w:noWrap w:val="0"/>
            <w:vAlign w:val="center"/>
          </w:tcPr>
          <w:p w14:paraId="676D97F4">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5CE89A87">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4054C987">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14:paraId="30A15EE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14:paraId="0A6F621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41D32C3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2DBAD8A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资金及时到位；若未及时到位，是否影响项目进度</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0ED5790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到位及时（2分）</w:t>
            </w:r>
          </w:p>
          <w:p w14:paraId="66A3B9F5">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不及时但未影响项目进度（1分）</w:t>
            </w:r>
          </w:p>
          <w:p w14:paraId="6FD71E31">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不及时并影响项目进度（0.5分）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208E77BB">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2</w:t>
            </w:r>
          </w:p>
        </w:tc>
      </w:tr>
      <w:tr w14:paraId="1E82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right w:val="single" w:color="auto" w:sz="4" w:space="0"/>
            </w:tcBorders>
            <w:noWrap w:val="0"/>
            <w:vAlign w:val="center"/>
          </w:tcPr>
          <w:p w14:paraId="4999F2D1">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14:paraId="19B6AA27">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14655BC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14:paraId="1CF346D4">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CECA32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2CB70AD2">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使用</w:t>
            </w:r>
          </w:p>
          <w:p w14:paraId="6ED7395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743C3A20">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74D6A57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支出依据合规，无虚列项目支出情况；无截留挤占挪用情况；无超标准开支情况；无超预算情况</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642880B6">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虚列套取扣4-7分 </w:t>
            </w:r>
          </w:p>
          <w:p w14:paraId="5D87995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依据不合规扣2分</w:t>
            </w:r>
          </w:p>
          <w:p w14:paraId="1E6FE5B8">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截留、挤占、挪用扣3-6分</w:t>
            </w:r>
          </w:p>
          <w:p w14:paraId="5509BF69">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超标准开支扣2-5分</w:t>
            </w:r>
          </w:p>
          <w:p w14:paraId="13783242">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超预算扣2-5分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6FC91971">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7</w:t>
            </w:r>
          </w:p>
        </w:tc>
      </w:tr>
      <w:tr w14:paraId="1CA1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jc w:val="center"/>
        </w:trPr>
        <w:tc>
          <w:tcPr>
            <w:tcW w:w="797" w:type="dxa"/>
            <w:vMerge w:val="continue"/>
            <w:tcBorders>
              <w:left w:val="single" w:color="auto" w:sz="4" w:space="0"/>
              <w:bottom w:val="single" w:color="auto" w:sz="4" w:space="0"/>
              <w:right w:val="single" w:color="auto" w:sz="4" w:space="0"/>
            </w:tcBorders>
            <w:noWrap w:val="0"/>
            <w:vAlign w:val="center"/>
          </w:tcPr>
          <w:p w14:paraId="6B5BE9F1">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22B87615">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0EA706B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财务</w:t>
            </w:r>
          </w:p>
          <w:p w14:paraId="3FFB288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14:paraId="2B72DD6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21DEBD6A">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4D138FA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资金管理、费用支出等制度健全；制度执行严格；会计核算规范</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40513986">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财务制度健全（1分）</w:t>
            </w:r>
          </w:p>
          <w:p w14:paraId="543002E0">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严格执行制度（1分）</w:t>
            </w:r>
          </w:p>
          <w:p w14:paraId="444BE94D">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会计核算规范（1分）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5556F919">
            <w:pPr>
              <w:widowControl/>
              <w:spacing w:line="300"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3</w:t>
            </w:r>
          </w:p>
        </w:tc>
      </w:tr>
      <w:tr w14:paraId="47FB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14:paraId="672116D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5281F5E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18E3A78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14:paraId="41A009B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14:paraId="5BF40CB1">
            <w:pPr>
              <w:spacing w:line="306" w:lineRule="exact"/>
              <w:rPr>
                <w:rFonts w:hint="eastAsia" w:ascii="宋体" w:hAnsi="宋体" w:cs="仿宋_GB2312"/>
                <w:bCs/>
                <w:color w:val="000000"/>
                <w:sz w:val="24"/>
              </w:rPr>
            </w:pPr>
            <w:r>
              <w:rPr>
                <w:rFonts w:hint="eastAsia" w:ascii="宋体" w:hAnsi="宋体" w:cs="仿宋_GB2312"/>
                <w:bCs/>
                <w:color w:val="000000"/>
                <w:kern w:val="0"/>
                <w:sz w:val="24"/>
              </w:rPr>
              <w:t>（25分）</w:t>
            </w:r>
          </w:p>
        </w:tc>
        <w:tc>
          <w:tcPr>
            <w:tcW w:w="1054" w:type="dxa"/>
            <w:vMerge w:val="restart"/>
            <w:tcBorders>
              <w:top w:val="single" w:color="auto" w:sz="4" w:space="0"/>
              <w:left w:val="single" w:color="auto" w:sz="4" w:space="0"/>
              <w:right w:val="single" w:color="auto" w:sz="4" w:space="0"/>
            </w:tcBorders>
            <w:noWrap w:val="0"/>
            <w:vAlign w:val="center"/>
          </w:tcPr>
          <w:p w14:paraId="137F847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14:paraId="571FAED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14:paraId="3A2733D8">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7B74E3F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14:paraId="7C979EB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机构</w:t>
            </w:r>
          </w:p>
          <w:p w14:paraId="4C7C3478">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772F6DE1">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134104B8">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20D99805">
            <w:pPr>
              <w:widowControl/>
              <w:spacing w:line="306" w:lineRule="exact"/>
              <w:ind w:left="240" w:hanging="240" w:hangingChars="100"/>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  （2分）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30F9C474">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2</w:t>
            </w:r>
          </w:p>
        </w:tc>
      </w:tr>
      <w:tr w14:paraId="7EA1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jc w:val="center"/>
        </w:trPr>
        <w:tc>
          <w:tcPr>
            <w:tcW w:w="797" w:type="dxa"/>
            <w:vMerge w:val="continue"/>
            <w:tcBorders>
              <w:left w:val="single" w:color="auto" w:sz="4" w:space="0"/>
              <w:right w:val="single" w:color="auto" w:sz="4" w:space="0"/>
            </w:tcBorders>
            <w:noWrap w:val="0"/>
            <w:vAlign w:val="center"/>
          </w:tcPr>
          <w:p w14:paraId="62A47C99">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14:paraId="0558EA7F">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36EB347">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14:paraId="34B4A83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14:paraId="6A83452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12A3FAF6">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631AC5E1">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项目按计划开工；按计划进度开展；按计划完工</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7B260D24">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按计划开工（1分）   </w:t>
            </w:r>
          </w:p>
          <w:p w14:paraId="48090B0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按计划开展（1分）   </w:t>
            </w:r>
          </w:p>
          <w:p w14:paraId="69BE6D45">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按计划完工（1分）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784601B4">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3</w:t>
            </w:r>
          </w:p>
        </w:tc>
      </w:tr>
      <w:tr w14:paraId="397C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bottom w:val="single" w:color="auto" w:sz="4" w:space="0"/>
              <w:right w:val="single" w:color="auto" w:sz="4" w:space="0"/>
            </w:tcBorders>
            <w:noWrap w:val="0"/>
            <w:vAlign w:val="center"/>
          </w:tcPr>
          <w:p w14:paraId="35EAB33A">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14:paraId="36BC55F7">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669B16D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14:paraId="2AE0CF8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制度</w:t>
            </w:r>
          </w:p>
          <w:p w14:paraId="45BA5D0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EA5B7A">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49B7366A">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项目管理制度健全；严格执行相关管理制度</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53250BE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管理制度健全（2分）</w:t>
            </w:r>
          </w:p>
          <w:p w14:paraId="7BD90D68">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制度执行严格（3分）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1ECF2118">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5</w:t>
            </w:r>
          </w:p>
        </w:tc>
      </w:tr>
      <w:tr w14:paraId="0295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0A17E422">
            <w:pPr>
              <w:widowControl/>
              <w:spacing w:line="306" w:lineRule="exact"/>
              <w:jc w:val="center"/>
              <w:rPr>
                <w:rFonts w:hint="eastAsia" w:ascii="宋体" w:hAnsi="宋体" w:cs="仿宋_GB2312"/>
                <w:bCs/>
                <w:color w:val="000000"/>
                <w:kern w:val="0"/>
                <w:sz w:val="24"/>
              </w:rPr>
            </w:pPr>
          </w:p>
          <w:p w14:paraId="5BC7D2A9">
            <w:pPr>
              <w:widowControl/>
              <w:spacing w:line="306" w:lineRule="exact"/>
              <w:jc w:val="center"/>
              <w:rPr>
                <w:rFonts w:hint="eastAsia" w:ascii="宋体" w:hAnsi="宋体" w:cs="仿宋_GB2312"/>
                <w:bCs/>
                <w:color w:val="000000"/>
                <w:kern w:val="0"/>
                <w:sz w:val="24"/>
              </w:rPr>
            </w:pPr>
          </w:p>
          <w:p w14:paraId="3D2621DE">
            <w:pPr>
              <w:widowControl/>
              <w:spacing w:line="306" w:lineRule="exact"/>
              <w:jc w:val="center"/>
              <w:rPr>
                <w:rFonts w:hint="eastAsia" w:ascii="宋体" w:hAnsi="宋体" w:cs="仿宋_GB2312"/>
                <w:bCs/>
                <w:color w:val="000000"/>
                <w:kern w:val="0"/>
                <w:sz w:val="24"/>
              </w:rPr>
            </w:pPr>
          </w:p>
          <w:p w14:paraId="727B73A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71EE09F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73B5F755">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绩</w:t>
            </w:r>
          </w:p>
          <w:p w14:paraId="4DCFDCC5">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w:t>
            </w:r>
          </w:p>
          <w:p w14:paraId="0130BE08">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（60分）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14:paraId="743135B3">
            <w:pPr>
              <w:widowControl/>
              <w:spacing w:line="306" w:lineRule="exact"/>
              <w:jc w:val="center"/>
              <w:rPr>
                <w:rFonts w:hint="eastAsia" w:ascii="宋体" w:hAnsi="宋体" w:cs="仿宋_GB2312"/>
                <w:bCs/>
                <w:color w:val="000000"/>
                <w:kern w:val="0"/>
                <w:sz w:val="24"/>
              </w:rPr>
            </w:pPr>
          </w:p>
          <w:p w14:paraId="4AFD04A9">
            <w:pPr>
              <w:widowControl/>
              <w:spacing w:line="306" w:lineRule="exact"/>
              <w:jc w:val="center"/>
              <w:rPr>
                <w:rFonts w:hint="eastAsia" w:ascii="宋体" w:hAnsi="宋体" w:cs="仿宋_GB2312"/>
                <w:bCs/>
                <w:color w:val="000000"/>
                <w:kern w:val="0"/>
                <w:sz w:val="24"/>
              </w:rPr>
            </w:pPr>
          </w:p>
          <w:p w14:paraId="2A326F8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14:paraId="0A3B79C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7BDF0B65">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（20分）</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44E2781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5472E60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数量</w:t>
            </w:r>
          </w:p>
          <w:p w14:paraId="6CCB98D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58852481">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07F11A2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根据该项目实际，标识具体明确的产出数量</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647A3E6B">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对照绩效目标，按实际产出数量率计算得分（5分）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25926C5C">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5</w:t>
            </w:r>
          </w:p>
        </w:tc>
      </w:tr>
      <w:tr w14:paraId="14B4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195AE5BE">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2E4FAEF3">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C5680F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19268F8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质量</w:t>
            </w:r>
          </w:p>
          <w:p w14:paraId="359CEA5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460C2CB1">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503A03C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根据该项目实际，标识具体明确的产出质量</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5C806099">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对照绩效目标，按实际产出质量率计算得分（5分）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3DEFD91B">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5</w:t>
            </w:r>
          </w:p>
        </w:tc>
      </w:tr>
      <w:tr w14:paraId="53DA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6F551975">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0C9A49E8">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B63CAE7">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313EAC6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14:paraId="3F704BD3">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4602F287">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0BE06483">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根据该项目实际，标识具体明确的产出时效</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08E51A6F">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对照绩效目标，按实际产出时效率计算得分（5分）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56717C80">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5</w:t>
            </w:r>
          </w:p>
        </w:tc>
      </w:tr>
      <w:tr w14:paraId="4AD7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ADE3034">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41770E55">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057C01B6">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71BB3FE2">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成本</w:t>
            </w:r>
          </w:p>
          <w:p w14:paraId="318A3A77">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2CCFB44E">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5176854D">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根据该项目实际，标识具体明确的产出成本</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3FE468A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对照绩效目标，按实际产出成本率计算得分（5分）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1AA16913">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5</w:t>
            </w:r>
          </w:p>
        </w:tc>
      </w:tr>
      <w:tr w14:paraId="07B3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2BF30FF4">
            <w:pPr>
              <w:spacing w:line="306"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14:paraId="2B6A9119">
            <w:pPr>
              <w:widowControl/>
              <w:spacing w:line="306" w:lineRule="exact"/>
              <w:rPr>
                <w:rFonts w:hint="eastAsia" w:ascii="宋体" w:hAnsi="宋体" w:cs="仿宋_GB2312"/>
                <w:bCs/>
                <w:color w:val="000000"/>
                <w:kern w:val="0"/>
                <w:sz w:val="24"/>
              </w:rPr>
            </w:pPr>
          </w:p>
          <w:p w14:paraId="5860401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14:paraId="0C4A8496">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效果</w:t>
            </w:r>
          </w:p>
          <w:p w14:paraId="376A2B6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（40分）</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7A54AF9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经济</w:t>
            </w:r>
          </w:p>
          <w:p w14:paraId="365E6869">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14:paraId="183F70C9">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6F50ADD4">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650E0A66">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根据项目实际，标识所产生的直接或间接的经济效益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47CBF876">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对照绩效目标，按经济效益实现程度计算得分（8分）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47C8F75F">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8</w:t>
            </w:r>
          </w:p>
        </w:tc>
      </w:tr>
      <w:tr w14:paraId="7764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127DC46">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12D3AFBB">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5B0695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社会</w:t>
            </w:r>
          </w:p>
          <w:p w14:paraId="0FC97DF6">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14:paraId="76F903F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DC4D72">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326CAFA8">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根据项目实际，标识所产生的社会效益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042BD2E8">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对照绩效目标，按社会效益实现程度计算得分（8分）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0B3DEEA5">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8</w:t>
            </w:r>
          </w:p>
        </w:tc>
      </w:tr>
      <w:tr w14:paraId="26DD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400C179">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676D9C48">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0DF98C4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环境</w:t>
            </w:r>
          </w:p>
          <w:p w14:paraId="6FE5DB57">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14:paraId="7413AE06">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770D2FBB">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0B491CDB">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根据项目实际，标识对环境所产生的积极或消极影响</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32171209">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对照绩效目标，按对环境所产生的实际影响程度计算得分（8分）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0777E6DA">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8</w:t>
            </w:r>
          </w:p>
        </w:tc>
      </w:tr>
      <w:tr w14:paraId="1344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1FAD62B4">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39C4B5F3">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637CDB2A">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可持续影响</w:t>
            </w:r>
          </w:p>
          <w:p w14:paraId="79C6BF89">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3E872011">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22DFD9F5">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项目产出能持续运用；项目运行所依赖的政策制度能持续执行</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1E618A86">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项目产出能持续运用（4分）</w:t>
            </w:r>
          </w:p>
          <w:p w14:paraId="014B88D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所依赖的政策制度能持续执行（4分）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2AB6B787">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8</w:t>
            </w:r>
          </w:p>
        </w:tc>
      </w:tr>
      <w:tr w14:paraId="5859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3382927">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14:paraId="170F0D46">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14:paraId="2B479A3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服务</w:t>
            </w:r>
          </w:p>
          <w:p w14:paraId="4A8E7B5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对象</w:t>
            </w:r>
          </w:p>
          <w:p w14:paraId="29EA8F28">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满意度</w:t>
            </w:r>
          </w:p>
          <w:p w14:paraId="49330B5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14:paraId="465C6CCB">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0CB9C7C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项目预期服务对象对项目实施的满意程度</w:t>
            </w:r>
          </w:p>
        </w:tc>
        <w:tc>
          <w:tcPr>
            <w:tcW w:w="3353" w:type="dxa"/>
            <w:tcBorders>
              <w:top w:val="single" w:color="auto" w:sz="4" w:space="0"/>
              <w:left w:val="single" w:color="auto" w:sz="4" w:space="0"/>
              <w:bottom w:val="single" w:color="auto" w:sz="4" w:space="0"/>
              <w:right w:val="single" w:color="auto" w:sz="4" w:space="0"/>
            </w:tcBorders>
            <w:noWrap w:val="0"/>
            <w:vAlign w:val="center"/>
          </w:tcPr>
          <w:p w14:paraId="330D62D7">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按收集到的项目服务对象的满意率计算得分（8分）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14:paraId="2CC33BB1">
            <w:pPr>
              <w:widowControl/>
              <w:spacing w:line="306" w:lineRule="exact"/>
              <w:jc w:val="center"/>
              <w:rPr>
                <w:rFonts w:hint="eastAsia" w:ascii="宋体" w:hAnsi="宋体" w:eastAsia="宋体" w:cs="仿宋_GB2312"/>
                <w:bCs/>
                <w:color w:val="000000"/>
                <w:kern w:val="0"/>
                <w:sz w:val="24"/>
                <w:szCs w:val="24"/>
                <w:lang w:val="en-US" w:eastAsia="zh-CN" w:bidi="ar-SA"/>
              </w:rPr>
            </w:pPr>
            <w:r>
              <w:rPr>
                <w:rFonts w:hint="eastAsia" w:ascii="宋体" w:hAnsi="宋体" w:cs="仿宋_GB2312"/>
                <w:bCs/>
                <w:color w:val="000000"/>
                <w:kern w:val="0"/>
                <w:sz w:val="24"/>
                <w:lang w:val="en-US" w:eastAsia="zh-CN"/>
              </w:rPr>
              <w:t>8</w:t>
            </w:r>
          </w:p>
        </w:tc>
      </w:tr>
      <w:tr w14:paraId="70E0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2905" w:type="dxa"/>
            <w:gridSpan w:val="3"/>
            <w:tcBorders>
              <w:top w:val="single" w:color="auto" w:sz="4" w:space="0"/>
              <w:left w:val="single" w:color="auto" w:sz="4" w:space="0"/>
              <w:bottom w:val="single" w:color="auto" w:sz="4" w:space="0"/>
              <w:right w:val="single" w:color="auto" w:sz="4" w:space="0"/>
            </w:tcBorders>
            <w:noWrap w:val="0"/>
            <w:vAlign w:val="center"/>
          </w:tcPr>
          <w:p w14:paraId="66291E79">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总分</w:t>
            </w:r>
          </w:p>
        </w:tc>
        <w:tc>
          <w:tcPr>
            <w:tcW w:w="7640" w:type="dxa"/>
            <w:gridSpan w:val="4"/>
            <w:tcBorders>
              <w:top w:val="single" w:color="auto" w:sz="4" w:space="0"/>
              <w:left w:val="single" w:color="auto" w:sz="4" w:space="0"/>
              <w:bottom w:val="single" w:color="auto" w:sz="4" w:space="0"/>
              <w:right w:val="single" w:color="auto" w:sz="4" w:space="0"/>
            </w:tcBorders>
            <w:noWrap w:val="0"/>
            <w:vAlign w:val="center"/>
          </w:tcPr>
          <w:p w14:paraId="378B43B6">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w:t>
            </w:r>
          </w:p>
          <w:p w14:paraId="3BF087A0">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lang w:val="en-US" w:eastAsia="zh-CN"/>
              </w:rPr>
              <w:t>100分</w:t>
            </w:r>
            <w:r>
              <w:rPr>
                <w:rFonts w:hint="eastAsia" w:ascii="宋体" w:hAnsi="宋体" w:cs="仿宋_GB2312"/>
                <w:bCs/>
                <w:color w:val="000000"/>
                <w:kern w:val="0"/>
                <w:sz w:val="24"/>
              </w:rPr>
              <w:t>　</w:t>
            </w:r>
          </w:p>
        </w:tc>
      </w:tr>
    </w:tbl>
    <w:p w14:paraId="4AB4FFC8">
      <w:pPr>
        <w:jc w:val="both"/>
        <w:rPr>
          <w:rFonts w:hint="eastAsia" w:ascii="方正大标宋简体" w:hAnsi="Times New Roman" w:eastAsia="方正大标宋简体" w:cs="仿宋_GB2312"/>
          <w:color w:val="000000"/>
          <w:sz w:val="44"/>
          <w:szCs w:val="44"/>
          <w:lang w:val="en-US" w:eastAsia="zh-CN"/>
        </w:rPr>
      </w:pPr>
    </w:p>
    <w:p w14:paraId="05CCEFB8">
      <w:pPr>
        <w:spacing w:line="592" w:lineRule="exact"/>
        <w:rPr>
          <w:rFonts w:hint="eastAsia" w:ascii="方正大标宋简体" w:hAnsi="Times New Roman" w:eastAsia="方正大标宋简体" w:cs="仿宋_GB2312"/>
          <w:color w:val="000000"/>
          <w:sz w:val="44"/>
          <w:szCs w:val="44"/>
          <w:lang w:val="en-US" w:eastAsia="zh-CN"/>
        </w:rPr>
      </w:pPr>
      <w:r>
        <w:rPr>
          <w:rFonts w:eastAsia="黑体"/>
          <w:color w:val="000000"/>
          <w:sz w:val="32"/>
          <w:szCs w:val="32"/>
        </w:rPr>
        <w:t>附件</w:t>
      </w:r>
      <w:r>
        <w:rPr>
          <w:rFonts w:hint="eastAsia" w:eastAsia="黑体"/>
          <w:color w:val="000000"/>
          <w:sz w:val="32"/>
          <w:szCs w:val="32"/>
          <w:lang w:val="en-US" w:eastAsia="zh-CN"/>
        </w:rPr>
        <w:t>8</w:t>
      </w:r>
    </w:p>
    <w:p w14:paraId="59164145">
      <w:pPr>
        <w:jc w:val="center"/>
        <w:rPr>
          <w:rFonts w:hint="eastAsia" w:ascii="方正大标宋简体" w:hAnsi="Times New Roman" w:eastAsia="方正大标宋简体" w:cs="仿宋_GB2312"/>
          <w:color w:val="000000"/>
          <w:sz w:val="44"/>
          <w:szCs w:val="44"/>
        </w:rPr>
      </w:pPr>
      <w:r>
        <w:rPr>
          <w:rFonts w:hint="eastAsia" w:ascii="方正大标宋简体" w:hAnsi="Times New Roman" w:eastAsia="方正大标宋简体" w:cs="仿宋_GB2312"/>
          <w:color w:val="000000"/>
          <w:sz w:val="44"/>
          <w:szCs w:val="44"/>
          <w:lang w:val="en-US" w:eastAsia="zh-CN"/>
        </w:rPr>
        <w:t>2023年机关事业单位转移人员职业年金个人账户记实补记项目</w:t>
      </w:r>
      <w:r>
        <w:rPr>
          <w:rFonts w:hint="eastAsia" w:ascii="方正大标宋简体" w:hAnsi="Times New Roman" w:eastAsia="方正大标宋简体" w:cs="仿宋_GB2312"/>
          <w:color w:val="000000"/>
          <w:sz w:val="44"/>
          <w:szCs w:val="44"/>
        </w:rPr>
        <w:t>支出绩效评价报告</w:t>
      </w:r>
    </w:p>
    <w:p w14:paraId="4570B2DE">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一、项目基本情况</w:t>
      </w:r>
    </w:p>
    <w:p w14:paraId="21DC009D">
      <w:pPr>
        <w:spacing w:line="592"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（一）项目概况</w:t>
      </w:r>
      <w:r>
        <w:rPr>
          <w:rFonts w:hint="eastAsia" w:ascii="仿宋_GB2312" w:hAnsi="仿宋_GB2312" w:eastAsia="仿宋_GB2312" w:cs="仿宋_GB2312"/>
          <w:color w:val="000000"/>
          <w:sz w:val="32"/>
          <w:szCs w:val="32"/>
          <w:lang w:eastAsia="zh-CN"/>
        </w:rPr>
        <w:t>。</w:t>
      </w:r>
    </w:p>
    <w:p w14:paraId="2B3B2DB8">
      <w:pPr>
        <w:spacing w:line="592" w:lineRule="exact"/>
        <w:ind w:firstLine="640" w:firstLineChars="200"/>
        <w:rPr>
          <w:rFonts w:hint="eastAsia"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全区机关事业养老保险当年退休99人，当年转出12人，人均职业年金</w:t>
      </w:r>
      <w:r>
        <w:rPr>
          <w:rFonts w:hint="eastAsia" w:ascii="仿宋_GB2312" w:hAnsi="仿宋_GB2312" w:eastAsia="仿宋_GB2312" w:cs="仿宋_GB2312"/>
          <w:color w:val="000000"/>
          <w:sz w:val="32"/>
          <w:szCs w:val="32"/>
          <w:lang w:val="en-US" w:eastAsia="zh-CN"/>
        </w:rPr>
        <w:t>记实4.2万元。</w:t>
      </w:r>
    </w:p>
    <w:p w14:paraId="0379C13B">
      <w:pPr>
        <w:numPr>
          <w:ilvl w:val="0"/>
          <w:numId w:val="1"/>
        </w:numPr>
        <w:spacing w:line="592"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项目</w:t>
      </w:r>
      <w:r>
        <w:rPr>
          <w:rFonts w:hint="eastAsia" w:ascii="仿宋_GB2312" w:hAnsi="仿宋_GB2312" w:eastAsia="仿宋_GB2312" w:cs="仿宋_GB2312"/>
          <w:color w:val="000000"/>
          <w:sz w:val="32"/>
          <w:szCs w:val="32"/>
          <w:lang w:eastAsia="zh-CN"/>
        </w:rPr>
        <w:t>绩效目标</w:t>
      </w:r>
      <w:r>
        <w:rPr>
          <w:rFonts w:hint="eastAsia" w:ascii="仿宋_GB2312" w:hAnsi="仿宋_GB2312" w:eastAsia="仿宋_GB2312" w:cs="仿宋_GB2312"/>
          <w:color w:val="000000"/>
          <w:sz w:val="32"/>
          <w:szCs w:val="32"/>
        </w:rPr>
        <w:t>设定及指标完成情况</w:t>
      </w:r>
      <w:r>
        <w:rPr>
          <w:rFonts w:hint="eastAsia" w:ascii="仿宋_GB2312" w:hAnsi="仿宋_GB2312" w:eastAsia="仿宋_GB2312" w:cs="仿宋_GB2312"/>
          <w:color w:val="000000"/>
          <w:sz w:val="32"/>
          <w:szCs w:val="32"/>
          <w:lang w:eastAsia="zh-CN"/>
        </w:rPr>
        <w:t>。</w:t>
      </w:r>
    </w:p>
    <w:p w14:paraId="3345D703">
      <w:pPr>
        <w:numPr>
          <w:ilvl w:val="0"/>
          <w:numId w:val="0"/>
        </w:numPr>
        <w:spacing w:line="592"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对机关事业异动人员单位部分职业年金</w:t>
      </w:r>
      <w:bookmarkStart w:id="0" w:name="_GoBack"/>
      <w:r>
        <w:rPr>
          <w:rFonts w:hint="eastAsia" w:ascii="仿宋_GB2312" w:hAnsi="仿宋_GB2312" w:eastAsia="仿宋_GB2312" w:cs="仿宋_GB2312"/>
          <w:color w:val="000000"/>
          <w:sz w:val="32"/>
          <w:szCs w:val="32"/>
          <w:lang w:val="en-US" w:eastAsia="zh-CN"/>
        </w:rPr>
        <w:t>记实</w:t>
      </w:r>
      <w:bookmarkEnd w:id="0"/>
      <w:r>
        <w:rPr>
          <w:rFonts w:hint="eastAsia" w:ascii="仿宋_GB2312" w:hAnsi="仿宋_GB2312" w:eastAsia="仿宋_GB2312" w:cs="仿宋_GB2312"/>
          <w:color w:val="000000"/>
          <w:sz w:val="32"/>
          <w:szCs w:val="32"/>
          <w:lang w:val="en-US" w:eastAsia="zh-CN"/>
        </w:rPr>
        <w:t>。</w:t>
      </w:r>
    </w:p>
    <w:p w14:paraId="6E23D175">
      <w:pPr>
        <w:spacing w:line="592"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完成对机关事业异动人员单位部分职业年金记实100%。</w:t>
      </w:r>
    </w:p>
    <w:p w14:paraId="0761C539">
      <w:pPr>
        <w:numPr>
          <w:ilvl w:val="0"/>
          <w:numId w:val="1"/>
        </w:numPr>
        <w:spacing w:line="592" w:lineRule="exact"/>
        <w:ind w:left="0" w:leftChars="0"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项目实施情况分析，主要包括项目资金到位、资金使用、资金管理、项目组织和项目管理情况分析。</w:t>
      </w:r>
    </w:p>
    <w:p w14:paraId="403C1975">
      <w:pPr>
        <w:numPr>
          <w:ilvl w:val="0"/>
          <w:numId w:val="0"/>
        </w:numPr>
        <w:spacing w:line="592" w:lineRule="exact"/>
        <w:ind w:leftChars="0" w:firstLine="640"/>
        <w:jc w:val="left"/>
        <w:rPr>
          <w:rFonts w:hint="eastAsia"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rPr>
        <w:t>截至20</w:t>
      </w:r>
      <w:r>
        <w:rPr>
          <w:rFonts w:hint="eastAsia" w:ascii="仿宋_GB2312" w:hAnsi="仿宋_GB2312" w:eastAsia="仿宋_GB2312" w:cs="仿宋_GB2312"/>
          <w:i w:val="0"/>
          <w:iCs w:val="0"/>
          <w:caps w:val="0"/>
          <w:color w:val="333333"/>
          <w:spacing w:val="0"/>
          <w:sz w:val="32"/>
          <w:szCs w:val="32"/>
          <w:shd w:val="clear" w:color="auto" w:fill="FFFFFF"/>
          <w:lang w:val="en-US" w:eastAsia="zh-CN"/>
        </w:rPr>
        <w:t>23</w:t>
      </w:r>
      <w:r>
        <w:rPr>
          <w:rFonts w:hint="eastAsia" w:ascii="仿宋_GB2312" w:hAnsi="仿宋_GB2312" w:eastAsia="仿宋_GB2312" w:cs="仿宋_GB2312"/>
          <w:i w:val="0"/>
          <w:iCs w:val="0"/>
          <w:caps w:val="0"/>
          <w:color w:val="333333"/>
          <w:spacing w:val="0"/>
          <w:sz w:val="32"/>
          <w:szCs w:val="32"/>
          <w:shd w:val="clear" w:color="auto" w:fill="FFFFFF"/>
        </w:rPr>
        <w:t>年12月31日，</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全区机关事业异动人员111人，当年已记实466万元，财政拨付职业年金记实资金580万元。记实率100%。</w:t>
      </w:r>
    </w:p>
    <w:p w14:paraId="5A20504A">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二、绩效评价工作情况</w:t>
      </w:r>
    </w:p>
    <w:p w14:paraId="55ACC3F1">
      <w:pPr>
        <w:spacing w:line="592"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（一）绩效评价目的。</w:t>
      </w:r>
    </w:p>
    <w:p w14:paraId="12034517">
      <w:pPr>
        <w:spacing w:line="592"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根据项目绩效目标，对该项目从立项开始直到项目实施完成，实行全过程的监管，特别是对专项资金使用情况，进行全面分析和综合评价，切实提高财政资金使用效率和项目管理水平，为以后年度财政资金预算安排提供重要参考依据。</w:t>
      </w:r>
    </w:p>
    <w:p w14:paraId="70C8F79E">
      <w:pPr>
        <w:numPr>
          <w:ilvl w:val="0"/>
          <w:numId w:val="2"/>
        </w:numPr>
        <w:spacing w:line="592"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绩效评价工作过程，主要包括前期准备、组织实施和分析评价等内容。</w:t>
      </w:r>
    </w:p>
    <w:p w14:paraId="5BF33E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1</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前期准备：下达考核</w:t>
      </w:r>
      <w:r>
        <w:rPr>
          <w:rFonts w:hint="eastAsia" w:ascii="仿宋_GB2312" w:hAnsi="仿宋_GB2312" w:eastAsia="仿宋_GB2312" w:cs="仿宋_GB2312"/>
          <w:i w:val="0"/>
          <w:iCs w:val="0"/>
          <w:caps w:val="0"/>
          <w:color w:val="333333"/>
          <w:spacing w:val="0"/>
          <w:sz w:val="32"/>
          <w:szCs w:val="32"/>
          <w:shd w:val="clear" w:color="auto" w:fill="FFFFFF"/>
          <w:lang w:val="en-US" w:eastAsia="zh-CN"/>
        </w:rPr>
        <w:t>任务</w:t>
      </w:r>
      <w:r>
        <w:rPr>
          <w:rFonts w:hint="eastAsia" w:ascii="仿宋_GB2312" w:hAnsi="仿宋_GB2312" w:eastAsia="仿宋_GB2312" w:cs="仿宋_GB2312"/>
          <w:i w:val="0"/>
          <w:iCs w:val="0"/>
          <w:caps w:val="0"/>
          <w:color w:val="333333"/>
          <w:spacing w:val="0"/>
          <w:sz w:val="32"/>
          <w:szCs w:val="32"/>
          <w:shd w:val="clear" w:color="auto" w:fill="FFFFFF"/>
        </w:rPr>
        <w:t>，分解目标责任。</w:t>
      </w:r>
    </w:p>
    <w:p w14:paraId="03B06F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2" w:lineRule="atLeast"/>
        <w:ind w:right="0" w:firstLine="640" w:firstLineChars="20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2</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组织实施：加大政策宣传力度，抓好城乡居民</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养老</w:t>
      </w:r>
      <w:r>
        <w:rPr>
          <w:rFonts w:hint="eastAsia" w:ascii="仿宋_GB2312" w:hAnsi="仿宋_GB2312" w:eastAsia="仿宋_GB2312" w:cs="仿宋_GB2312"/>
          <w:i w:val="0"/>
          <w:iCs w:val="0"/>
          <w:caps w:val="0"/>
          <w:color w:val="333333"/>
          <w:spacing w:val="0"/>
          <w:sz w:val="32"/>
          <w:szCs w:val="32"/>
          <w:shd w:val="clear" w:color="auto" w:fill="FFFFFF"/>
        </w:rPr>
        <w:t>保险</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征缴及发放</w:t>
      </w:r>
      <w:r>
        <w:rPr>
          <w:rFonts w:hint="eastAsia" w:ascii="仿宋_GB2312" w:hAnsi="仿宋_GB2312" w:eastAsia="仿宋_GB2312" w:cs="仿宋_GB2312"/>
          <w:i w:val="0"/>
          <w:iCs w:val="0"/>
          <w:caps w:val="0"/>
          <w:color w:val="333333"/>
          <w:spacing w:val="0"/>
          <w:sz w:val="32"/>
          <w:szCs w:val="32"/>
          <w:shd w:val="clear" w:color="auto" w:fill="FFFFFF"/>
        </w:rPr>
        <w:t>工作；做好基金测算，</w:t>
      </w:r>
      <w:r>
        <w:rPr>
          <w:rFonts w:hint="eastAsia" w:ascii="仿宋_GB2312" w:hAnsi="仿宋_GB2312" w:eastAsia="仿宋_GB2312" w:cs="仿宋_GB2312"/>
          <w:i w:val="0"/>
          <w:iCs w:val="0"/>
          <w:caps w:val="0"/>
          <w:color w:val="333333"/>
          <w:spacing w:val="0"/>
          <w:sz w:val="32"/>
          <w:szCs w:val="32"/>
          <w:shd w:val="clear" w:color="auto" w:fill="FFFFFF"/>
          <w:lang w:val="en-US" w:eastAsia="zh-CN"/>
        </w:rPr>
        <w:t>严格落实</w:t>
      </w:r>
      <w:r>
        <w:rPr>
          <w:rFonts w:hint="eastAsia" w:ascii="仿宋_GB2312" w:hAnsi="仿宋_GB2312" w:eastAsia="仿宋_GB2312" w:cs="仿宋_GB2312"/>
          <w:i w:val="0"/>
          <w:iCs w:val="0"/>
          <w:caps w:val="0"/>
          <w:color w:val="333333"/>
          <w:spacing w:val="0"/>
          <w:sz w:val="32"/>
          <w:szCs w:val="32"/>
          <w:shd w:val="clear" w:color="auto" w:fill="FFFFFF"/>
        </w:rPr>
        <w:t>城乡居民</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养老</w:t>
      </w:r>
      <w:r>
        <w:rPr>
          <w:rFonts w:hint="eastAsia" w:ascii="仿宋_GB2312" w:hAnsi="仿宋_GB2312" w:eastAsia="仿宋_GB2312" w:cs="仿宋_GB2312"/>
          <w:i w:val="0"/>
          <w:iCs w:val="0"/>
          <w:caps w:val="0"/>
          <w:color w:val="333333"/>
          <w:spacing w:val="0"/>
          <w:sz w:val="32"/>
          <w:szCs w:val="32"/>
          <w:shd w:val="clear" w:color="auto" w:fill="FFFFFF"/>
        </w:rPr>
        <w:t>保险</w:t>
      </w:r>
      <w:r>
        <w:rPr>
          <w:rFonts w:hint="eastAsia" w:ascii="仿宋_GB2312" w:hAnsi="仿宋_GB2312" w:eastAsia="仿宋_GB2312" w:cs="仿宋_GB2312"/>
          <w:i w:val="0"/>
          <w:iCs w:val="0"/>
          <w:caps w:val="0"/>
          <w:color w:val="333333"/>
          <w:spacing w:val="0"/>
          <w:sz w:val="32"/>
          <w:szCs w:val="32"/>
          <w:shd w:val="clear" w:color="auto" w:fill="FFFFFF"/>
          <w:lang w:val="en-US" w:eastAsia="zh-CN"/>
        </w:rPr>
        <w:t>补贴政策</w:t>
      </w:r>
      <w:r>
        <w:rPr>
          <w:rFonts w:hint="eastAsia" w:ascii="仿宋_GB2312" w:hAnsi="仿宋_GB2312" w:eastAsia="仿宋_GB2312" w:cs="仿宋_GB2312"/>
          <w:i w:val="0"/>
          <w:iCs w:val="0"/>
          <w:caps w:val="0"/>
          <w:color w:val="333333"/>
          <w:spacing w:val="0"/>
          <w:sz w:val="32"/>
          <w:szCs w:val="32"/>
          <w:shd w:val="clear" w:color="auto" w:fill="FFFFFF"/>
        </w:rPr>
        <w:t>，加大城乡居民</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养老</w:t>
      </w:r>
      <w:r>
        <w:rPr>
          <w:rFonts w:hint="eastAsia" w:ascii="仿宋_GB2312" w:hAnsi="仿宋_GB2312" w:eastAsia="仿宋_GB2312" w:cs="仿宋_GB2312"/>
          <w:i w:val="0"/>
          <w:iCs w:val="0"/>
          <w:caps w:val="0"/>
          <w:color w:val="333333"/>
          <w:spacing w:val="0"/>
          <w:sz w:val="32"/>
          <w:szCs w:val="32"/>
          <w:shd w:val="clear" w:color="auto" w:fill="FFFFFF"/>
        </w:rPr>
        <w:t>保险</w:t>
      </w:r>
      <w:r>
        <w:rPr>
          <w:rFonts w:hint="eastAsia" w:ascii="仿宋_GB2312" w:hAnsi="仿宋_GB2312" w:eastAsia="仿宋_GB2312" w:cs="仿宋_GB2312"/>
          <w:i w:val="0"/>
          <w:iCs w:val="0"/>
          <w:caps w:val="0"/>
          <w:color w:val="333333"/>
          <w:spacing w:val="0"/>
          <w:sz w:val="32"/>
          <w:szCs w:val="32"/>
          <w:shd w:val="clear" w:color="auto" w:fill="FFFFFF"/>
          <w:lang w:val="en-US" w:eastAsia="zh-CN"/>
        </w:rPr>
        <w:t>和机关事业单位退休人员的生存认证力度，</w:t>
      </w:r>
      <w:r>
        <w:rPr>
          <w:rFonts w:hint="eastAsia" w:ascii="仿宋_GB2312" w:hAnsi="仿宋_GB2312" w:eastAsia="仿宋_GB2312" w:cs="仿宋_GB2312"/>
          <w:i w:val="0"/>
          <w:iCs w:val="0"/>
          <w:caps w:val="0"/>
          <w:color w:val="333333"/>
          <w:spacing w:val="0"/>
          <w:sz w:val="32"/>
          <w:szCs w:val="32"/>
          <w:shd w:val="clear" w:color="auto" w:fill="FFFFFF"/>
        </w:rPr>
        <w:t>确保基金安全</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lang w:val="en-US" w:eastAsia="zh-CN"/>
        </w:rPr>
        <w:t>使</w:t>
      </w:r>
      <w:r>
        <w:rPr>
          <w:rFonts w:hint="eastAsia" w:ascii="仿宋_GB2312" w:hAnsi="仿宋_GB2312" w:eastAsia="仿宋_GB2312" w:cs="仿宋_GB2312"/>
          <w:i w:val="0"/>
          <w:iCs w:val="0"/>
          <w:caps w:val="0"/>
          <w:color w:val="333333"/>
          <w:spacing w:val="0"/>
          <w:sz w:val="32"/>
          <w:szCs w:val="32"/>
          <w:shd w:val="clear" w:color="auto" w:fill="FFFFFF"/>
        </w:rPr>
        <w:t>参保居民受益。</w:t>
      </w:r>
    </w:p>
    <w:p w14:paraId="561A10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right="0"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3</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分析评价：</w:t>
      </w:r>
      <w:r>
        <w:rPr>
          <w:rFonts w:hint="eastAsia" w:ascii="仿宋_GB2312" w:hAnsi="仿宋_GB2312" w:eastAsia="仿宋_GB2312" w:cs="仿宋_GB2312"/>
          <w:color w:val="000000"/>
          <w:sz w:val="32"/>
          <w:szCs w:val="32"/>
        </w:rPr>
        <w:t>从各方面采集基础数据，收集与项目有关资料，并经过认真复核，按照财政专项资金绩效评价指标体系进行评分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最终形成该项目绩效评价报告。</w:t>
      </w:r>
    </w:p>
    <w:p w14:paraId="602DC1BA">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三、项目主要绩效及评价结论</w:t>
      </w:r>
    </w:p>
    <w:p w14:paraId="637D7B9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rPr>
        <w:t>（一）项目完成情况</w:t>
      </w:r>
      <w:r>
        <w:rPr>
          <w:rFonts w:hint="eastAsia" w:ascii="楷体" w:hAnsi="楷体" w:eastAsia="楷体" w:cs="楷体"/>
          <w:b/>
          <w:bCs/>
          <w:color w:val="000000"/>
          <w:sz w:val="32"/>
          <w:szCs w:val="32"/>
          <w:lang w:eastAsia="zh-CN"/>
        </w:rPr>
        <w:t>。</w:t>
      </w:r>
    </w:p>
    <w:p w14:paraId="7FDFCA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截至20</w:t>
      </w:r>
      <w:r>
        <w:rPr>
          <w:rFonts w:hint="eastAsia" w:ascii="仿宋_GB2312" w:hAnsi="仿宋_GB2312" w:eastAsia="仿宋_GB2312" w:cs="仿宋_GB2312"/>
          <w:color w:val="000000"/>
          <w:sz w:val="32"/>
          <w:szCs w:val="32"/>
          <w:lang w:val="en-US" w:eastAsia="zh-CN"/>
        </w:rPr>
        <w:t>23</w:t>
      </w:r>
      <w:r>
        <w:rPr>
          <w:rFonts w:hint="eastAsia" w:ascii="仿宋_GB2312" w:hAnsi="仿宋_GB2312" w:eastAsia="仿宋_GB2312" w:cs="仿宋_GB2312"/>
          <w:color w:val="000000"/>
          <w:sz w:val="32"/>
          <w:szCs w:val="32"/>
        </w:rPr>
        <w:t>年12月31日：</w:t>
      </w:r>
    </w:p>
    <w:p w14:paraId="2D619160">
      <w:pPr>
        <w:spacing w:line="592" w:lineRule="exact"/>
        <w:ind w:firstLine="640" w:firstLineChars="200"/>
        <w:rPr>
          <w:rFonts w:hint="eastAsia" w:ascii="仿宋_GB2312" w:hAnsi="仿宋_GB2312" w:eastAsia="仿宋_GB2312" w:cs="仿宋_GB2312"/>
          <w:i w:val="0"/>
          <w:iCs w:val="0"/>
          <w:caps w:val="0"/>
          <w:color w:val="333333"/>
          <w:spacing w:val="0"/>
          <w:sz w:val="32"/>
          <w:szCs w:val="32"/>
          <w:shd w:val="clear" w:color="auto" w:fill="FFFFFF"/>
          <w:lang w:val="en-US"/>
        </w:rPr>
      </w:pPr>
      <w:r>
        <w:rPr>
          <w:rFonts w:hint="eastAsia" w:ascii="仿宋_GB2312" w:hAnsi="仿宋_GB2312" w:eastAsia="仿宋_GB2312" w:cs="仿宋_GB2312"/>
          <w:color w:val="000000"/>
          <w:sz w:val="32"/>
          <w:szCs w:val="32"/>
        </w:rPr>
        <w:t>1.数量指标：</w:t>
      </w:r>
      <w:r>
        <w:rPr>
          <w:rFonts w:hint="eastAsia" w:ascii="仿宋_GB2312" w:hAnsi="仿宋_GB2312" w:eastAsia="仿宋_GB2312" w:cs="仿宋_GB2312"/>
          <w:i w:val="0"/>
          <w:iCs w:val="0"/>
          <w:caps w:val="0"/>
          <w:color w:val="333333"/>
          <w:spacing w:val="0"/>
          <w:sz w:val="32"/>
          <w:szCs w:val="32"/>
          <w:shd w:val="clear" w:color="auto" w:fill="FFFFFF"/>
          <w:lang w:val="en-US" w:eastAsia="zh-CN"/>
        </w:rPr>
        <w:t>机关事业职业年金财政拨付记实资金580万元。</w:t>
      </w:r>
    </w:p>
    <w:p w14:paraId="04E43A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2.质量指标：</w:t>
      </w:r>
      <w:r>
        <w:rPr>
          <w:rFonts w:hint="eastAsia" w:ascii="仿宋_GB2312" w:hAnsi="仿宋_GB2312" w:eastAsia="仿宋_GB2312" w:cs="仿宋_GB2312"/>
          <w:color w:val="000000"/>
          <w:sz w:val="32"/>
          <w:szCs w:val="32"/>
          <w:lang w:val="en-US" w:eastAsia="zh-CN"/>
        </w:rPr>
        <w:t>机关事业职业年金记实111人，记实466万元。</w:t>
      </w:r>
    </w:p>
    <w:p w14:paraId="67EAC6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3.时效指标：</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对机关事业异动人员的职业年金单位部分及时记实。</w:t>
      </w:r>
    </w:p>
    <w:p w14:paraId="6D70D8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rPr>
        <w:t>4.成本指标：</w:t>
      </w:r>
      <w:r>
        <w:rPr>
          <w:rFonts w:hint="eastAsia" w:ascii="仿宋_GB2312" w:hAnsi="仿宋_GB2312" w:eastAsia="仿宋_GB2312" w:cs="仿宋_GB2312"/>
          <w:color w:val="000000"/>
          <w:sz w:val="32"/>
          <w:szCs w:val="32"/>
          <w:lang w:val="en-US" w:eastAsia="zh-CN"/>
        </w:rPr>
        <w:t>完成对机关事业异动人员的职业年金单位部分100%记实。</w:t>
      </w:r>
    </w:p>
    <w:p w14:paraId="199C97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5.社会效益指标（群众满意度）：享受对象满意率达</w:t>
      </w: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cs="仿宋_GB2312"/>
          <w:color w:val="000000"/>
          <w:sz w:val="32"/>
          <w:szCs w:val="32"/>
        </w:rPr>
        <w:t>%。</w:t>
      </w:r>
    </w:p>
    <w:p w14:paraId="4278807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rPr>
        <w:t>（二）项目效益情况</w:t>
      </w:r>
      <w:r>
        <w:rPr>
          <w:rFonts w:hint="eastAsia" w:ascii="楷体" w:hAnsi="楷体" w:eastAsia="楷体" w:cs="楷体"/>
          <w:b/>
          <w:bCs/>
          <w:color w:val="000000"/>
          <w:sz w:val="32"/>
          <w:szCs w:val="32"/>
          <w:lang w:eastAsia="zh-CN"/>
        </w:rPr>
        <w:t>。</w:t>
      </w:r>
    </w:p>
    <w:p w14:paraId="1D7316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提高了</w:t>
      </w:r>
      <w:r>
        <w:rPr>
          <w:rFonts w:hint="eastAsia" w:ascii="仿宋_GB2312" w:hAnsi="仿宋_GB2312" w:eastAsia="仿宋_GB2312" w:cs="仿宋_GB2312"/>
          <w:color w:val="000000"/>
          <w:sz w:val="32"/>
          <w:szCs w:val="32"/>
          <w:lang w:val="en-US" w:eastAsia="zh-CN"/>
        </w:rPr>
        <w:t>全区居民的经</w:t>
      </w:r>
      <w:r>
        <w:rPr>
          <w:rFonts w:hint="eastAsia" w:ascii="仿宋_GB2312" w:hAnsi="仿宋_GB2312" w:eastAsia="仿宋_GB2312" w:cs="仿宋_GB2312"/>
          <w:color w:val="000000"/>
          <w:sz w:val="32"/>
          <w:szCs w:val="32"/>
          <w:lang w:eastAsia="zh-CN"/>
        </w:rPr>
        <w:t>济收入，</w:t>
      </w:r>
      <w:r>
        <w:rPr>
          <w:rFonts w:hint="eastAsia" w:ascii="仿宋_GB2312" w:hAnsi="仿宋_GB2312" w:eastAsia="仿宋_GB2312" w:cs="仿宋_GB2312"/>
          <w:color w:val="000000"/>
          <w:sz w:val="32"/>
          <w:szCs w:val="32"/>
        </w:rPr>
        <w:t>帮助改善了</w:t>
      </w:r>
      <w:r>
        <w:rPr>
          <w:rFonts w:hint="eastAsia" w:ascii="仿宋_GB2312" w:hAnsi="仿宋_GB2312" w:eastAsia="仿宋_GB2312" w:cs="仿宋_GB2312"/>
          <w:color w:val="000000"/>
          <w:sz w:val="32"/>
          <w:szCs w:val="32"/>
          <w:lang w:val="en-US" w:eastAsia="zh-CN"/>
        </w:rPr>
        <w:t>全区退休人员</w:t>
      </w:r>
      <w:r>
        <w:rPr>
          <w:rFonts w:hint="eastAsia" w:ascii="仿宋_GB2312" w:hAnsi="仿宋_GB2312" w:eastAsia="仿宋_GB2312" w:cs="仿宋_GB2312"/>
          <w:color w:val="000000"/>
          <w:sz w:val="32"/>
          <w:szCs w:val="32"/>
        </w:rPr>
        <w:t>生活</w:t>
      </w:r>
      <w:r>
        <w:rPr>
          <w:rFonts w:hint="eastAsia" w:ascii="仿宋_GB2312" w:hAnsi="仿宋_GB2312" w:eastAsia="仿宋_GB2312" w:cs="仿宋_GB2312"/>
          <w:color w:val="000000"/>
          <w:sz w:val="32"/>
          <w:szCs w:val="32"/>
          <w:lang w:val="en-US" w:eastAsia="zh-CN"/>
        </w:rPr>
        <w:t>水平</w:t>
      </w:r>
      <w:r>
        <w:rPr>
          <w:rFonts w:hint="eastAsia" w:ascii="仿宋_GB2312" w:hAnsi="仿宋_GB2312" w:eastAsia="仿宋_GB2312" w:cs="仿宋_GB2312"/>
          <w:color w:val="000000"/>
          <w:sz w:val="32"/>
          <w:szCs w:val="32"/>
        </w:rPr>
        <w:t>，体现了党和国家对</w:t>
      </w:r>
      <w:r>
        <w:rPr>
          <w:rFonts w:hint="eastAsia" w:ascii="仿宋_GB2312" w:hAnsi="仿宋_GB2312" w:eastAsia="仿宋_GB2312" w:cs="仿宋_GB2312"/>
          <w:color w:val="000000"/>
          <w:sz w:val="32"/>
          <w:szCs w:val="32"/>
          <w:lang w:val="en-US" w:eastAsia="zh-CN"/>
        </w:rPr>
        <w:t>老年人</w:t>
      </w:r>
      <w:r>
        <w:rPr>
          <w:rFonts w:hint="eastAsia" w:ascii="仿宋_GB2312" w:hAnsi="仿宋_GB2312" w:eastAsia="仿宋_GB2312" w:cs="仿宋_GB2312"/>
          <w:color w:val="000000"/>
          <w:sz w:val="32"/>
          <w:szCs w:val="32"/>
        </w:rPr>
        <w:t>这个弱势群体的关怀，同时也得到广大</w:t>
      </w:r>
      <w:r>
        <w:rPr>
          <w:rFonts w:hint="eastAsia" w:ascii="仿宋_GB2312" w:hAnsi="仿宋_GB2312" w:eastAsia="仿宋_GB2312" w:cs="仿宋_GB2312"/>
          <w:color w:val="000000"/>
          <w:sz w:val="32"/>
          <w:szCs w:val="32"/>
          <w:lang w:val="en-US" w:eastAsia="zh-CN"/>
        </w:rPr>
        <w:t>人民</w:t>
      </w:r>
      <w:r>
        <w:rPr>
          <w:rFonts w:hint="eastAsia" w:ascii="仿宋_GB2312" w:hAnsi="仿宋_GB2312" w:eastAsia="仿宋_GB2312" w:cs="仿宋_GB2312"/>
          <w:color w:val="000000"/>
          <w:sz w:val="32"/>
          <w:szCs w:val="32"/>
        </w:rPr>
        <w:t>和社会的高度赞赏，提高了广大群众对</w:t>
      </w:r>
      <w:r>
        <w:rPr>
          <w:rFonts w:hint="eastAsia" w:ascii="仿宋_GB2312" w:hAnsi="仿宋_GB2312" w:eastAsia="仿宋_GB2312" w:cs="仿宋_GB2312"/>
          <w:color w:val="000000"/>
          <w:sz w:val="32"/>
          <w:szCs w:val="32"/>
          <w:lang w:val="en-US" w:eastAsia="zh-CN"/>
        </w:rPr>
        <w:t>社会保险制度</w:t>
      </w:r>
      <w:r>
        <w:rPr>
          <w:rFonts w:hint="eastAsia" w:ascii="仿宋_GB2312" w:hAnsi="仿宋_GB2312" w:eastAsia="仿宋_GB2312" w:cs="仿宋_GB2312"/>
          <w:color w:val="000000"/>
          <w:sz w:val="32"/>
          <w:szCs w:val="32"/>
        </w:rPr>
        <w:t>的满意度。</w:t>
      </w:r>
    </w:p>
    <w:p w14:paraId="3B6141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000000"/>
          <w:sz w:val="32"/>
          <w:szCs w:val="32"/>
        </w:rPr>
      </w:pPr>
    </w:p>
    <w:p w14:paraId="1FBF7F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rPr>
        <w:t>四、存在的问题</w:t>
      </w:r>
    </w:p>
    <w:p w14:paraId="7C2B4A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000000"/>
          <w:sz w:val="32"/>
          <w:szCs w:val="32"/>
        </w:rPr>
      </w:pPr>
      <w:r>
        <w:rPr>
          <w:rFonts w:hint="eastAsia" w:eastAsia="仿宋_GB2312"/>
          <w:color w:val="000000"/>
          <w:sz w:val="32"/>
          <w:szCs w:val="32"/>
        </w:rPr>
        <w:t>无</w:t>
      </w:r>
    </w:p>
    <w:p w14:paraId="3C390B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000000"/>
          <w:sz w:val="32"/>
          <w:szCs w:val="32"/>
        </w:rPr>
      </w:pPr>
      <w:r>
        <w:rPr>
          <w:rFonts w:hint="eastAsia" w:ascii="黑体" w:hAnsi="黑体" w:eastAsia="黑体" w:cs="黑体"/>
          <w:color w:val="000000"/>
          <w:sz w:val="32"/>
          <w:szCs w:val="32"/>
        </w:rPr>
        <w:t>五、有关建议</w:t>
      </w:r>
    </w:p>
    <w:p w14:paraId="78B4B1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000000"/>
          <w:sz w:val="32"/>
          <w:szCs w:val="32"/>
        </w:rPr>
      </w:pPr>
      <w:r>
        <w:rPr>
          <w:rFonts w:hint="eastAsia" w:eastAsia="仿宋_GB2312"/>
          <w:color w:val="000000"/>
          <w:sz w:val="32"/>
          <w:szCs w:val="32"/>
        </w:rPr>
        <w:t>无</w:t>
      </w:r>
    </w:p>
    <w:p w14:paraId="1CE625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rPr>
        <w:t>六、其他需要说明的问题</w:t>
      </w:r>
    </w:p>
    <w:p w14:paraId="0296B0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无</w:t>
      </w:r>
    </w:p>
    <w:p w14:paraId="0154DACF">
      <w:pPr>
        <w:jc w:val="center"/>
        <w:rPr>
          <w:rFonts w:hint="eastAsia" w:ascii="方正大标宋简体" w:hAnsi="Times New Roman" w:eastAsia="方正大标宋简体" w:cs="仿宋_GB2312"/>
          <w:color w:val="000000"/>
          <w:sz w:val="44"/>
          <w:szCs w:val="44"/>
        </w:rPr>
      </w:pPr>
    </w:p>
    <w:p w14:paraId="7F39A168">
      <w:pPr>
        <w:jc w:val="center"/>
        <w:rPr>
          <w:rFonts w:hint="eastAsia" w:ascii="方正大标宋简体" w:hAnsi="Times New Roman" w:eastAsia="方正大标宋简体" w:cs="仿宋_GB2312"/>
          <w:color w:val="000000"/>
          <w:sz w:val="44"/>
          <w:szCs w:val="44"/>
        </w:rPr>
      </w:pPr>
    </w:p>
    <w:p w14:paraId="6B7AB116">
      <w:pPr>
        <w:jc w:val="center"/>
        <w:rPr>
          <w:rFonts w:hint="eastAsia" w:ascii="方正大标宋简体" w:hAnsi="Times New Roman" w:eastAsia="方正大标宋简体" w:cs="仿宋_GB2312"/>
          <w:color w:val="000000"/>
          <w:sz w:val="44"/>
          <w:szCs w:val="44"/>
        </w:rPr>
      </w:pPr>
    </w:p>
    <w:p w14:paraId="6F115328">
      <w:pPr>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大通湖区社会保险服务中心</w:t>
      </w:r>
    </w:p>
    <w:p w14:paraId="136D340A">
      <w:pPr>
        <w:jc w:val="center"/>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2024-7-31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36B946"/>
    <w:multiLevelType w:val="singleLevel"/>
    <w:tmpl w:val="3C36B946"/>
    <w:lvl w:ilvl="0" w:tentative="0">
      <w:start w:val="2"/>
      <w:numFmt w:val="chineseCounting"/>
      <w:suff w:val="nothing"/>
      <w:lvlText w:val="（%1）"/>
      <w:lvlJc w:val="left"/>
      <w:rPr>
        <w:rFonts w:hint="eastAsia"/>
      </w:rPr>
    </w:lvl>
  </w:abstractNum>
  <w:abstractNum w:abstractNumId="1">
    <w:nsid w:val="5EDE0FA4"/>
    <w:multiLevelType w:val="singleLevel"/>
    <w:tmpl w:val="5EDE0FA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MzhkMjk5MzU5ODg2MTNkYWY1MThiZTNmNGI4MDYifQ=="/>
  </w:docVars>
  <w:rsids>
    <w:rsidRoot w:val="00000000"/>
    <w:rsid w:val="03F422BD"/>
    <w:rsid w:val="07B92C3C"/>
    <w:rsid w:val="0C5C30E3"/>
    <w:rsid w:val="0CCF436D"/>
    <w:rsid w:val="10335614"/>
    <w:rsid w:val="1A9C7E15"/>
    <w:rsid w:val="1C7F4184"/>
    <w:rsid w:val="25C65E26"/>
    <w:rsid w:val="2EB6202D"/>
    <w:rsid w:val="2F744239"/>
    <w:rsid w:val="3A1E4B4C"/>
    <w:rsid w:val="3C822A7B"/>
    <w:rsid w:val="3C917532"/>
    <w:rsid w:val="3DBB6803"/>
    <w:rsid w:val="4B634548"/>
    <w:rsid w:val="51C10F13"/>
    <w:rsid w:val="5A393967"/>
    <w:rsid w:val="5C297F2A"/>
    <w:rsid w:val="5D924A61"/>
    <w:rsid w:val="5EDE1117"/>
    <w:rsid w:val="6CA40D20"/>
    <w:rsid w:val="70C83C00"/>
    <w:rsid w:val="75134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2292</Words>
  <Characters>2373</Characters>
  <Lines>0</Lines>
  <Paragraphs>0</Paragraphs>
  <TotalTime>2</TotalTime>
  <ScaleCrop>false</ScaleCrop>
  <LinksUpToDate>false</LinksUpToDate>
  <CharactersWithSpaces>2424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2022-05-26T00:57:00Z</dcterms:created>
  <dc:creator>yl</dc:creator>
  <cp:lastModifiedBy>缱绻·絲</cp:lastModifiedBy>
  <cp:lastPrinted>2024-12-16T13:21:36Z</cp:lastPrinted>
  <dcterms:modified xsi:type="dcterms:W3CDTF">2024-12-16T13:22:15Z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CA64D526149A49FFB31F4D9CE757057B_13</vt:lpwstr>
  </property>
</Properties>
</file>