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ascii="方正大标宋简体" w:eastAsia="方正大标宋简体" w:cs="仿宋_GB2312"/>
          <w:color w:val="000000"/>
          <w:sz w:val="44"/>
          <w:szCs w:val="44"/>
        </w:rPr>
      </w:pP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202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年项目支出绩效自评指标计分表</w:t>
      </w:r>
    </w:p>
    <w:p>
      <w:pPr>
        <w:autoSpaceDE w:val="0"/>
        <w:autoSpaceDN w:val="0"/>
        <w:spacing w:line="360" w:lineRule="auto"/>
        <w:jc w:val="center"/>
        <w:rPr>
          <w:rFonts w:ascii="方正大标宋简体" w:eastAsia="方正大标宋简体" w:cs="仿宋_GB2312"/>
          <w:color w:val="000000"/>
          <w:sz w:val="36"/>
          <w:szCs w:val="36"/>
        </w:rPr>
      </w:pPr>
      <w:r>
        <w:rPr>
          <w:rFonts w:hint="eastAsia" w:ascii="方正大标宋简体" w:eastAsia="方正大标宋简体" w:cs="仿宋_GB2312"/>
          <w:color w:val="000000"/>
          <w:sz w:val="36"/>
          <w:szCs w:val="36"/>
        </w:rPr>
        <w:t>（</w:t>
      </w:r>
      <w:r>
        <w:rPr>
          <w:rFonts w:hint="eastAsia" w:ascii="方正大标宋简体" w:eastAsia="方正大标宋简体" w:cs="仿宋_GB2312"/>
          <w:color w:val="000000"/>
          <w:sz w:val="36"/>
          <w:szCs w:val="36"/>
          <w:lang w:eastAsia="zh-CN"/>
        </w:rPr>
        <w:t>工资福利</w:t>
      </w:r>
      <w:r>
        <w:rPr>
          <w:rFonts w:hint="eastAsia" w:ascii="方正大标宋简体" w:eastAsia="方正大标宋简体" w:cs="仿宋_GB2312"/>
          <w:color w:val="000000"/>
          <w:sz w:val="36"/>
          <w:szCs w:val="36"/>
        </w:rPr>
        <w:t>）</w:t>
      </w:r>
    </w:p>
    <w:tbl>
      <w:tblPr>
        <w:tblStyle w:val="4"/>
        <w:tblW w:w="10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97"/>
        <w:gridCol w:w="1054"/>
        <w:gridCol w:w="1054"/>
        <w:gridCol w:w="932"/>
        <w:gridCol w:w="3000"/>
        <w:gridCol w:w="3353"/>
        <w:gridCol w:w="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tblHeader/>
          <w:jc w:val="center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一级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三级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自评分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具体指标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评价标准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cs="宋体"/>
                <w:b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33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策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（15分）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过程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有关法律法</w:t>
            </w:r>
            <w:bookmarkStart w:id="0" w:name="_GoBack"/>
            <w:bookmarkEnd w:id="0"/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规的明确规定；某一经济社会发展规划；某部门年度工作计划；某一实际问题和需求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符合法律法规（1分）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符合经济社会发展规划（1分）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部门年度工作计划（1分）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针对某一实际问题和需求（1分）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程序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项目符合申报条件；申报、批复程序符合相关管理办法；项目调整履行了相应手续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符合申报条件（2分）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项目申报、批复程序符合管理办法（1分）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项目调整履行了相应手续（1分）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74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有相应的资金管理办法（1分）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办法健全、规范（1分）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因素全面合理（1分）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结果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资金分配符合相关管理办法；分配结果公平合理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符合分配办法（2分）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分配公平合理（2分）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（25分） 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实际到位/计划到位*100%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根据项目资金的实际到位率计算得分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资金及时到位；若未及时到位，是否影响项目进度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到位及时（2分）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不及时但未影响项目进度（1分）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不及时并影响项目进度（0.5分）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使用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虚列套取扣4-7分 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依据不合规扣2分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截留、挤占、挪用扣3-6分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超标准开支扣2-5分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超预算扣2-5分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4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资金管理、费用支出等制度健全；制度执行严格；会计核算规范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财务制度健全（1分）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严格执行制度（1分）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会计核算规范（1分）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ind w:left="240" w:hanging="240" w:hangingChars="100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  （2分）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ind w:left="240" w:hanging="240" w:hangingChars="100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0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项目按计划开工；按计划进度开展；按计划完工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按计划开工（1分）   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按计划开展（1分）   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按计划完工（1分）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项目管理制度健全；严格执行相关管理制度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管理制度健全（2分）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制度执行严格（3分）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（60分）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数量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根据该项目实际，标识具体明确的产出数量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对照绩效目标，按实际产出数量率计算得分（5分）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质量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根据该项目实际，标识具体明确的产出质量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对照绩效目标，按实际产出质量率计算得分（5分）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根据该项目实际，标识具体明确的产出时效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对照绩效目标，按实际产出时效率计算得分（5分）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成本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根据该项目实际，标识具体明确的产出成本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对照绩效目标，按实际产出成本率计算得分（5分）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0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效果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经济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根据项目实际，标识所产生的直接或间接的经济效益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对照绩效目标，按经济效益实现程度计算得分（8分）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社会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根据项目实际，标识所产生的社会效益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对照绩效目标，按社会效益实现程度计算得分（8分）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1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环境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根据项目实际，标识对环境所产生的积极或消极影响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对照绩效目标，按对环境所产生的实际影响程度计算得分（8分）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可持续影响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项目产出能持续运用；项目运行所依赖的政策制度能持续执行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项目产出能持续运用（4分）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所依赖的政策制度能持续执行（4分）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服务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对象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满意度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项目预期服务对象对项目实施的满意程度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按收集到的项目服务对象的满意率计算得分（8分）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96　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jNWU4YTg2NzY0NmFiODAzNDUyYjRmNmY0NjU5YTUifQ=="/>
  </w:docVars>
  <w:rsids>
    <w:rsidRoot w:val="0F3324B4"/>
    <w:rsid w:val="00320C11"/>
    <w:rsid w:val="004051B2"/>
    <w:rsid w:val="00EC49F7"/>
    <w:rsid w:val="0F3324B4"/>
    <w:rsid w:val="1CEE7EED"/>
    <w:rsid w:val="3C475CA6"/>
    <w:rsid w:val="41EC1D3A"/>
    <w:rsid w:val="59CA4D80"/>
    <w:rsid w:val="5F2EA3BE"/>
    <w:rsid w:val="79E596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1354</Words>
  <Characters>1380</Characters>
  <Lines>11</Lines>
  <Paragraphs>3</Paragraphs>
  <TotalTime>2</TotalTime>
  <ScaleCrop>false</ScaleCrop>
  <LinksUpToDate>false</LinksUpToDate>
  <CharactersWithSpaces>1392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2022-04-28T18:37:00Z</dcterms:created>
  <dc:creator>Administrator</dc:creator>
  <cp:lastModifiedBy>dthga</cp:lastModifiedBy>
  <cp:lastPrinted>2022-05-31T16:06:00Z</cp:lastPrinted>
  <dcterms:modified xsi:type="dcterms:W3CDTF">2024-12-16T11:51:25Z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DCE473B0FB44484594482B951AADD534</vt:lpwstr>
  </property>
</Properties>
</file>