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FD688">
      <w:pPr>
        <w:pStyle w:val="2"/>
        <w:jc w:val="center"/>
        <w:rPr>
          <w:rFonts w:eastAsia="仿宋_GB2312" w:cs="仿宋_GB2312"/>
          <w:color w:val="000000"/>
          <w:sz w:val="32"/>
          <w:szCs w:val="32"/>
        </w:rPr>
      </w:pPr>
      <w:r>
        <w:rPr>
          <w:rFonts w:hint="eastAsia"/>
        </w:rPr>
        <w:t>教育事业发展专项项目绩效自评报告</w:t>
      </w:r>
    </w:p>
    <w:p w14:paraId="02789AE7">
      <w:pPr>
        <w:overflowPunct w:val="0"/>
        <w:autoSpaceDE w:val="0"/>
        <w:spacing w:line="592" w:lineRule="exact"/>
        <w:rPr>
          <w:rFonts w:ascii="仿宋" w:hAnsi="仿宋" w:eastAsia="仿宋" w:cs="仿宋"/>
          <w:b/>
          <w:bCs/>
          <w:color w:val="000000"/>
          <w:sz w:val="32"/>
          <w:szCs w:val="32"/>
        </w:rPr>
      </w:pPr>
      <w:r>
        <w:rPr>
          <w:rFonts w:hint="eastAsia" w:ascii="仿宋" w:hAnsi="仿宋" w:eastAsia="仿宋" w:cs="仿宋"/>
          <w:color w:val="000000"/>
          <w:sz w:val="32"/>
          <w:szCs w:val="32"/>
        </w:rPr>
        <w:t xml:space="preserve">  </w:t>
      </w:r>
      <w:r>
        <w:rPr>
          <w:rFonts w:hint="eastAsia" w:ascii="仿宋" w:hAnsi="仿宋" w:eastAsia="仿宋" w:cs="仿宋"/>
          <w:color w:val="000000"/>
          <w:sz w:val="32"/>
          <w:szCs w:val="32"/>
          <w:lang w:val="en-US" w:eastAsia="zh-CN"/>
        </w:rPr>
        <w:t xml:space="preserve"> </w:t>
      </w:r>
      <w:r>
        <w:rPr>
          <w:rFonts w:hint="eastAsia" w:eastAsia="仿宋_GB2312" w:cs="仿宋_GB2312"/>
          <w:color w:val="000000"/>
          <w:sz w:val="32"/>
          <w:szCs w:val="32"/>
        </w:rPr>
        <w:t>根据《益阳市大通湖区发展改革和财政局关于做好区级预算绩效自评工作的通知》文件精神</w:t>
      </w:r>
      <w:r>
        <w:rPr>
          <w:rFonts w:hint="eastAsia" w:eastAsia="仿宋_GB2312" w:cs="仿宋_GB2312"/>
          <w:color w:val="000000"/>
          <w:sz w:val="32"/>
          <w:szCs w:val="32"/>
          <w:lang w:eastAsia="zh-CN"/>
        </w:rPr>
        <w:t>，为</w:t>
      </w:r>
      <w:bookmarkStart w:id="0" w:name="_GoBack"/>
      <w:bookmarkEnd w:id="0"/>
      <w:r>
        <w:rPr>
          <w:rFonts w:hint="eastAsia" w:ascii="仿宋" w:hAnsi="仿宋" w:eastAsia="仿宋" w:cs="仿宋"/>
          <w:color w:val="000000"/>
          <w:sz w:val="32"/>
          <w:szCs w:val="32"/>
        </w:rPr>
        <w:t>进一步规范和加强财政资金管理，切实提高财政资金使用效益和政策实施效果，我</w:t>
      </w:r>
      <w:r>
        <w:rPr>
          <w:rFonts w:hint="eastAsia" w:ascii="仿宋" w:hAnsi="仿宋" w:eastAsia="仿宋" w:cs="仿宋"/>
          <w:color w:val="000000"/>
          <w:sz w:val="32"/>
          <w:szCs w:val="32"/>
          <w:lang w:eastAsia="zh-CN"/>
        </w:rPr>
        <w:t>中心</w:t>
      </w:r>
      <w:r>
        <w:rPr>
          <w:rFonts w:hint="eastAsia" w:ascii="仿宋" w:hAnsi="仿宋" w:eastAsia="仿宋" w:cs="仿宋"/>
          <w:color w:val="000000"/>
          <w:sz w:val="32"/>
          <w:szCs w:val="32"/>
        </w:rPr>
        <w:t>对2023年度教育事业发展专项区级资金进行了绩效评价，现将有关情况报告如下：</w:t>
      </w:r>
    </w:p>
    <w:p w14:paraId="6CA7422F">
      <w:p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一、项目基本情况</w:t>
      </w:r>
    </w:p>
    <w:p w14:paraId="2BF6E93F">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（一）项目概况</w:t>
      </w:r>
    </w:p>
    <w:p w14:paraId="57D194C3">
      <w:pPr>
        <w:spacing w:line="592" w:lineRule="exact"/>
        <w:ind w:firstLine="600" w:firstLineChars="200"/>
        <w:rPr>
          <w:rFonts w:ascii="仿宋" w:hAnsi="仿宋" w:eastAsia="仿宋" w:cs="仿宋"/>
          <w:color w:val="000000"/>
          <w:sz w:val="32"/>
          <w:szCs w:val="32"/>
        </w:rPr>
      </w:pPr>
      <w:r>
        <w:rPr>
          <w:rFonts w:hint="eastAsia" w:ascii="仿宋_GB2312" w:hAnsi="仿宋_GB2312" w:eastAsia="仿宋_GB2312" w:cs="仿宋_GB2312"/>
          <w:sz w:val="30"/>
          <w:szCs w:val="30"/>
          <w:lang w:val="en-US" w:eastAsia="zh-CN"/>
        </w:rPr>
        <w:t>2023年</w:t>
      </w:r>
      <w:r>
        <w:rPr>
          <w:rFonts w:hint="eastAsia" w:ascii="仿宋_GB2312" w:hAnsi="仿宋_GB2312" w:eastAsia="仿宋_GB2312" w:cs="仿宋_GB2312"/>
          <w:sz w:val="30"/>
          <w:szCs w:val="30"/>
          <w:lang w:eastAsia="zh-CN"/>
        </w:rPr>
        <w:t>全区共有</w:t>
      </w:r>
      <w:r>
        <w:rPr>
          <w:rFonts w:hint="eastAsia" w:ascii="仿宋_GB2312" w:hAnsi="仿宋_GB2312" w:eastAsia="仿宋_GB2312" w:cs="仿宋_GB2312"/>
          <w:sz w:val="30"/>
          <w:szCs w:val="30"/>
        </w:rPr>
        <w:t>4所初级中学（包括区一中普通高中），10所完全小学，6所公办幼儿园，承办全区所有中小学校及公办幼儿园财务核算、监督和管理工作。</w:t>
      </w:r>
      <w:r>
        <w:rPr>
          <w:rFonts w:hint="eastAsia" w:ascii="仿宋" w:hAnsi="仿宋" w:eastAsia="仿宋" w:cs="仿宋"/>
          <w:color w:val="000000"/>
          <w:sz w:val="32"/>
          <w:szCs w:val="32"/>
        </w:rPr>
        <w:t>本项目主要由</w:t>
      </w:r>
      <w:r>
        <w:rPr>
          <w:rFonts w:hint="eastAsia" w:ascii="仿宋" w:hAnsi="仿宋" w:eastAsia="仿宋" w:cs="仿宋"/>
          <w:color w:val="000000"/>
          <w:sz w:val="32"/>
          <w:szCs w:val="32"/>
          <w:lang w:eastAsia="zh-CN"/>
        </w:rPr>
        <w:t>教育股、党建人事股、安管股、教师医生工作股、体卫艺中心</w:t>
      </w:r>
      <w:r>
        <w:rPr>
          <w:rFonts w:hint="eastAsia" w:ascii="仿宋" w:hAnsi="仿宋" w:eastAsia="仿宋" w:cs="仿宋"/>
          <w:color w:val="000000"/>
          <w:sz w:val="32"/>
          <w:szCs w:val="32"/>
        </w:rPr>
        <w:t>负责，我</w:t>
      </w:r>
      <w:r>
        <w:rPr>
          <w:rFonts w:hint="eastAsia" w:ascii="仿宋" w:hAnsi="仿宋" w:eastAsia="仿宋" w:cs="仿宋"/>
          <w:color w:val="000000"/>
          <w:sz w:val="32"/>
          <w:szCs w:val="32"/>
          <w:lang w:eastAsia="zh-CN"/>
        </w:rPr>
        <w:t>中心</w:t>
      </w:r>
      <w:r>
        <w:rPr>
          <w:rFonts w:hint="eastAsia" w:ascii="仿宋" w:hAnsi="仿宋" w:eastAsia="仿宋" w:cs="仿宋"/>
          <w:color w:val="000000"/>
          <w:sz w:val="32"/>
          <w:szCs w:val="32"/>
        </w:rPr>
        <w:t>严格贯彻执行国家相关法律法规，项目资金主要用于</w:t>
      </w:r>
      <w:r>
        <w:rPr>
          <w:rFonts w:hint="eastAsia" w:ascii="仿宋" w:hAnsi="仿宋" w:eastAsia="仿宋" w:cs="仿宋"/>
          <w:color w:val="000000"/>
          <w:sz w:val="32"/>
          <w:szCs w:val="32"/>
          <w:lang w:eastAsia="zh-CN"/>
        </w:rPr>
        <w:t>教育专项奖励、校园方责任保险、体育、艺术比赛、教师工会经费、教师培训经费、学校安全保护服务、乡村人才津贴、原中小学民办代课教师困难生活补助、遗属生活补助、从教</w:t>
      </w:r>
      <w:r>
        <w:rPr>
          <w:rFonts w:hint="eastAsia" w:ascii="仿宋" w:hAnsi="仿宋" w:eastAsia="仿宋" w:cs="仿宋"/>
          <w:color w:val="000000"/>
          <w:sz w:val="32"/>
          <w:szCs w:val="32"/>
          <w:lang w:val="en-US" w:eastAsia="zh-CN"/>
        </w:rPr>
        <w:t>30年退休教师一次性待遇、代课教师费用、独生子女父母奖励、教师体检、学前教育、义务教育阶段和高中阶段生均公用经费区级配套资金</w:t>
      </w:r>
      <w:r>
        <w:rPr>
          <w:rFonts w:hint="eastAsia" w:ascii="仿宋" w:hAnsi="仿宋" w:eastAsia="仿宋" w:cs="仿宋"/>
          <w:color w:val="000000"/>
          <w:sz w:val="32"/>
          <w:szCs w:val="32"/>
        </w:rPr>
        <w:t>等方面。</w:t>
      </w:r>
    </w:p>
    <w:p w14:paraId="42E3B0C7">
      <w:pPr>
        <w:numPr>
          <w:ilvl w:val="0"/>
          <w:numId w:val="1"/>
        </w:num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项目绩效目标</w:t>
      </w:r>
    </w:p>
    <w:p w14:paraId="1183373D">
      <w:pPr>
        <w:spacing w:line="592"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进一步做好</w:t>
      </w:r>
      <w:r>
        <w:rPr>
          <w:rFonts w:hint="eastAsia" w:ascii="仿宋" w:hAnsi="仿宋" w:eastAsia="仿宋" w:cs="仿宋"/>
          <w:color w:val="000000"/>
          <w:sz w:val="32"/>
          <w:szCs w:val="32"/>
          <w:lang w:eastAsia="zh-CN"/>
        </w:rPr>
        <w:t>市、区中小学生田径运动会、全区足球联赛、艺术展演</w:t>
      </w:r>
      <w:r>
        <w:rPr>
          <w:rFonts w:hint="eastAsia" w:ascii="仿宋" w:hAnsi="仿宋" w:eastAsia="仿宋" w:cs="仿宋"/>
          <w:color w:val="000000"/>
          <w:sz w:val="32"/>
          <w:szCs w:val="32"/>
        </w:rPr>
        <w:t>活动、</w:t>
      </w:r>
      <w:r>
        <w:rPr>
          <w:rFonts w:hint="eastAsia" w:ascii="仿宋" w:hAnsi="仿宋" w:eastAsia="仿宋" w:cs="仿宋"/>
          <w:color w:val="000000"/>
          <w:sz w:val="32"/>
          <w:szCs w:val="32"/>
          <w:lang w:eastAsia="zh-CN"/>
        </w:rPr>
        <w:t>教职工培训、工会活动经费、教师体检、学校安全保护服务费、原中小学民办代课教师困难生活补助按要求支付到位、落实教师待遇打卡发放（乡村人才津贴、从教</w:t>
      </w:r>
      <w:r>
        <w:rPr>
          <w:rFonts w:hint="eastAsia" w:ascii="仿宋" w:hAnsi="仿宋" w:eastAsia="仿宋" w:cs="仿宋"/>
          <w:color w:val="000000"/>
          <w:sz w:val="32"/>
          <w:szCs w:val="32"/>
          <w:lang w:val="en-US" w:eastAsia="zh-CN"/>
        </w:rPr>
        <w:t>30年退休教师一次性待遇、独生子女父母奖励、代课教师工资、特级教师津贴、女职工卫生费</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学前教育、义务教育和高中生均公用经费区级配套资金及时足额拨付到校。主要表现市区运动会、足球联赛、艺术展演活动完成率100%，教职工国培、省、市级和线上网络培训完成率100%，学校教职工工会福利和活动按进度完成率100%，教师体检（含退休教师）完成率96.58%，全区20所中小学校配备专职安保人员40人覆盖率100%，乡村人才津贴、从教30年退休教师一次性待遇、独生子女父母奖励、代课教师工资、特级教师津贴、女职工卫生费打卡发放率100%，原中小学民办代课教师补助、遗属生活补助打卡发放率100%、学校生均公用经费区级配套资金及时、足额拨付到校，完成率100%</w:t>
      </w:r>
      <w:r>
        <w:rPr>
          <w:rFonts w:hint="eastAsia" w:ascii="仿宋" w:hAnsi="仿宋" w:eastAsia="仿宋" w:cs="仿宋"/>
          <w:color w:val="000000"/>
          <w:sz w:val="32"/>
          <w:szCs w:val="32"/>
          <w:lang w:eastAsia="zh-CN"/>
        </w:rPr>
        <w:t>。</w:t>
      </w:r>
    </w:p>
    <w:p w14:paraId="32C98EF0">
      <w:pPr>
        <w:numPr>
          <w:ilvl w:val="0"/>
          <w:numId w:val="1"/>
        </w:num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项目实施情况分析</w:t>
      </w:r>
    </w:p>
    <w:p w14:paraId="71C75FDF">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 xml:space="preserve"> 202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年度</w:t>
      </w:r>
      <w:r>
        <w:rPr>
          <w:rFonts w:hint="eastAsia" w:ascii="仿宋" w:hAnsi="仿宋" w:eastAsia="仿宋" w:cs="仿宋"/>
          <w:color w:val="000000"/>
          <w:sz w:val="32"/>
          <w:szCs w:val="32"/>
          <w:lang w:eastAsia="zh-CN"/>
        </w:rPr>
        <w:t>教育事业发展专项</w:t>
      </w:r>
      <w:r>
        <w:rPr>
          <w:rFonts w:hint="eastAsia" w:ascii="仿宋" w:hAnsi="仿宋" w:eastAsia="仿宋" w:cs="仿宋"/>
          <w:color w:val="000000"/>
          <w:sz w:val="32"/>
          <w:szCs w:val="32"/>
        </w:rPr>
        <w:t>年初预算</w:t>
      </w:r>
      <w:r>
        <w:rPr>
          <w:rFonts w:hint="eastAsia" w:ascii="仿宋" w:hAnsi="仿宋" w:eastAsia="仿宋" w:cs="仿宋"/>
          <w:color w:val="000000"/>
          <w:sz w:val="32"/>
          <w:szCs w:val="32"/>
          <w:lang w:val="en-US" w:eastAsia="zh-CN"/>
        </w:rPr>
        <w:t>873.78</w:t>
      </w:r>
      <w:r>
        <w:rPr>
          <w:rFonts w:hint="eastAsia" w:ascii="仿宋" w:hAnsi="仿宋" w:eastAsia="仿宋" w:cs="仿宋"/>
          <w:color w:val="000000"/>
          <w:sz w:val="32"/>
          <w:szCs w:val="32"/>
        </w:rPr>
        <w:t>万元，全年</w:t>
      </w:r>
      <w:r>
        <w:rPr>
          <w:rFonts w:hint="eastAsia" w:ascii="仿宋" w:hAnsi="仿宋" w:eastAsia="仿宋" w:cs="仿宋"/>
          <w:color w:val="000000"/>
          <w:sz w:val="32"/>
          <w:szCs w:val="32"/>
          <w:lang w:eastAsia="zh-CN"/>
        </w:rPr>
        <w:t>实际</w:t>
      </w:r>
      <w:r>
        <w:rPr>
          <w:rFonts w:hint="eastAsia" w:ascii="仿宋" w:hAnsi="仿宋" w:eastAsia="仿宋" w:cs="仿宋"/>
          <w:color w:val="000000"/>
          <w:sz w:val="32"/>
          <w:szCs w:val="32"/>
        </w:rPr>
        <w:t>支出</w:t>
      </w:r>
      <w:r>
        <w:rPr>
          <w:rFonts w:hint="eastAsia" w:ascii="仿宋" w:hAnsi="仿宋" w:eastAsia="仿宋" w:cs="仿宋"/>
          <w:color w:val="000000"/>
          <w:sz w:val="32"/>
          <w:szCs w:val="32"/>
          <w:lang w:val="en-US" w:eastAsia="zh-CN"/>
        </w:rPr>
        <w:t>866.96</w:t>
      </w:r>
      <w:r>
        <w:rPr>
          <w:rFonts w:hint="eastAsia" w:ascii="仿宋" w:hAnsi="仿宋" w:eastAsia="仿宋" w:cs="仿宋"/>
          <w:color w:val="000000"/>
          <w:sz w:val="32"/>
          <w:szCs w:val="32"/>
        </w:rPr>
        <w:t>万元，主要用于</w:t>
      </w:r>
      <w:r>
        <w:rPr>
          <w:rFonts w:hint="eastAsia" w:ascii="仿宋" w:hAnsi="仿宋" w:eastAsia="仿宋" w:cs="仿宋"/>
          <w:color w:val="000000"/>
          <w:sz w:val="32"/>
          <w:szCs w:val="32"/>
          <w:lang w:eastAsia="zh-CN"/>
        </w:rPr>
        <w:t>教育基金</w:t>
      </w:r>
      <w:r>
        <w:rPr>
          <w:rFonts w:hint="eastAsia" w:ascii="仿宋" w:hAnsi="仿宋" w:eastAsia="仿宋" w:cs="仿宋"/>
          <w:color w:val="000000"/>
          <w:sz w:val="32"/>
          <w:szCs w:val="32"/>
          <w:lang w:val="en-US" w:eastAsia="zh-CN"/>
        </w:rPr>
        <w:t>20万元</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校园方责任保险</w:t>
      </w:r>
      <w:r>
        <w:rPr>
          <w:rFonts w:hint="eastAsia" w:ascii="仿宋" w:hAnsi="仿宋" w:eastAsia="仿宋" w:cs="仿宋"/>
          <w:color w:val="000000"/>
          <w:sz w:val="32"/>
          <w:szCs w:val="32"/>
          <w:lang w:val="en-US" w:eastAsia="zh-CN"/>
        </w:rPr>
        <w:t>13.5</w:t>
      </w:r>
      <w:r>
        <w:rPr>
          <w:rFonts w:hint="eastAsia" w:ascii="仿宋" w:hAnsi="仿宋" w:eastAsia="仿宋" w:cs="仿宋"/>
          <w:color w:val="000000"/>
          <w:sz w:val="32"/>
          <w:szCs w:val="32"/>
        </w:rPr>
        <w:t>万</w:t>
      </w:r>
      <w:r>
        <w:rPr>
          <w:rFonts w:hint="eastAsia" w:ascii="仿宋" w:hAnsi="仿宋" w:eastAsia="仿宋" w:cs="仿宋"/>
          <w:color w:val="000000"/>
          <w:sz w:val="32"/>
          <w:szCs w:val="32"/>
          <w:lang w:eastAsia="zh-CN"/>
        </w:rPr>
        <w:t>元</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市、区中小学生运动会、全区足球联赛、艺术展演活动</w:t>
      </w:r>
      <w:r>
        <w:rPr>
          <w:rFonts w:hint="eastAsia" w:ascii="仿宋" w:hAnsi="仿宋" w:eastAsia="仿宋" w:cs="仿宋"/>
          <w:color w:val="000000"/>
          <w:sz w:val="32"/>
          <w:szCs w:val="32"/>
          <w:lang w:val="en-US" w:eastAsia="zh-CN"/>
        </w:rPr>
        <w:t>24</w:t>
      </w:r>
      <w:r>
        <w:rPr>
          <w:rFonts w:hint="eastAsia" w:ascii="仿宋" w:hAnsi="仿宋" w:eastAsia="仿宋" w:cs="仿宋"/>
          <w:color w:val="000000"/>
          <w:sz w:val="32"/>
          <w:szCs w:val="32"/>
        </w:rPr>
        <w:t>万</w:t>
      </w:r>
      <w:r>
        <w:rPr>
          <w:rFonts w:hint="eastAsia" w:ascii="仿宋" w:hAnsi="仿宋" w:eastAsia="仿宋" w:cs="仿宋"/>
          <w:color w:val="000000"/>
          <w:sz w:val="32"/>
          <w:szCs w:val="32"/>
          <w:lang w:eastAsia="zh-CN"/>
        </w:rPr>
        <w:t>元</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工会经费</w:t>
      </w:r>
      <w:r>
        <w:rPr>
          <w:rFonts w:hint="eastAsia" w:ascii="仿宋" w:hAnsi="仿宋" w:eastAsia="仿宋" w:cs="仿宋"/>
          <w:color w:val="000000"/>
          <w:sz w:val="32"/>
          <w:szCs w:val="32"/>
          <w:lang w:val="en-US" w:eastAsia="zh-CN"/>
        </w:rPr>
        <w:t>87.2</w:t>
      </w:r>
      <w:r>
        <w:rPr>
          <w:rFonts w:hint="eastAsia" w:ascii="仿宋" w:hAnsi="仿宋" w:eastAsia="仿宋" w:cs="仿宋"/>
          <w:color w:val="000000"/>
          <w:sz w:val="32"/>
          <w:szCs w:val="32"/>
        </w:rPr>
        <w:t>万</w:t>
      </w:r>
      <w:r>
        <w:rPr>
          <w:rFonts w:hint="eastAsia" w:ascii="仿宋" w:hAnsi="仿宋" w:eastAsia="仿宋" w:cs="仿宋"/>
          <w:color w:val="000000"/>
          <w:sz w:val="32"/>
          <w:szCs w:val="32"/>
          <w:lang w:eastAsia="zh-CN"/>
        </w:rPr>
        <w:t>元</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教师培训费</w:t>
      </w:r>
      <w:r>
        <w:rPr>
          <w:rFonts w:hint="eastAsia" w:ascii="仿宋" w:hAnsi="仿宋" w:eastAsia="仿宋" w:cs="仿宋"/>
          <w:color w:val="000000"/>
          <w:sz w:val="32"/>
          <w:szCs w:val="32"/>
          <w:lang w:val="en-US" w:eastAsia="zh-CN"/>
        </w:rPr>
        <w:t>65.4万元、学校安全保护服务费148.8万元、市级课改样板校4万元、</w:t>
      </w:r>
      <w:r>
        <w:rPr>
          <w:rFonts w:hint="eastAsia" w:ascii="仿宋" w:hAnsi="仿宋" w:eastAsia="仿宋" w:cs="仿宋"/>
          <w:color w:val="000000"/>
          <w:sz w:val="32"/>
          <w:szCs w:val="32"/>
          <w:lang w:eastAsia="zh-CN"/>
        </w:rPr>
        <w:t>教师待遇打卡发放（乡村人才津贴、从教</w:t>
      </w:r>
      <w:r>
        <w:rPr>
          <w:rFonts w:hint="eastAsia" w:ascii="仿宋" w:hAnsi="仿宋" w:eastAsia="仿宋" w:cs="仿宋"/>
          <w:color w:val="000000"/>
          <w:sz w:val="32"/>
          <w:szCs w:val="32"/>
          <w:lang w:val="en-US" w:eastAsia="zh-CN"/>
        </w:rPr>
        <w:t>30年退休教师一次性待遇、独生子女父母奖励、代课教师工资、特级教师津贴、女职工卫生费</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252.7万元、教育十条（市、区级骨干教师待遇、省市课题经费）17.33万元、共青团活动经费2万元、教师业务知识考试2万元、新生入学报名系统服务费2万元、教师体检87.46万元、</w:t>
      </w:r>
      <w:r>
        <w:rPr>
          <w:rFonts w:hint="eastAsia" w:ascii="仿宋" w:hAnsi="仿宋" w:eastAsia="仿宋" w:cs="仿宋"/>
          <w:color w:val="000000"/>
          <w:sz w:val="32"/>
          <w:szCs w:val="32"/>
          <w:lang w:eastAsia="zh-CN"/>
        </w:rPr>
        <w:t>原中小学民办代课教师困难生活补助</w:t>
      </w:r>
      <w:r>
        <w:rPr>
          <w:rFonts w:hint="eastAsia" w:ascii="仿宋" w:hAnsi="仿宋" w:eastAsia="仿宋" w:cs="仿宋"/>
          <w:color w:val="000000"/>
          <w:sz w:val="32"/>
          <w:szCs w:val="32"/>
          <w:lang w:val="en-US" w:eastAsia="zh-CN"/>
        </w:rPr>
        <w:t>5.13万元、遗属生活补助6.68万元、特岗教师面试、高校直招、学校安全排查鉴定经费8.7万元、课后服务8.06万元、学校公用经费区级配套112万元</w:t>
      </w:r>
      <w:r>
        <w:rPr>
          <w:rFonts w:hint="eastAsia" w:ascii="仿宋" w:hAnsi="仿宋" w:eastAsia="仿宋" w:cs="仿宋"/>
          <w:color w:val="000000"/>
          <w:sz w:val="32"/>
          <w:szCs w:val="32"/>
        </w:rPr>
        <w:t>。</w:t>
      </w:r>
    </w:p>
    <w:p w14:paraId="5D55559F">
      <w:pPr>
        <w:spacing w:line="592"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二、绩效评价工作情况</w:t>
      </w:r>
    </w:p>
    <w:p w14:paraId="39689033">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（一）绩效评价目的</w:t>
      </w:r>
    </w:p>
    <w:p w14:paraId="16745C62">
      <w:pPr>
        <w:spacing w:line="592"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为规范和加强专项资金管理，切实提高专项资金的使用绩效和管理水平，进一步做好全年</w:t>
      </w:r>
      <w:r>
        <w:rPr>
          <w:rFonts w:hint="eastAsia" w:ascii="仿宋" w:hAnsi="仿宋" w:eastAsia="仿宋" w:cs="仿宋"/>
          <w:color w:val="000000"/>
          <w:sz w:val="32"/>
          <w:szCs w:val="32"/>
          <w:lang w:eastAsia="zh-CN"/>
        </w:rPr>
        <w:t>教育</w:t>
      </w:r>
      <w:r>
        <w:rPr>
          <w:rFonts w:hint="eastAsia" w:ascii="仿宋" w:hAnsi="仿宋" w:eastAsia="仿宋" w:cs="仿宋"/>
          <w:color w:val="000000"/>
          <w:sz w:val="32"/>
          <w:szCs w:val="32"/>
        </w:rPr>
        <w:t>事业专项工作</w:t>
      </w:r>
      <w:r>
        <w:rPr>
          <w:rFonts w:hint="eastAsia" w:ascii="仿宋" w:hAnsi="仿宋" w:eastAsia="仿宋" w:cs="仿宋"/>
          <w:color w:val="000000"/>
          <w:sz w:val="32"/>
          <w:szCs w:val="32"/>
          <w:lang w:eastAsia="zh-CN"/>
        </w:rPr>
        <w:t>，促进全区教育事业健康发展。</w:t>
      </w:r>
    </w:p>
    <w:p w14:paraId="06B72A03">
      <w:pPr>
        <w:numPr>
          <w:ilvl w:val="0"/>
          <w:numId w:val="2"/>
        </w:num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绩效评价工作过程</w:t>
      </w:r>
    </w:p>
    <w:p w14:paraId="264F0220">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在明确评价目的、项目内容的基础上，根据绩效评价规范的要求和本次评价的实际情况，拟定了绩效评价工作计划，组成了由</w:t>
      </w:r>
      <w:r>
        <w:rPr>
          <w:rFonts w:hint="eastAsia" w:ascii="仿宋" w:hAnsi="仿宋" w:eastAsia="仿宋" w:cs="仿宋"/>
          <w:color w:val="000000"/>
          <w:sz w:val="32"/>
          <w:szCs w:val="32"/>
          <w:lang w:eastAsia="zh-CN"/>
        </w:rPr>
        <w:t>局教育股</w:t>
      </w:r>
      <w:r>
        <w:rPr>
          <w:rFonts w:hint="eastAsia" w:ascii="仿宋" w:hAnsi="仿宋" w:eastAsia="仿宋" w:cs="仿宋"/>
          <w:color w:val="000000"/>
          <w:sz w:val="32"/>
          <w:szCs w:val="32"/>
        </w:rPr>
        <w:t>牵头，联合</w:t>
      </w:r>
      <w:r>
        <w:rPr>
          <w:rFonts w:hint="eastAsia" w:ascii="仿宋" w:hAnsi="仿宋" w:eastAsia="仿宋" w:cs="仿宋"/>
          <w:color w:val="000000"/>
          <w:sz w:val="32"/>
          <w:szCs w:val="32"/>
          <w:lang w:eastAsia="zh-CN"/>
        </w:rPr>
        <w:t>党建人事股、安管股、体卫艺中心</w:t>
      </w:r>
      <w:r>
        <w:rPr>
          <w:rFonts w:hint="eastAsia" w:ascii="仿宋" w:hAnsi="仿宋" w:eastAsia="仿宋" w:cs="仿宋"/>
          <w:color w:val="000000"/>
          <w:sz w:val="32"/>
          <w:szCs w:val="32"/>
        </w:rPr>
        <w:t>等股室组成绩效评价工作组，通过调取平台数据、查阅资料、现场核查等方式对该项目的落实情况进行了考核评估，经综合评价，评价结果为“优”。</w:t>
      </w:r>
    </w:p>
    <w:p w14:paraId="7DE80978">
      <w:p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三、项目主要绩效及评价结论</w:t>
      </w:r>
    </w:p>
    <w:p w14:paraId="1C6A8259">
      <w:pPr>
        <w:spacing w:line="592" w:lineRule="exact"/>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（一）项目经济性分析</w:t>
      </w:r>
    </w:p>
    <w:p w14:paraId="5AA0106D">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在资金使用上始终坚持“突出重点、服务基层、加强监管、保证效益”的原则，按照节约、合理的原则，依据基层实际工作开展情况按需分配。把“提倡勤俭节约，反对铺张浪费”贯穿整个资金的使用和管理过程。</w:t>
      </w:r>
    </w:p>
    <w:p w14:paraId="1C41BFAD">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（二）项目效率性分析</w:t>
      </w:r>
    </w:p>
    <w:p w14:paraId="7DA9EADF">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年我</w:t>
      </w:r>
      <w:r>
        <w:rPr>
          <w:rFonts w:hint="eastAsia" w:ascii="仿宋" w:hAnsi="仿宋" w:eastAsia="仿宋" w:cs="仿宋"/>
          <w:color w:val="000000"/>
          <w:sz w:val="32"/>
          <w:szCs w:val="32"/>
          <w:lang w:eastAsia="zh-CN"/>
        </w:rPr>
        <w:t>中心</w:t>
      </w:r>
      <w:r>
        <w:rPr>
          <w:rFonts w:hint="eastAsia" w:ascii="仿宋" w:hAnsi="仿宋" w:eastAsia="仿宋" w:cs="仿宋"/>
          <w:color w:val="000000"/>
          <w:sz w:val="32"/>
          <w:szCs w:val="32"/>
        </w:rPr>
        <w:t>及时</w:t>
      </w:r>
      <w:r>
        <w:rPr>
          <w:rFonts w:hint="eastAsia" w:ascii="仿宋" w:hAnsi="仿宋" w:eastAsia="仿宋" w:cs="仿宋"/>
          <w:color w:val="000000"/>
          <w:sz w:val="32"/>
          <w:szCs w:val="32"/>
          <w:lang w:eastAsia="zh-CN"/>
        </w:rPr>
        <w:t>足额拨付资金</w:t>
      </w:r>
      <w:r>
        <w:rPr>
          <w:rFonts w:hint="eastAsia" w:ascii="仿宋" w:hAnsi="仿宋" w:eastAsia="仿宋" w:cs="仿宋"/>
          <w:color w:val="000000"/>
          <w:sz w:val="32"/>
          <w:szCs w:val="32"/>
        </w:rPr>
        <w:t>，辖区全年无</w:t>
      </w:r>
      <w:r>
        <w:rPr>
          <w:rFonts w:hint="eastAsia" w:ascii="仿宋" w:hAnsi="仿宋" w:eastAsia="仿宋" w:cs="仿宋"/>
          <w:color w:val="000000"/>
          <w:sz w:val="32"/>
          <w:szCs w:val="32"/>
          <w:lang w:eastAsia="zh-CN"/>
        </w:rPr>
        <w:t>教育经费保障信访事件</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教师待遇、原民办代课教师生活补助、遗属生活补助打卡</w:t>
      </w:r>
      <w:r>
        <w:rPr>
          <w:rFonts w:hint="eastAsia" w:ascii="仿宋" w:hAnsi="仿宋" w:eastAsia="仿宋" w:cs="仿宋"/>
          <w:color w:val="000000"/>
          <w:sz w:val="32"/>
          <w:szCs w:val="32"/>
        </w:rPr>
        <w:t>发放率100%，</w:t>
      </w:r>
      <w:r>
        <w:rPr>
          <w:rFonts w:hint="eastAsia" w:eastAsia="仿宋_GB2312" w:cs="仿宋_GB2312"/>
          <w:color w:val="000000"/>
          <w:sz w:val="32"/>
          <w:szCs w:val="32"/>
          <w:lang w:eastAsia="zh-CN"/>
        </w:rPr>
        <w:t>体育赛事和艺术展演活动完成率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教师体检完成率</w:t>
      </w:r>
      <w:r>
        <w:rPr>
          <w:rFonts w:hint="eastAsia" w:ascii="仿宋_GB2312" w:eastAsia="仿宋_GB2312"/>
          <w:sz w:val="32"/>
          <w:szCs w:val="32"/>
          <w:lang w:val="en-US" w:eastAsia="zh-CN"/>
        </w:rPr>
        <w:t>96.58</w:t>
      </w:r>
      <w:r>
        <w:rPr>
          <w:rFonts w:hint="eastAsia" w:ascii="仿宋_GB2312" w:eastAsia="仿宋_GB2312"/>
          <w:sz w:val="32"/>
          <w:szCs w:val="32"/>
        </w:rPr>
        <w:t>%，</w:t>
      </w:r>
      <w:r>
        <w:rPr>
          <w:rFonts w:hint="eastAsia" w:ascii="仿宋_GB2312" w:eastAsia="仿宋_GB2312"/>
          <w:sz w:val="32"/>
          <w:szCs w:val="32"/>
          <w:lang w:eastAsia="zh-CN"/>
        </w:rPr>
        <w:t>教职工培训、工会活动经费完成</w:t>
      </w:r>
      <w:r>
        <w:rPr>
          <w:rFonts w:hint="eastAsia" w:ascii="仿宋_GB2312" w:eastAsia="仿宋_GB2312"/>
          <w:sz w:val="32"/>
          <w:szCs w:val="32"/>
        </w:rPr>
        <w:t>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学校安保人员覆盖率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学校生均公用经费拨付到位率</w:t>
      </w:r>
      <w:r>
        <w:rPr>
          <w:rFonts w:hint="eastAsia" w:ascii="仿宋_GB2312" w:eastAsia="仿宋_GB2312"/>
          <w:sz w:val="32"/>
          <w:szCs w:val="32"/>
        </w:rPr>
        <w:t>100%。</w:t>
      </w:r>
    </w:p>
    <w:p w14:paraId="0790E7B0">
      <w:pPr>
        <w:spacing w:line="592" w:lineRule="exact"/>
        <w:ind w:firstLine="643" w:firstLineChars="200"/>
        <w:rPr>
          <w:rFonts w:ascii="楷体" w:hAnsi="楷体" w:eastAsia="楷体" w:cs="楷体"/>
          <w:b/>
          <w:bCs/>
          <w:color w:val="000000"/>
          <w:sz w:val="32"/>
          <w:szCs w:val="32"/>
        </w:rPr>
      </w:pPr>
      <w:r>
        <w:rPr>
          <w:rFonts w:hint="eastAsia" w:ascii="楷体" w:hAnsi="楷体" w:eastAsia="楷体" w:cs="楷体"/>
          <w:b/>
          <w:bCs/>
          <w:color w:val="000000"/>
          <w:sz w:val="32"/>
          <w:szCs w:val="32"/>
        </w:rPr>
        <w:t>（三）项目效益性分析</w:t>
      </w:r>
    </w:p>
    <w:p w14:paraId="08501216">
      <w:pPr>
        <w:spacing w:line="592" w:lineRule="exact"/>
        <w:ind w:firstLine="640" w:firstLineChars="200"/>
        <w:jc w:val="left"/>
        <w:rPr>
          <w:rFonts w:ascii="仿宋" w:hAnsi="仿宋" w:eastAsia="仿宋" w:cs="仿宋"/>
          <w:bCs/>
          <w:color w:val="000000"/>
          <w:sz w:val="32"/>
          <w:szCs w:val="32"/>
        </w:rPr>
      </w:pPr>
      <w:r>
        <w:rPr>
          <w:rFonts w:hint="eastAsia" w:ascii="仿宋" w:hAnsi="仿宋" w:eastAsia="仿宋" w:cs="仿宋"/>
          <w:bCs/>
          <w:color w:val="000000"/>
          <w:sz w:val="32"/>
          <w:szCs w:val="32"/>
        </w:rPr>
        <w:t>从经济效益上看，促进了全区</w:t>
      </w:r>
      <w:r>
        <w:rPr>
          <w:rFonts w:hint="eastAsia" w:ascii="仿宋" w:hAnsi="仿宋" w:eastAsia="仿宋" w:cs="仿宋"/>
          <w:bCs/>
          <w:color w:val="000000"/>
          <w:sz w:val="32"/>
          <w:szCs w:val="32"/>
          <w:lang w:eastAsia="zh-CN"/>
        </w:rPr>
        <w:t>教育</w:t>
      </w:r>
      <w:r>
        <w:rPr>
          <w:rFonts w:hint="eastAsia" w:ascii="仿宋" w:hAnsi="仿宋" w:eastAsia="仿宋" w:cs="仿宋"/>
          <w:bCs/>
          <w:color w:val="000000"/>
          <w:sz w:val="32"/>
          <w:szCs w:val="32"/>
        </w:rPr>
        <w:t>事业的发展；社会效益上，</w:t>
      </w:r>
      <w:r>
        <w:rPr>
          <w:rFonts w:hint="eastAsia" w:ascii="仿宋" w:hAnsi="仿宋" w:eastAsia="仿宋" w:cs="仿宋"/>
          <w:bCs/>
          <w:color w:val="000000"/>
          <w:sz w:val="32"/>
          <w:szCs w:val="32"/>
          <w:lang w:eastAsia="zh-CN"/>
        </w:rPr>
        <w:t>稳定教师队伍，活跃职工文化生活</w:t>
      </w:r>
      <w:r>
        <w:rPr>
          <w:rFonts w:hint="eastAsia" w:ascii="仿宋" w:hAnsi="仿宋" w:eastAsia="仿宋" w:cs="仿宋"/>
          <w:bCs/>
          <w:color w:val="000000"/>
          <w:sz w:val="32"/>
          <w:szCs w:val="32"/>
        </w:rPr>
        <w:t>，</w:t>
      </w:r>
      <w:r>
        <w:rPr>
          <w:rFonts w:hint="eastAsia" w:ascii="仿宋" w:hAnsi="仿宋" w:eastAsia="仿宋" w:cs="仿宋"/>
          <w:bCs/>
          <w:color w:val="000000"/>
          <w:sz w:val="32"/>
          <w:szCs w:val="32"/>
          <w:lang w:eastAsia="zh-CN"/>
        </w:rPr>
        <w:t>保障学校正常有序运转，</w:t>
      </w:r>
      <w:r>
        <w:rPr>
          <w:rFonts w:hint="eastAsia" w:ascii="仿宋" w:hAnsi="仿宋" w:eastAsia="仿宋" w:cs="仿宋"/>
          <w:bCs/>
          <w:color w:val="000000"/>
          <w:sz w:val="32"/>
          <w:szCs w:val="32"/>
        </w:rPr>
        <w:t>有效</w:t>
      </w:r>
      <w:r>
        <w:rPr>
          <w:rFonts w:hint="eastAsia" w:ascii="仿宋" w:hAnsi="仿宋" w:eastAsia="仿宋" w:cs="仿宋"/>
          <w:bCs/>
          <w:color w:val="000000"/>
          <w:sz w:val="32"/>
          <w:szCs w:val="32"/>
          <w:lang w:eastAsia="zh-CN"/>
        </w:rPr>
        <w:t>地</w:t>
      </w:r>
      <w:r>
        <w:rPr>
          <w:rFonts w:hint="eastAsia" w:ascii="仿宋" w:hAnsi="仿宋" w:eastAsia="仿宋" w:cs="仿宋"/>
          <w:bCs/>
          <w:color w:val="000000"/>
          <w:sz w:val="32"/>
          <w:szCs w:val="32"/>
        </w:rPr>
        <w:t>维护了社会公共安全，从生态效益上看，</w:t>
      </w:r>
      <w:r>
        <w:rPr>
          <w:rFonts w:hint="eastAsia" w:ascii="仿宋" w:hAnsi="仿宋" w:eastAsia="仿宋" w:cs="仿宋"/>
          <w:bCs/>
          <w:color w:val="000000"/>
          <w:sz w:val="32"/>
          <w:szCs w:val="32"/>
          <w:lang w:eastAsia="zh-CN"/>
        </w:rPr>
        <w:t>全民受教育程度增加，</w:t>
      </w:r>
      <w:r>
        <w:rPr>
          <w:rFonts w:hint="eastAsia" w:ascii="仿宋" w:hAnsi="仿宋" w:eastAsia="仿宋" w:cs="仿宋"/>
          <w:bCs/>
          <w:color w:val="000000"/>
          <w:sz w:val="32"/>
          <w:szCs w:val="32"/>
        </w:rPr>
        <w:t>群众满意度高。</w:t>
      </w:r>
    </w:p>
    <w:p w14:paraId="01165428">
      <w:pPr>
        <w:numPr>
          <w:ilvl w:val="0"/>
          <w:numId w:val="3"/>
        </w:numPr>
        <w:spacing w:line="592" w:lineRule="exact"/>
        <w:ind w:firstLine="640" w:firstLineChars="200"/>
        <w:rPr>
          <w:rFonts w:ascii="仿宋" w:hAnsi="仿宋" w:eastAsia="仿宋" w:cs="仿宋"/>
          <w:bCs/>
          <w:color w:val="000000"/>
          <w:sz w:val="32"/>
          <w:szCs w:val="32"/>
        </w:rPr>
      </w:pPr>
      <w:r>
        <w:rPr>
          <w:rFonts w:hint="eastAsia" w:ascii="黑体" w:hAnsi="黑体" w:eastAsia="黑体" w:cs="仿宋_GB2312"/>
          <w:bCs/>
          <w:color w:val="000000"/>
          <w:sz w:val="32"/>
          <w:szCs w:val="32"/>
        </w:rPr>
        <w:t>存在的问题</w:t>
      </w:r>
    </w:p>
    <w:p w14:paraId="28D89E57">
      <w:pPr>
        <w:overflowPunct w:val="0"/>
        <w:autoSpaceDE w:val="0"/>
        <w:autoSpaceDN w:val="0"/>
        <w:spacing w:line="592" w:lineRule="exact"/>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一是预算编制欠严谨，支出项目细化量化不够，预算调整</w:t>
      </w:r>
      <w:r>
        <w:rPr>
          <w:rFonts w:hint="eastAsia" w:ascii="仿宋" w:hAnsi="仿宋" w:eastAsia="仿宋" w:cs="仿宋"/>
          <w:bCs/>
          <w:color w:val="000000"/>
          <w:sz w:val="32"/>
          <w:szCs w:val="32"/>
          <w:lang w:eastAsia="zh-CN"/>
        </w:rPr>
        <w:t>偏</w:t>
      </w:r>
      <w:r>
        <w:rPr>
          <w:rFonts w:hint="eastAsia" w:ascii="仿宋" w:hAnsi="仿宋" w:eastAsia="仿宋" w:cs="仿宋"/>
          <w:bCs/>
          <w:color w:val="000000"/>
          <w:sz w:val="32"/>
          <w:szCs w:val="32"/>
        </w:rPr>
        <w:t>大，项目不够完整、细化；二是</w:t>
      </w:r>
      <w:r>
        <w:rPr>
          <w:rFonts w:hint="eastAsia" w:ascii="仿宋" w:hAnsi="仿宋" w:eastAsia="仿宋" w:cs="仿宋"/>
          <w:bCs/>
          <w:color w:val="000000"/>
          <w:sz w:val="32"/>
          <w:szCs w:val="32"/>
          <w:lang w:eastAsia="zh-CN"/>
        </w:rPr>
        <w:t>学校教师流动及流失问题，导致师资配备参差不齐，在一定程度上制约了大通湖区教育的健康、快速发展</w:t>
      </w:r>
      <w:r>
        <w:rPr>
          <w:rFonts w:hint="eastAsia" w:ascii="仿宋" w:hAnsi="仿宋" w:eastAsia="仿宋" w:cs="仿宋"/>
          <w:bCs/>
          <w:color w:val="000000"/>
          <w:sz w:val="32"/>
          <w:szCs w:val="32"/>
        </w:rPr>
        <w:t>。</w:t>
      </w:r>
    </w:p>
    <w:p w14:paraId="78FFA789">
      <w:pPr>
        <w:numPr>
          <w:ilvl w:val="0"/>
          <w:numId w:val="4"/>
        </w:num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有关建议</w:t>
      </w:r>
    </w:p>
    <w:p w14:paraId="10472B71">
      <w:pPr>
        <w:spacing w:line="592" w:lineRule="exact"/>
        <w:ind w:firstLine="640" w:firstLineChars="200"/>
        <w:rPr>
          <w:rFonts w:ascii="仿宋" w:hAnsi="仿宋" w:eastAsia="仿宋" w:cs="仿宋"/>
          <w:bCs/>
          <w:color w:val="000000"/>
          <w:sz w:val="32"/>
          <w:szCs w:val="32"/>
        </w:rPr>
      </w:pPr>
      <w:r>
        <w:rPr>
          <w:rFonts w:hint="eastAsia" w:ascii="黑体" w:hAnsi="黑体" w:eastAsia="黑体" w:cs="仿宋_GB2312"/>
          <w:bCs/>
          <w:color w:val="000000"/>
          <w:sz w:val="32"/>
          <w:szCs w:val="32"/>
        </w:rPr>
        <w:t xml:space="preserve"> </w:t>
      </w:r>
      <w:r>
        <w:rPr>
          <w:rFonts w:hint="eastAsia" w:ascii="仿宋" w:hAnsi="仿宋" w:eastAsia="仿宋" w:cs="仿宋"/>
          <w:bCs/>
          <w:color w:val="000000"/>
          <w:sz w:val="32"/>
          <w:szCs w:val="32"/>
        </w:rPr>
        <w:t>一是细化预算编制工作，认真做好预算编制工作进一步加强内部机构的预算管理意识，严格按照编制的相关制度和要求，</w:t>
      </w:r>
      <w:r>
        <w:rPr>
          <w:rFonts w:hint="eastAsia" w:ascii="仿宋" w:hAnsi="仿宋" w:eastAsia="仿宋" w:cs="仿宋"/>
          <w:bCs/>
          <w:color w:val="000000"/>
          <w:sz w:val="32"/>
          <w:szCs w:val="32"/>
          <w:lang w:eastAsia="zh-CN"/>
        </w:rPr>
        <w:t>本着</w:t>
      </w:r>
      <w:r>
        <w:rPr>
          <w:rFonts w:hint="eastAsia" w:ascii="仿宋" w:hAnsi="仿宋" w:eastAsia="仿宋" w:cs="仿宋"/>
          <w:bCs/>
          <w:color w:val="000000"/>
          <w:sz w:val="32"/>
          <w:szCs w:val="32"/>
        </w:rPr>
        <w:t>“勤俭节约、确保运行”的原则进行预算编制，编制范围尽可能的全面、不漏项，进一步提高预算编制的科学性、合理性、严谨性和可控性；二是</w:t>
      </w:r>
      <w:r>
        <w:rPr>
          <w:rFonts w:hint="eastAsia" w:ascii="仿宋" w:hAnsi="仿宋" w:eastAsia="仿宋" w:cs="仿宋"/>
          <w:bCs/>
          <w:color w:val="000000"/>
          <w:sz w:val="32"/>
          <w:szCs w:val="32"/>
          <w:lang w:eastAsia="zh-CN"/>
        </w:rPr>
        <w:t>依法提高学校教师工资待遇水平</w:t>
      </w:r>
      <w:r>
        <w:rPr>
          <w:rFonts w:hint="eastAsia" w:ascii="仿宋" w:hAnsi="仿宋" w:eastAsia="仿宋" w:cs="仿宋"/>
          <w:bCs/>
          <w:color w:val="000000"/>
          <w:sz w:val="32"/>
          <w:szCs w:val="32"/>
        </w:rPr>
        <w:t>。</w:t>
      </w:r>
    </w:p>
    <w:p w14:paraId="57CB6BDC">
      <w:p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六、其他需要说明的问题</w:t>
      </w:r>
    </w:p>
    <w:p w14:paraId="2BA8160B">
      <w:pPr>
        <w:tabs>
          <w:tab w:val="left" w:pos="1502"/>
          <w:tab w:val="left" w:pos="2455"/>
          <w:tab w:val="left" w:pos="5327"/>
        </w:tabs>
        <w:jc w:val="left"/>
        <w:rPr>
          <w:rFonts w:ascii="仿宋" w:hAnsi="仿宋" w:eastAsia="仿宋" w:cs="仿宋"/>
          <w:sz w:val="32"/>
          <w:szCs w:val="32"/>
        </w:rPr>
      </w:pPr>
      <w:r>
        <w:rPr>
          <w:rFonts w:hint="eastAsia"/>
          <w:sz w:val="32"/>
          <w:szCs w:val="32"/>
        </w:rPr>
        <w:t xml:space="preserve"> </w:t>
      </w:r>
      <w:r>
        <w:rPr>
          <w:rFonts w:hint="eastAsia" w:ascii="仿宋" w:hAnsi="仿宋" w:eastAsia="仿宋" w:cs="仿宋"/>
          <w:sz w:val="32"/>
          <w:szCs w:val="32"/>
        </w:rPr>
        <w:t xml:space="preserve">  无</w:t>
      </w:r>
    </w:p>
    <w:p w14:paraId="06E3368A">
      <w:pPr>
        <w:tabs>
          <w:tab w:val="left" w:pos="1502"/>
          <w:tab w:val="left" w:pos="2455"/>
          <w:tab w:val="left" w:pos="5327"/>
        </w:tabs>
        <w:jc w:val="left"/>
        <w:rPr>
          <w:rFonts w:ascii="仿宋" w:hAnsi="仿宋" w:eastAsia="仿宋" w:cs="仿宋"/>
          <w:sz w:val="32"/>
          <w:szCs w:val="32"/>
        </w:rPr>
      </w:pPr>
    </w:p>
    <w:p w14:paraId="3AF2C546">
      <w:pPr>
        <w:tabs>
          <w:tab w:val="left" w:pos="1502"/>
          <w:tab w:val="left" w:pos="2455"/>
          <w:tab w:val="left" w:pos="5327"/>
        </w:tabs>
        <w:jc w:val="left"/>
        <w:rPr>
          <w:rFonts w:ascii="仿宋" w:hAnsi="仿宋" w:eastAsia="仿宋" w:cs="仿宋"/>
          <w:sz w:val="32"/>
          <w:szCs w:val="32"/>
        </w:rPr>
      </w:pPr>
    </w:p>
    <w:p w14:paraId="046EC081">
      <w:pPr>
        <w:tabs>
          <w:tab w:val="left" w:pos="1502"/>
          <w:tab w:val="left" w:pos="2455"/>
          <w:tab w:val="left" w:pos="5327"/>
        </w:tabs>
        <w:jc w:val="left"/>
        <w:rPr>
          <w:rFonts w:ascii="仿宋" w:hAnsi="仿宋" w:eastAsia="仿宋" w:cs="仿宋"/>
          <w:sz w:val="32"/>
          <w:szCs w:val="32"/>
        </w:rPr>
      </w:pPr>
    </w:p>
    <w:p w14:paraId="66706ED0">
      <w:pPr>
        <w:tabs>
          <w:tab w:val="left" w:pos="1502"/>
          <w:tab w:val="left" w:pos="2455"/>
          <w:tab w:val="left" w:pos="5327"/>
        </w:tabs>
        <w:jc w:val="left"/>
        <w:rPr>
          <w:rFonts w:ascii="仿宋" w:hAnsi="仿宋" w:eastAsia="仿宋" w:cs="仿宋"/>
          <w:sz w:val="32"/>
          <w:szCs w:val="32"/>
        </w:rPr>
      </w:pPr>
    </w:p>
    <w:p w14:paraId="0801C595">
      <w:pPr>
        <w:tabs>
          <w:tab w:val="left" w:pos="1502"/>
          <w:tab w:val="left" w:pos="2455"/>
          <w:tab w:val="left" w:pos="5327"/>
        </w:tabs>
        <w:jc w:val="left"/>
        <w:rPr>
          <w:rFonts w:ascii="仿宋" w:hAnsi="仿宋" w:eastAsia="仿宋" w:cs="仿宋"/>
          <w:sz w:val="32"/>
          <w:szCs w:val="32"/>
        </w:rPr>
      </w:pPr>
    </w:p>
    <w:p w14:paraId="5BC36958">
      <w:pPr>
        <w:tabs>
          <w:tab w:val="left" w:pos="1502"/>
          <w:tab w:val="left" w:pos="2455"/>
          <w:tab w:val="left" w:pos="5327"/>
        </w:tabs>
        <w:jc w:val="left"/>
        <w:rPr>
          <w:rFonts w:ascii="仿宋" w:hAnsi="仿宋" w:eastAsia="仿宋" w:cs="仿宋"/>
          <w:sz w:val="32"/>
          <w:szCs w:val="32"/>
        </w:rPr>
      </w:pPr>
    </w:p>
    <w:p w14:paraId="1DFC2596">
      <w:pPr>
        <w:tabs>
          <w:tab w:val="left" w:pos="1502"/>
          <w:tab w:val="left" w:pos="2455"/>
          <w:tab w:val="left" w:pos="5327"/>
        </w:tabs>
        <w:jc w:val="left"/>
        <w:rPr>
          <w:rFonts w:ascii="仿宋" w:hAnsi="仿宋" w:eastAsia="仿宋" w:cs="仿宋"/>
          <w:sz w:val="32"/>
          <w:szCs w:val="32"/>
        </w:rPr>
      </w:pPr>
    </w:p>
    <w:p w14:paraId="30A3E826">
      <w:pPr>
        <w:tabs>
          <w:tab w:val="left" w:pos="1502"/>
          <w:tab w:val="left" w:pos="2455"/>
          <w:tab w:val="left" w:pos="5327"/>
        </w:tabs>
        <w:jc w:val="left"/>
        <w:rPr>
          <w:rFonts w:ascii="仿宋" w:hAnsi="仿宋" w:eastAsia="仿宋" w:cs="仿宋"/>
          <w:sz w:val="32"/>
          <w:szCs w:val="32"/>
        </w:rPr>
      </w:pPr>
      <w:r>
        <w:rPr>
          <w:rFonts w:hint="eastAsia" w:ascii="仿宋" w:hAnsi="仿宋" w:eastAsia="仿宋" w:cs="仿宋"/>
          <w:sz w:val="32"/>
          <w:szCs w:val="32"/>
        </w:rPr>
        <w:t xml:space="preserve">           益阳市大通湖区教育和卫生健康局教育核算办</w:t>
      </w:r>
    </w:p>
    <w:p w14:paraId="2E4540B1">
      <w:pPr>
        <w:tabs>
          <w:tab w:val="left" w:pos="1502"/>
          <w:tab w:val="left" w:pos="2455"/>
          <w:tab w:val="left" w:pos="5327"/>
        </w:tabs>
        <w:jc w:val="left"/>
        <w:rPr>
          <w:rFonts w:ascii="仿宋" w:hAnsi="仿宋" w:eastAsia="仿宋" w:cs="仿宋"/>
          <w:sz w:val="32"/>
          <w:szCs w:val="32"/>
        </w:rPr>
      </w:pPr>
      <w:r>
        <w:rPr>
          <w:rFonts w:hint="eastAsia" w:ascii="仿宋" w:hAnsi="仿宋" w:eastAsia="仿宋" w:cs="仿宋"/>
          <w:sz w:val="32"/>
          <w:szCs w:val="32"/>
        </w:rPr>
        <w:t xml:space="preserve">                       2023年7月31日</w:t>
      </w:r>
    </w:p>
    <w:p w14:paraId="7BFC0CAF">
      <w:pPr>
        <w:tabs>
          <w:tab w:val="left" w:pos="1502"/>
          <w:tab w:val="left" w:pos="2455"/>
          <w:tab w:val="left" w:pos="5327"/>
        </w:tabs>
        <w:jc w:val="left"/>
        <w:rPr>
          <w:rFonts w:ascii="仿宋" w:hAnsi="仿宋" w:eastAsia="仿宋" w:cs="仿宋"/>
          <w:sz w:val="32"/>
          <w:szCs w:val="32"/>
        </w:rPr>
      </w:pPr>
    </w:p>
    <w:p w14:paraId="58A7CC7D">
      <w:pPr>
        <w:autoSpaceDE w:val="0"/>
        <w:autoSpaceDN w:val="0"/>
        <w:spacing w:line="592" w:lineRule="exact"/>
        <w:jc w:val="center"/>
        <w:rPr>
          <w:rFonts w:hint="eastAsia" w:ascii="方正大标宋简体" w:eastAsia="方正大标宋简体" w:cs="仿宋_GB2312"/>
          <w:color w:val="000000"/>
          <w:sz w:val="44"/>
          <w:szCs w:val="44"/>
        </w:rPr>
      </w:pPr>
    </w:p>
    <w:p w14:paraId="64967D38">
      <w:pPr>
        <w:autoSpaceDE w:val="0"/>
        <w:autoSpaceDN w:val="0"/>
        <w:spacing w:line="592" w:lineRule="exact"/>
        <w:jc w:val="center"/>
        <w:rPr>
          <w:rFonts w:hint="eastAsia" w:ascii="方正大标宋简体" w:eastAsia="方正大标宋简体" w:cs="仿宋_GB2312"/>
          <w:color w:val="000000"/>
          <w:sz w:val="44"/>
          <w:szCs w:val="44"/>
        </w:rPr>
      </w:pPr>
    </w:p>
    <w:p w14:paraId="35389674">
      <w:pPr>
        <w:autoSpaceDE w:val="0"/>
        <w:autoSpaceDN w:val="0"/>
        <w:spacing w:line="592" w:lineRule="exact"/>
        <w:jc w:val="center"/>
        <w:rPr>
          <w:rFonts w:hint="eastAsia" w:ascii="方正大标宋简体" w:eastAsia="方正大标宋简体" w:cs="仿宋_GB2312"/>
          <w:color w:val="000000"/>
          <w:sz w:val="44"/>
          <w:szCs w:val="44"/>
        </w:rPr>
      </w:pPr>
    </w:p>
    <w:p w14:paraId="3B29D13A">
      <w:pPr>
        <w:autoSpaceDE w:val="0"/>
        <w:autoSpaceDN w:val="0"/>
        <w:spacing w:line="592" w:lineRule="exact"/>
        <w:jc w:val="center"/>
        <w:rPr>
          <w:rFonts w:hint="eastAsia" w:ascii="方正大标宋简体" w:eastAsia="方正大标宋简体" w:cs="仿宋_GB2312"/>
          <w:color w:val="000000"/>
          <w:sz w:val="44"/>
          <w:szCs w:val="44"/>
        </w:rPr>
      </w:pPr>
    </w:p>
    <w:p w14:paraId="68D646B8">
      <w:pPr>
        <w:autoSpaceDE w:val="0"/>
        <w:autoSpaceDN w:val="0"/>
        <w:spacing w:line="592" w:lineRule="exact"/>
        <w:jc w:val="center"/>
        <w:rPr>
          <w:rFonts w:hint="eastAsia" w:ascii="方正大标宋简体" w:eastAsia="方正大标宋简体" w:cs="仿宋_GB2312"/>
          <w:color w:val="000000"/>
          <w:sz w:val="44"/>
          <w:szCs w:val="44"/>
        </w:rPr>
      </w:pPr>
    </w:p>
    <w:p w14:paraId="2869E665">
      <w:pPr>
        <w:autoSpaceDE w:val="0"/>
        <w:autoSpaceDN w:val="0"/>
        <w:spacing w:line="592" w:lineRule="exact"/>
        <w:jc w:val="center"/>
        <w:rPr>
          <w:rFonts w:hint="eastAsia" w:ascii="方正大标宋简体" w:eastAsia="方正大标宋简体" w:cs="仿宋_GB2312"/>
          <w:color w:val="000000"/>
          <w:sz w:val="44"/>
          <w:szCs w:val="44"/>
        </w:rPr>
      </w:pPr>
    </w:p>
    <w:p w14:paraId="0D092B62">
      <w:pPr>
        <w:autoSpaceDE w:val="0"/>
        <w:autoSpaceDN w:val="0"/>
        <w:spacing w:line="592" w:lineRule="exact"/>
        <w:jc w:val="center"/>
        <w:rPr>
          <w:rFonts w:hint="eastAsia" w:ascii="方正大标宋简体" w:eastAsia="方正大标宋简体" w:cs="仿宋_GB2312"/>
          <w:color w:val="000000"/>
          <w:sz w:val="44"/>
          <w:szCs w:val="44"/>
        </w:rPr>
      </w:pPr>
    </w:p>
    <w:p w14:paraId="1D0B09C2">
      <w:pPr>
        <w:autoSpaceDE w:val="0"/>
        <w:autoSpaceDN w:val="0"/>
        <w:spacing w:line="592" w:lineRule="exact"/>
        <w:jc w:val="both"/>
        <w:rPr>
          <w:rFonts w:hint="eastAsia" w:ascii="方正大标宋简体" w:eastAsia="方正大标宋简体" w:cs="仿宋_GB2312"/>
          <w:color w:val="000000"/>
          <w:sz w:val="44"/>
          <w:szCs w:val="44"/>
        </w:rPr>
      </w:pPr>
    </w:p>
    <w:p w14:paraId="512D7994">
      <w:pPr>
        <w:autoSpaceDE w:val="0"/>
        <w:autoSpaceDN w:val="0"/>
        <w:spacing w:line="592" w:lineRule="exact"/>
        <w:jc w:val="center"/>
        <w:rPr>
          <w:rFonts w:ascii="方正大标宋简体" w:eastAsia="方正大标宋简体" w:cs="仿宋_GB2312"/>
          <w:color w:val="000000"/>
          <w:sz w:val="44"/>
          <w:szCs w:val="44"/>
        </w:rPr>
      </w:pPr>
      <w:r>
        <w:rPr>
          <w:rFonts w:hint="eastAsia" w:ascii="方正大标宋简体" w:eastAsia="方正大标宋简体" w:cs="仿宋_GB2312"/>
          <w:color w:val="000000"/>
          <w:sz w:val="44"/>
          <w:szCs w:val="44"/>
        </w:rPr>
        <w:t>2023年项目支出绩效自评指标计分表</w:t>
      </w:r>
    </w:p>
    <w:tbl>
      <w:tblPr>
        <w:tblStyle w:val="7"/>
        <w:tblW w:w="10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97"/>
        <w:gridCol w:w="1054"/>
        <w:gridCol w:w="1054"/>
        <w:gridCol w:w="932"/>
        <w:gridCol w:w="3000"/>
        <w:gridCol w:w="3353"/>
        <w:gridCol w:w="355"/>
      </w:tblGrid>
      <w:tr w14:paraId="29FD2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7" w:hRule="atLeast"/>
          <w:tblHeader/>
          <w:jc w:val="center"/>
        </w:trPr>
        <w:tc>
          <w:tcPr>
            <w:tcW w:w="797" w:type="dxa"/>
            <w:tcBorders>
              <w:top w:val="single" w:color="auto" w:sz="4" w:space="0"/>
              <w:left w:val="single" w:color="auto" w:sz="4" w:space="0"/>
              <w:bottom w:val="single" w:color="auto" w:sz="4" w:space="0"/>
              <w:right w:val="single" w:color="auto" w:sz="4" w:space="0"/>
            </w:tcBorders>
            <w:vAlign w:val="center"/>
          </w:tcPr>
          <w:p w14:paraId="64E69A09">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一级</w:t>
            </w:r>
          </w:p>
          <w:p w14:paraId="2F34E50F">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指标</w:t>
            </w:r>
          </w:p>
        </w:tc>
        <w:tc>
          <w:tcPr>
            <w:tcW w:w="1054" w:type="dxa"/>
            <w:tcBorders>
              <w:top w:val="single" w:color="auto" w:sz="4" w:space="0"/>
              <w:left w:val="single" w:color="auto" w:sz="4" w:space="0"/>
              <w:bottom w:val="single" w:color="auto" w:sz="4" w:space="0"/>
              <w:right w:val="single" w:color="auto" w:sz="4" w:space="0"/>
            </w:tcBorders>
            <w:vAlign w:val="center"/>
          </w:tcPr>
          <w:p w14:paraId="640A95EC">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二级</w:t>
            </w:r>
          </w:p>
          <w:p w14:paraId="7DBFA137">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指标</w:t>
            </w:r>
          </w:p>
        </w:tc>
        <w:tc>
          <w:tcPr>
            <w:tcW w:w="1054" w:type="dxa"/>
            <w:tcBorders>
              <w:top w:val="single" w:color="auto" w:sz="4" w:space="0"/>
              <w:left w:val="single" w:color="auto" w:sz="4" w:space="0"/>
              <w:bottom w:val="single" w:color="auto" w:sz="4" w:space="0"/>
              <w:right w:val="single" w:color="auto" w:sz="4" w:space="0"/>
            </w:tcBorders>
            <w:vAlign w:val="center"/>
          </w:tcPr>
          <w:p w14:paraId="648C22A1">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三级</w:t>
            </w:r>
          </w:p>
          <w:p w14:paraId="7A916398">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指标</w:t>
            </w:r>
          </w:p>
        </w:tc>
        <w:tc>
          <w:tcPr>
            <w:tcW w:w="932" w:type="dxa"/>
            <w:tcBorders>
              <w:top w:val="single" w:color="auto" w:sz="4" w:space="0"/>
              <w:left w:val="single" w:color="auto" w:sz="4" w:space="0"/>
              <w:bottom w:val="single" w:color="auto" w:sz="4" w:space="0"/>
              <w:right w:val="single" w:color="auto" w:sz="4" w:space="0"/>
            </w:tcBorders>
            <w:vAlign w:val="center"/>
          </w:tcPr>
          <w:p w14:paraId="26ADA887">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自评分</w:t>
            </w:r>
          </w:p>
        </w:tc>
        <w:tc>
          <w:tcPr>
            <w:tcW w:w="3000" w:type="dxa"/>
            <w:tcBorders>
              <w:top w:val="single" w:color="auto" w:sz="4" w:space="0"/>
              <w:left w:val="single" w:color="auto" w:sz="4" w:space="0"/>
              <w:bottom w:val="single" w:color="auto" w:sz="4" w:space="0"/>
              <w:right w:val="single" w:color="auto" w:sz="4" w:space="0"/>
            </w:tcBorders>
            <w:vAlign w:val="center"/>
          </w:tcPr>
          <w:p w14:paraId="267A6F0E">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具体指标</w:t>
            </w:r>
          </w:p>
        </w:tc>
        <w:tc>
          <w:tcPr>
            <w:tcW w:w="3353" w:type="dxa"/>
            <w:tcBorders>
              <w:top w:val="single" w:color="auto" w:sz="4" w:space="0"/>
              <w:left w:val="single" w:color="auto" w:sz="4" w:space="0"/>
              <w:bottom w:val="single" w:color="auto" w:sz="4" w:space="0"/>
              <w:right w:val="single" w:color="auto" w:sz="4" w:space="0"/>
            </w:tcBorders>
            <w:vAlign w:val="center"/>
          </w:tcPr>
          <w:p w14:paraId="441F5157">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评价标准</w:t>
            </w:r>
          </w:p>
        </w:tc>
        <w:tc>
          <w:tcPr>
            <w:tcW w:w="355" w:type="dxa"/>
            <w:tcBorders>
              <w:top w:val="single" w:color="auto" w:sz="4" w:space="0"/>
              <w:left w:val="single" w:color="auto" w:sz="4" w:space="0"/>
              <w:bottom w:val="single" w:color="auto" w:sz="4" w:space="0"/>
              <w:right w:val="single" w:color="auto" w:sz="4" w:space="0"/>
            </w:tcBorders>
            <w:vAlign w:val="center"/>
          </w:tcPr>
          <w:p w14:paraId="2DD8B75E">
            <w:pPr>
              <w:widowControl/>
              <w:spacing w:line="260" w:lineRule="exact"/>
              <w:jc w:val="center"/>
              <w:rPr>
                <w:rFonts w:ascii="宋体" w:hAnsi="宋体" w:cs="仿宋_GB2312"/>
                <w:b/>
                <w:bCs/>
                <w:color w:val="000000"/>
                <w:kern w:val="0"/>
                <w:sz w:val="24"/>
              </w:rPr>
            </w:pPr>
            <w:r>
              <w:rPr>
                <w:rFonts w:hint="eastAsia" w:cs="宋体"/>
                <w:b/>
                <w:color w:val="000000"/>
                <w:kern w:val="0"/>
                <w:sz w:val="24"/>
              </w:rPr>
              <w:t>得分</w:t>
            </w:r>
          </w:p>
        </w:tc>
      </w:tr>
      <w:tr w14:paraId="72835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33" w:hRule="atLeast"/>
          <w:jc w:val="center"/>
        </w:trPr>
        <w:tc>
          <w:tcPr>
            <w:tcW w:w="797" w:type="dxa"/>
            <w:vMerge w:val="restart"/>
            <w:tcBorders>
              <w:top w:val="single" w:color="auto" w:sz="4" w:space="0"/>
              <w:left w:val="single" w:color="auto" w:sz="4" w:space="0"/>
              <w:bottom w:val="single" w:color="auto" w:sz="4" w:space="0"/>
              <w:right w:val="single" w:color="auto" w:sz="4" w:space="0"/>
            </w:tcBorders>
            <w:vAlign w:val="center"/>
          </w:tcPr>
          <w:p w14:paraId="5DD86CBA">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012720A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531FA68F">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w:t>
            </w:r>
          </w:p>
          <w:p w14:paraId="54627A4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策</w:t>
            </w:r>
          </w:p>
          <w:p w14:paraId="15D3062B">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（15分）</w:t>
            </w: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295023A9">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决策</w:t>
            </w:r>
          </w:p>
          <w:p w14:paraId="2174BE1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过程</w:t>
            </w:r>
          </w:p>
          <w:p w14:paraId="5CDF110C">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1054" w:type="dxa"/>
            <w:tcBorders>
              <w:top w:val="single" w:color="auto" w:sz="4" w:space="0"/>
              <w:left w:val="single" w:color="auto" w:sz="4" w:space="0"/>
              <w:bottom w:val="single" w:color="auto" w:sz="4" w:space="0"/>
              <w:right w:val="single" w:color="auto" w:sz="4" w:space="0"/>
            </w:tcBorders>
            <w:vAlign w:val="center"/>
          </w:tcPr>
          <w:p w14:paraId="67A31385">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决策</w:t>
            </w:r>
          </w:p>
          <w:p w14:paraId="268F04F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依据</w:t>
            </w:r>
          </w:p>
          <w:p w14:paraId="313ACD7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（4分）</w:t>
            </w:r>
          </w:p>
        </w:tc>
        <w:tc>
          <w:tcPr>
            <w:tcW w:w="932" w:type="dxa"/>
            <w:tcBorders>
              <w:top w:val="single" w:color="auto" w:sz="4" w:space="0"/>
              <w:left w:val="single" w:color="auto" w:sz="4" w:space="0"/>
              <w:bottom w:val="single" w:color="auto" w:sz="4" w:space="0"/>
              <w:right w:val="single" w:color="auto" w:sz="4" w:space="0"/>
            </w:tcBorders>
            <w:vAlign w:val="center"/>
          </w:tcPr>
          <w:p w14:paraId="5C7B374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c>
          <w:tcPr>
            <w:tcW w:w="3000" w:type="dxa"/>
            <w:tcBorders>
              <w:top w:val="single" w:color="auto" w:sz="4" w:space="0"/>
              <w:left w:val="single" w:color="auto" w:sz="4" w:space="0"/>
              <w:bottom w:val="single" w:color="auto" w:sz="4" w:space="0"/>
              <w:right w:val="single" w:color="auto" w:sz="4" w:space="0"/>
            </w:tcBorders>
            <w:vAlign w:val="center"/>
          </w:tcPr>
          <w:p w14:paraId="7626A146">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有关法律法规的明确规定；某一经济社会发展规划；某部门年度工作计划；某一实际问题和需求</w:t>
            </w:r>
          </w:p>
        </w:tc>
        <w:tc>
          <w:tcPr>
            <w:tcW w:w="3353" w:type="dxa"/>
            <w:tcBorders>
              <w:top w:val="single" w:color="auto" w:sz="4" w:space="0"/>
              <w:left w:val="single" w:color="auto" w:sz="4" w:space="0"/>
              <w:bottom w:val="single" w:color="auto" w:sz="4" w:space="0"/>
              <w:right w:val="single" w:color="auto" w:sz="4" w:space="0"/>
            </w:tcBorders>
            <w:vAlign w:val="center"/>
          </w:tcPr>
          <w:p w14:paraId="44BC135C">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符合法律法规（1分）</w:t>
            </w:r>
          </w:p>
          <w:p w14:paraId="25B222A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符合经济社会发展规划（1分）</w:t>
            </w:r>
          </w:p>
          <w:p w14:paraId="54FBE40F">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部门年度工作计划（1分）</w:t>
            </w:r>
          </w:p>
          <w:p w14:paraId="34FFB945">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针对某一实际问题和需求（1分）</w:t>
            </w:r>
          </w:p>
        </w:tc>
        <w:tc>
          <w:tcPr>
            <w:tcW w:w="355" w:type="dxa"/>
            <w:tcBorders>
              <w:top w:val="single" w:color="auto" w:sz="4" w:space="0"/>
              <w:left w:val="single" w:color="auto" w:sz="4" w:space="0"/>
              <w:bottom w:val="single" w:color="auto" w:sz="4" w:space="0"/>
              <w:right w:val="single" w:color="auto" w:sz="4" w:space="0"/>
            </w:tcBorders>
            <w:vAlign w:val="center"/>
          </w:tcPr>
          <w:p w14:paraId="345DB158">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r>
      <w:tr w14:paraId="60F5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40"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39127943">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66FE1101">
            <w:pPr>
              <w:spacing w:line="300"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41BACB91">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决策</w:t>
            </w:r>
          </w:p>
          <w:p w14:paraId="286FCA42">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程序</w:t>
            </w:r>
          </w:p>
          <w:p w14:paraId="467648D6">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（4分）</w:t>
            </w:r>
          </w:p>
        </w:tc>
        <w:tc>
          <w:tcPr>
            <w:tcW w:w="932" w:type="dxa"/>
            <w:tcBorders>
              <w:top w:val="single" w:color="auto" w:sz="4" w:space="0"/>
              <w:left w:val="single" w:color="auto" w:sz="4" w:space="0"/>
              <w:bottom w:val="single" w:color="auto" w:sz="4" w:space="0"/>
              <w:right w:val="single" w:color="auto" w:sz="4" w:space="0"/>
            </w:tcBorders>
            <w:vAlign w:val="center"/>
          </w:tcPr>
          <w:p w14:paraId="6FB32EB1">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c>
          <w:tcPr>
            <w:tcW w:w="3000" w:type="dxa"/>
            <w:tcBorders>
              <w:top w:val="single" w:color="auto" w:sz="4" w:space="0"/>
              <w:left w:val="single" w:color="auto" w:sz="4" w:space="0"/>
              <w:bottom w:val="single" w:color="auto" w:sz="4" w:space="0"/>
              <w:right w:val="single" w:color="auto" w:sz="4" w:space="0"/>
            </w:tcBorders>
            <w:vAlign w:val="center"/>
          </w:tcPr>
          <w:p w14:paraId="2AAE52B5">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项目符合申报条件；申报、批复程序符合相关管理办法；项目调整履行了相应手续</w:t>
            </w:r>
          </w:p>
        </w:tc>
        <w:tc>
          <w:tcPr>
            <w:tcW w:w="3353" w:type="dxa"/>
            <w:tcBorders>
              <w:top w:val="single" w:color="auto" w:sz="4" w:space="0"/>
              <w:left w:val="single" w:color="auto" w:sz="4" w:space="0"/>
              <w:bottom w:val="single" w:color="auto" w:sz="4" w:space="0"/>
              <w:right w:val="single" w:color="auto" w:sz="4" w:space="0"/>
            </w:tcBorders>
            <w:vAlign w:val="center"/>
          </w:tcPr>
          <w:p w14:paraId="2A7466C2">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符合申报条件（2分）</w:t>
            </w:r>
          </w:p>
          <w:p w14:paraId="6EF62D48">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项目申报、批复程序符合管理办法（1分）</w:t>
            </w:r>
          </w:p>
          <w:p w14:paraId="66607A22">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项目调整履行了相应手续（1分）</w:t>
            </w:r>
          </w:p>
        </w:tc>
        <w:tc>
          <w:tcPr>
            <w:tcW w:w="355" w:type="dxa"/>
            <w:tcBorders>
              <w:top w:val="single" w:color="auto" w:sz="4" w:space="0"/>
              <w:left w:val="single" w:color="auto" w:sz="4" w:space="0"/>
              <w:bottom w:val="single" w:color="auto" w:sz="4" w:space="0"/>
              <w:right w:val="single" w:color="auto" w:sz="4" w:space="0"/>
            </w:tcBorders>
            <w:vAlign w:val="center"/>
          </w:tcPr>
          <w:p w14:paraId="3AAD49D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r>
      <w:tr w14:paraId="0C5B9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4"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37EE8C89">
            <w:pPr>
              <w:spacing w:line="300" w:lineRule="exact"/>
              <w:rPr>
                <w:rFonts w:ascii="宋体" w:hAnsi="宋体" w:cs="仿宋_GB2312"/>
                <w:bCs/>
                <w:color w:val="000000"/>
                <w:sz w:val="24"/>
              </w:rPr>
            </w:pP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229BA3AA">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51A38011">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分配</w:t>
            </w:r>
          </w:p>
          <w:p w14:paraId="02FA446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（7分）</w:t>
            </w:r>
          </w:p>
          <w:p w14:paraId="67FA93F9">
            <w:pPr>
              <w:widowControl/>
              <w:spacing w:line="300" w:lineRule="exact"/>
              <w:jc w:val="center"/>
              <w:rPr>
                <w:rFonts w:ascii="宋体" w:hAnsi="宋体" w:cs="仿宋_GB2312"/>
                <w:bCs/>
                <w:color w:val="000000"/>
                <w:kern w:val="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5D3763E2">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分配</w:t>
            </w:r>
          </w:p>
          <w:p w14:paraId="7973B6B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办法</w:t>
            </w:r>
          </w:p>
          <w:p w14:paraId="18B8F064">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932" w:type="dxa"/>
            <w:tcBorders>
              <w:top w:val="single" w:color="auto" w:sz="4" w:space="0"/>
              <w:left w:val="single" w:color="auto" w:sz="4" w:space="0"/>
              <w:bottom w:val="single" w:color="auto" w:sz="4" w:space="0"/>
              <w:right w:val="single" w:color="auto" w:sz="4" w:space="0"/>
            </w:tcBorders>
            <w:vAlign w:val="center"/>
          </w:tcPr>
          <w:p w14:paraId="3A11A6F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21B4D234">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根据需要制定的相关资金管理办法；管理办法中有明确资金分配办法；资金分配因素全面、合理</w:t>
            </w:r>
          </w:p>
        </w:tc>
        <w:tc>
          <w:tcPr>
            <w:tcW w:w="3353" w:type="dxa"/>
            <w:tcBorders>
              <w:top w:val="single" w:color="auto" w:sz="4" w:space="0"/>
              <w:left w:val="single" w:color="auto" w:sz="4" w:space="0"/>
              <w:bottom w:val="single" w:color="auto" w:sz="4" w:space="0"/>
              <w:right w:val="single" w:color="auto" w:sz="4" w:space="0"/>
            </w:tcBorders>
            <w:vAlign w:val="center"/>
          </w:tcPr>
          <w:p w14:paraId="4C00940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有相应的资金管理办法（1分）</w:t>
            </w:r>
          </w:p>
          <w:p w14:paraId="45E521AF">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办法健全、规范（1分）</w:t>
            </w:r>
          </w:p>
          <w:p w14:paraId="49AB607C">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因素全面合理（1分）</w:t>
            </w:r>
          </w:p>
        </w:tc>
        <w:tc>
          <w:tcPr>
            <w:tcW w:w="355" w:type="dxa"/>
            <w:tcBorders>
              <w:top w:val="single" w:color="auto" w:sz="4" w:space="0"/>
              <w:left w:val="single" w:color="auto" w:sz="4" w:space="0"/>
              <w:bottom w:val="single" w:color="auto" w:sz="4" w:space="0"/>
              <w:right w:val="single" w:color="auto" w:sz="4" w:space="0"/>
            </w:tcBorders>
            <w:vAlign w:val="center"/>
          </w:tcPr>
          <w:p w14:paraId="7BEDA92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5EF61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5"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0FC3E476">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6451EF06">
            <w:pPr>
              <w:spacing w:line="300"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19C732EF">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分配</w:t>
            </w:r>
          </w:p>
          <w:p w14:paraId="7FB73D8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结果</w:t>
            </w:r>
          </w:p>
          <w:p w14:paraId="66907E1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（4分）</w:t>
            </w:r>
          </w:p>
        </w:tc>
        <w:tc>
          <w:tcPr>
            <w:tcW w:w="932" w:type="dxa"/>
            <w:tcBorders>
              <w:top w:val="single" w:color="auto" w:sz="4" w:space="0"/>
              <w:left w:val="single" w:color="auto" w:sz="4" w:space="0"/>
              <w:bottom w:val="single" w:color="auto" w:sz="4" w:space="0"/>
              <w:right w:val="single" w:color="auto" w:sz="4" w:space="0"/>
            </w:tcBorders>
            <w:vAlign w:val="center"/>
          </w:tcPr>
          <w:p w14:paraId="601BEF8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c>
          <w:tcPr>
            <w:tcW w:w="3000" w:type="dxa"/>
            <w:tcBorders>
              <w:top w:val="single" w:color="auto" w:sz="4" w:space="0"/>
              <w:left w:val="single" w:color="auto" w:sz="4" w:space="0"/>
              <w:bottom w:val="single" w:color="auto" w:sz="4" w:space="0"/>
              <w:right w:val="single" w:color="auto" w:sz="4" w:space="0"/>
            </w:tcBorders>
            <w:vAlign w:val="center"/>
          </w:tcPr>
          <w:p w14:paraId="05C64357">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资金分配符合相关管理办法；分配结果公平合理</w:t>
            </w:r>
          </w:p>
        </w:tc>
        <w:tc>
          <w:tcPr>
            <w:tcW w:w="3353" w:type="dxa"/>
            <w:tcBorders>
              <w:top w:val="single" w:color="auto" w:sz="4" w:space="0"/>
              <w:left w:val="single" w:color="auto" w:sz="4" w:space="0"/>
              <w:bottom w:val="single" w:color="auto" w:sz="4" w:space="0"/>
              <w:right w:val="single" w:color="auto" w:sz="4" w:space="0"/>
            </w:tcBorders>
            <w:vAlign w:val="center"/>
          </w:tcPr>
          <w:p w14:paraId="0827C994">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符合分配办法（2分）</w:t>
            </w:r>
          </w:p>
          <w:p w14:paraId="11199023">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分配公平合理（2分）</w:t>
            </w:r>
          </w:p>
        </w:tc>
        <w:tc>
          <w:tcPr>
            <w:tcW w:w="355" w:type="dxa"/>
            <w:tcBorders>
              <w:top w:val="single" w:color="auto" w:sz="4" w:space="0"/>
              <w:left w:val="single" w:color="auto" w:sz="4" w:space="0"/>
              <w:bottom w:val="single" w:color="auto" w:sz="4" w:space="0"/>
              <w:right w:val="single" w:color="auto" w:sz="4" w:space="0"/>
            </w:tcBorders>
            <w:vAlign w:val="center"/>
          </w:tcPr>
          <w:p w14:paraId="4DA27D4F">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r>
      <w:tr w14:paraId="4D748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5" w:hRule="atLeast"/>
          <w:jc w:val="center"/>
        </w:trPr>
        <w:tc>
          <w:tcPr>
            <w:tcW w:w="797" w:type="dxa"/>
            <w:vMerge w:val="restart"/>
            <w:tcBorders>
              <w:top w:val="single" w:color="auto" w:sz="4" w:space="0"/>
              <w:left w:val="single" w:color="auto" w:sz="4" w:space="0"/>
              <w:right w:val="single" w:color="auto" w:sz="4" w:space="0"/>
            </w:tcBorders>
            <w:vAlign w:val="center"/>
          </w:tcPr>
          <w:p w14:paraId="236DC07F">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55D38E39">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2FD0909A">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管</w:t>
            </w:r>
          </w:p>
          <w:p w14:paraId="5957D404">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理</w:t>
            </w:r>
          </w:p>
          <w:p w14:paraId="491068DF">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 xml:space="preserve">（25分） </w:t>
            </w: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1BDF9DE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07EE934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到位</w:t>
            </w:r>
          </w:p>
          <w:p w14:paraId="5A46280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1054" w:type="dxa"/>
            <w:tcBorders>
              <w:top w:val="single" w:color="auto" w:sz="4" w:space="0"/>
              <w:left w:val="single" w:color="auto" w:sz="4" w:space="0"/>
              <w:bottom w:val="single" w:color="auto" w:sz="4" w:space="0"/>
              <w:right w:val="single" w:color="auto" w:sz="4" w:space="0"/>
            </w:tcBorders>
            <w:vAlign w:val="center"/>
          </w:tcPr>
          <w:p w14:paraId="7383EC5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到位率</w:t>
            </w:r>
          </w:p>
          <w:p w14:paraId="08C256B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932" w:type="dxa"/>
            <w:tcBorders>
              <w:top w:val="single" w:color="auto" w:sz="4" w:space="0"/>
              <w:left w:val="single" w:color="auto" w:sz="4" w:space="0"/>
              <w:bottom w:val="single" w:color="auto" w:sz="4" w:space="0"/>
              <w:right w:val="single" w:color="auto" w:sz="4" w:space="0"/>
            </w:tcBorders>
            <w:vAlign w:val="center"/>
          </w:tcPr>
          <w:p w14:paraId="6F9C3CB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1AD91E75">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实际到位/计划到位*100%</w:t>
            </w:r>
          </w:p>
        </w:tc>
        <w:tc>
          <w:tcPr>
            <w:tcW w:w="3353" w:type="dxa"/>
            <w:tcBorders>
              <w:top w:val="single" w:color="auto" w:sz="4" w:space="0"/>
              <w:left w:val="single" w:color="auto" w:sz="4" w:space="0"/>
              <w:bottom w:val="single" w:color="auto" w:sz="4" w:space="0"/>
              <w:right w:val="single" w:color="auto" w:sz="4" w:space="0"/>
            </w:tcBorders>
            <w:vAlign w:val="center"/>
          </w:tcPr>
          <w:p w14:paraId="0D2DD3F4">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根据项目资金的实际到位率计算得分</w:t>
            </w:r>
          </w:p>
        </w:tc>
        <w:tc>
          <w:tcPr>
            <w:tcW w:w="355" w:type="dxa"/>
            <w:tcBorders>
              <w:top w:val="single" w:color="auto" w:sz="4" w:space="0"/>
              <w:left w:val="single" w:color="auto" w:sz="4" w:space="0"/>
              <w:bottom w:val="single" w:color="auto" w:sz="4" w:space="0"/>
              <w:right w:val="single" w:color="auto" w:sz="4" w:space="0"/>
            </w:tcBorders>
            <w:vAlign w:val="center"/>
          </w:tcPr>
          <w:p w14:paraId="0EA44F4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7365B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0" w:hRule="atLeast"/>
          <w:jc w:val="center"/>
        </w:trPr>
        <w:tc>
          <w:tcPr>
            <w:tcW w:w="797" w:type="dxa"/>
            <w:vMerge w:val="continue"/>
            <w:tcBorders>
              <w:left w:val="single" w:color="auto" w:sz="4" w:space="0"/>
              <w:right w:val="single" w:color="auto" w:sz="4" w:space="0"/>
            </w:tcBorders>
            <w:vAlign w:val="center"/>
          </w:tcPr>
          <w:p w14:paraId="406BEA27">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325A8BBD">
            <w:pPr>
              <w:spacing w:line="300"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2285262F">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到位</w:t>
            </w:r>
          </w:p>
          <w:p w14:paraId="119C25E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时效</w:t>
            </w:r>
          </w:p>
          <w:p w14:paraId="64BF0E06">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（2分）</w:t>
            </w:r>
          </w:p>
        </w:tc>
        <w:tc>
          <w:tcPr>
            <w:tcW w:w="932" w:type="dxa"/>
            <w:tcBorders>
              <w:top w:val="single" w:color="auto" w:sz="4" w:space="0"/>
              <w:left w:val="single" w:color="auto" w:sz="4" w:space="0"/>
              <w:bottom w:val="single" w:color="auto" w:sz="4" w:space="0"/>
              <w:right w:val="single" w:color="auto" w:sz="4" w:space="0"/>
            </w:tcBorders>
            <w:vAlign w:val="center"/>
          </w:tcPr>
          <w:p w14:paraId="27BF49A5">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2</w:t>
            </w:r>
          </w:p>
        </w:tc>
        <w:tc>
          <w:tcPr>
            <w:tcW w:w="3000" w:type="dxa"/>
            <w:tcBorders>
              <w:top w:val="single" w:color="auto" w:sz="4" w:space="0"/>
              <w:left w:val="single" w:color="auto" w:sz="4" w:space="0"/>
              <w:bottom w:val="single" w:color="auto" w:sz="4" w:space="0"/>
              <w:right w:val="single" w:color="auto" w:sz="4" w:space="0"/>
            </w:tcBorders>
            <w:vAlign w:val="center"/>
          </w:tcPr>
          <w:p w14:paraId="17677BD8">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资金及时到位；若未及时到位，是否影响项目进度</w:t>
            </w:r>
          </w:p>
        </w:tc>
        <w:tc>
          <w:tcPr>
            <w:tcW w:w="3353" w:type="dxa"/>
            <w:tcBorders>
              <w:top w:val="single" w:color="auto" w:sz="4" w:space="0"/>
              <w:left w:val="single" w:color="auto" w:sz="4" w:space="0"/>
              <w:bottom w:val="single" w:color="auto" w:sz="4" w:space="0"/>
              <w:right w:val="single" w:color="auto" w:sz="4" w:space="0"/>
            </w:tcBorders>
            <w:vAlign w:val="center"/>
          </w:tcPr>
          <w:p w14:paraId="669F5F77">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到位及时（2分）</w:t>
            </w:r>
          </w:p>
          <w:p w14:paraId="56209A10">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不及时但未影响项目进度（1分）</w:t>
            </w:r>
          </w:p>
          <w:p w14:paraId="0A2720D2">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不及时并影响项目进度（0.5分）</w:t>
            </w:r>
          </w:p>
        </w:tc>
        <w:tc>
          <w:tcPr>
            <w:tcW w:w="355" w:type="dxa"/>
            <w:tcBorders>
              <w:top w:val="single" w:color="auto" w:sz="4" w:space="0"/>
              <w:left w:val="single" w:color="auto" w:sz="4" w:space="0"/>
              <w:bottom w:val="single" w:color="auto" w:sz="4" w:space="0"/>
              <w:right w:val="single" w:color="auto" w:sz="4" w:space="0"/>
            </w:tcBorders>
            <w:vAlign w:val="center"/>
          </w:tcPr>
          <w:p w14:paraId="797DB91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2</w:t>
            </w:r>
          </w:p>
        </w:tc>
      </w:tr>
      <w:tr w14:paraId="41CA0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25" w:hRule="atLeast"/>
          <w:jc w:val="center"/>
        </w:trPr>
        <w:tc>
          <w:tcPr>
            <w:tcW w:w="797" w:type="dxa"/>
            <w:vMerge w:val="continue"/>
            <w:tcBorders>
              <w:left w:val="single" w:color="auto" w:sz="4" w:space="0"/>
              <w:right w:val="single" w:color="auto" w:sz="4" w:space="0"/>
            </w:tcBorders>
            <w:vAlign w:val="center"/>
          </w:tcPr>
          <w:p w14:paraId="243177D9">
            <w:pPr>
              <w:spacing w:line="300" w:lineRule="exact"/>
              <w:rPr>
                <w:rFonts w:ascii="宋体" w:hAnsi="宋体" w:cs="仿宋_GB2312"/>
                <w:bCs/>
                <w:color w:val="000000"/>
                <w:sz w:val="24"/>
              </w:rPr>
            </w:pP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1E580E9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6919AEB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管理</w:t>
            </w:r>
          </w:p>
          <w:p w14:paraId="73174AF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（10分）</w:t>
            </w:r>
          </w:p>
        </w:tc>
        <w:tc>
          <w:tcPr>
            <w:tcW w:w="1054" w:type="dxa"/>
            <w:tcBorders>
              <w:top w:val="single" w:color="auto" w:sz="4" w:space="0"/>
              <w:left w:val="single" w:color="auto" w:sz="4" w:space="0"/>
              <w:bottom w:val="single" w:color="auto" w:sz="4" w:space="0"/>
              <w:right w:val="single" w:color="auto" w:sz="4" w:space="0"/>
            </w:tcBorders>
            <w:vAlign w:val="center"/>
          </w:tcPr>
          <w:p w14:paraId="7B56CB6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2DFF37E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使用</w:t>
            </w:r>
          </w:p>
          <w:p w14:paraId="7AAE534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（7分）</w:t>
            </w:r>
          </w:p>
        </w:tc>
        <w:tc>
          <w:tcPr>
            <w:tcW w:w="932" w:type="dxa"/>
            <w:tcBorders>
              <w:top w:val="single" w:color="auto" w:sz="4" w:space="0"/>
              <w:left w:val="single" w:color="auto" w:sz="4" w:space="0"/>
              <w:bottom w:val="single" w:color="auto" w:sz="4" w:space="0"/>
              <w:right w:val="single" w:color="auto" w:sz="4" w:space="0"/>
            </w:tcBorders>
            <w:vAlign w:val="center"/>
          </w:tcPr>
          <w:p w14:paraId="4CFBC92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c>
          <w:tcPr>
            <w:tcW w:w="3000" w:type="dxa"/>
            <w:tcBorders>
              <w:top w:val="single" w:color="auto" w:sz="4" w:space="0"/>
              <w:left w:val="single" w:color="auto" w:sz="4" w:space="0"/>
              <w:bottom w:val="single" w:color="auto" w:sz="4" w:space="0"/>
              <w:right w:val="single" w:color="auto" w:sz="4" w:space="0"/>
            </w:tcBorders>
            <w:vAlign w:val="center"/>
          </w:tcPr>
          <w:p w14:paraId="4D5A644E">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支出依据合规，无虚列项目支出情况；无截留挤占挪用情况；无超标准开支情况；无超预算情况</w:t>
            </w:r>
          </w:p>
        </w:tc>
        <w:tc>
          <w:tcPr>
            <w:tcW w:w="3353" w:type="dxa"/>
            <w:tcBorders>
              <w:top w:val="single" w:color="auto" w:sz="4" w:space="0"/>
              <w:left w:val="single" w:color="auto" w:sz="4" w:space="0"/>
              <w:bottom w:val="single" w:color="auto" w:sz="4" w:space="0"/>
              <w:right w:val="single" w:color="auto" w:sz="4" w:space="0"/>
            </w:tcBorders>
            <w:vAlign w:val="center"/>
          </w:tcPr>
          <w:p w14:paraId="28BC11FC">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 xml:space="preserve">虚列套取扣4-7分 </w:t>
            </w:r>
          </w:p>
          <w:p w14:paraId="4604C4CE">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依据不合规扣2分</w:t>
            </w:r>
          </w:p>
          <w:p w14:paraId="5525ACC8">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截留、挤占、挪用扣3-6分</w:t>
            </w:r>
          </w:p>
          <w:p w14:paraId="0A1E4BA4">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超标准开支扣2-5分</w:t>
            </w:r>
          </w:p>
          <w:p w14:paraId="03A9076A">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超预算扣2-5分</w:t>
            </w:r>
          </w:p>
        </w:tc>
        <w:tc>
          <w:tcPr>
            <w:tcW w:w="355" w:type="dxa"/>
            <w:tcBorders>
              <w:top w:val="single" w:color="auto" w:sz="4" w:space="0"/>
              <w:left w:val="single" w:color="auto" w:sz="4" w:space="0"/>
              <w:bottom w:val="single" w:color="auto" w:sz="4" w:space="0"/>
              <w:right w:val="single" w:color="auto" w:sz="4" w:space="0"/>
            </w:tcBorders>
            <w:vAlign w:val="center"/>
          </w:tcPr>
          <w:p w14:paraId="2038C268">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r>
      <w:tr w14:paraId="5487E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4" w:hRule="atLeast"/>
          <w:jc w:val="center"/>
        </w:trPr>
        <w:tc>
          <w:tcPr>
            <w:tcW w:w="797" w:type="dxa"/>
            <w:vMerge w:val="continue"/>
            <w:tcBorders>
              <w:left w:val="single" w:color="auto" w:sz="4" w:space="0"/>
              <w:bottom w:val="single" w:color="auto" w:sz="4" w:space="0"/>
              <w:right w:val="single" w:color="auto" w:sz="4" w:space="0"/>
            </w:tcBorders>
            <w:vAlign w:val="center"/>
          </w:tcPr>
          <w:p w14:paraId="3874058D">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3FBF24A3">
            <w:pPr>
              <w:spacing w:line="300"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58C5274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财务</w:t>
            </w:r>
          </w:p>
          <w:p w14:paraId="7589B726">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管理</w:t>
            </w:r>
          </w:p>
          <w:p w14:paraId="4A9985B5">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932" w:type="dxa"/>
            <w:tcBorders>
              <w:top w:val="single" w:color="auto" w:sz="4" w:space="0"/>
              <w:left w:val="single" w:color="auto" w:sz="4" w:space="0"/>
              <w:bottom w:val="single" w:color="auto" w:sz="4" w:space="0"/>
              <w:right w:val="single" w:color="auto" w:sz="4" w:space="0"/>
            </w:tcBorders>
            <w:vAlign w:val="center"/>
          </w:tcPr>
          <w:p w14:paraId="17A03642">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05B11366">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资金管理、费用支出等制度健全；制度执行严格；会计核算规范</w:t>
            </w:r>
          </w:p>
        </w:tc>
        <w:tc>
          <w:tcPr>
            <w:tcW w:w="3353" w:type="dxa"/>
            <w:tcBorders>
              <w:top w:val="single" w:color="auto" w:sz="4" w:space="0"/>
              <w:left w:val="single" w:color="auto" w:sz="4" w:space="0"/>
              <w:bottom w:val="single" w:color="auto" w:sz="4" w:space="0"/>
              <w:right w:val="single" w:color="auto" w:sz="4" w:space="0"/>
            </w:tcBorders>
            <w:vAlign w:val="center"/>
          </w:tcPr>
          <w:p w14:paraId="10F1579F">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财务制度健全（1分）</w:t>
            </w:r>
          </w:p>
          <w:p w14:paraId="7515DFAC">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严格执行制度（1分）</w:t>
            </w:r>
          </w:p>
          <w:p w14:paraId="1A9E9D4B">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会计核算规范（1分）</w:t>
            </w:r>
          </w:p>
        </w:tc>
        <w:tc>
          <w:tcPr>
            <w:tcW w:w="355" w:type="dxa"/>
            <w:tcBorders>
              <w:top w:val="single" w:color="auto" w:sz="4" w:space="0"/>
              <w:left w:val="single" w:color="auto" w:sz="4" w:space="0"/>
              <w:bottom w:val="single" w:color="auto" w:sz="4" w:space="0"/>
              <w:right w:val="single" w:color="auto" w:sz="4" w:space="0"/>
            </w:tcBorders>
            <w:vAlign w:val="center"/>
          </w:tcPr>
          <w:p w14:paraId="45DC54C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69C24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restart"/>
            <w:tcBorders>
              <w:top w:val="single" w:color="auto" w:sz="4" w:space="0"/>
              <w:left w:val="single" w:color="auto" w:sz="4" w:space="0"/>
              <w:right w:val="single" w:color="auto" w:sz="4" w:space="0"/>
            </w:tcBorders>
            <w:vAlign w:val="center"/>
          </w:tcPr>
          <w:p w14:paraId="5929404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4AACD34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32706DF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管</w:t>
            </w:r>
          </w:p>
          <w:p w14:paraId="263E7D7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理</w:t>
            </w:r>
          </w:p>
          <w:p w14:paraId="3F6DB19D">
            <w:pPr>
              <w:spacing w:line="306" w:lineRule="exact"/>
              <w:rPr>
                <w:rFonts w:ascii="宋体" w:hAnsi="宋体" w:cs="仿宋_GB2312"/>
                <w:bCs/>
                <w:color w:val="000000"/>
                <w:sz w:val="24"/>
              </w:rPr>
            </w:pPr>
            <w:r>
              <w:rPr>
                <w:rFonts w:hint="eastAsia" w:ascii="宋体" w:hAnsi="宋体" w:cs="仿宋_GB2312"/>
                <w:bCs/>
                <w:color w:val="000000"/>
                <w:kern w:val="0"/>
                <w:sz w:val="24"/>
              </w:rPr>
              <w:t>（25分）</w:t>
            </w:r>
          </w:p>
        </w:tc>
        <w:tc>
          <w:tcPr>
            <w:tcW w:w="1054" w:type="dxa"/>
            <w:vMerge w:val="restart"/>
            <w:tcBorders>
              <w:top w:val="single" w:color="auto" w:sz="4" w:space="0"/>
              <w:left w:val="single" w:color="auto" w:sz="4" w:space="0"/>
              <w:right w:val="single" w:color="auto" w:sz="4" w:space="0"/>
            </w:tcBorders>
            <w:vAlign w:val="center"/>
          </w:tcPr>
          <w:p w14:paraId="68BFBC4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组织</w:t>
            </w:r>
          </w:p>
          <w:p w14:paraId="38F1994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实施</w:t>
            </w:r>
          </w:p>
          <w:p w14:paraId="1475851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（10分）</w:t>
            </w:r>
          </w:p>
        </w:tc>
        <w:tc>
          <w:tcPr>
            <w:tcW w:w="1054" w:type="dxa"/>
            <w:tcBorders>
              <w:top w:val="single" w:color="auto" w:sz="4" w:space="0"/>
              <w:left w:val="single" w:color="auto" w:sz="4" w:space="0"/>
              <w:bottom w:val="single" w:color="auto" w:sz="4" w:space="0"/>
              <w:right w:val="single" w:color="auto" w:sz="4" w:space="0"/>
            </w:tcBorders>
            <w:vAlign w:val="center"/>
          </w:tcPr>
          <w:p w14:paraId="0E998C3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组织</w:t>
            </w:r>
          </w:p>
          <w:p w14:paraId="2F2C539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机构</w:t>
            </w:r>
          </w:p>
          <w:p w14:paraId="44CE855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（2分）</w:t>
            </w:r>
          </w:p>
        </w:tc>
        <w:tc>
          <w:tcPr>
            <w:tcW w:w="932" w:type="dxa"/>
            <w:tcBorders>
              <w:top w:val="single" w:color="auto" w:sz="4" w:space="0"/>
              <w:left w:val="single" w:color="auto" w:sz="4" w:space="0"/>
              <w:bottom w:val="single" w:color="auto" w:sz="4" w:space="0"/>
              <w:right w:val="single" w:color="auto" w:sz="4" w:space="0"/>
            </w:tcBorders>
            <w:vAlign w:val="center"/>
          </w:tcPr>
          <w:p w14:paraId="3D861AB1">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2</w:t>
            </w:r>
          </w:p>
        </w:tc>
        <w:tc>
          <w:tcPr>
            <w:tcW w:w="3000" w:type="dxa"/>
            <w:tcBorders>
              <w:top w:val="single" w:color="auto" w:sz="4" w:space="0"/>
              <w:left w:val="single" w:color="auto" w:sz="4" w:space="0"/>
              <w:bottom w:val="single" w:color="auto" w:sz="4" w:space="0"/>
              <w:right w:val="single" w:color="auto" w:sz="4" w:space="0"/>
            </w:tcBorders>
            <w:vAlign w:val="center"/>
          </w:tcPr>
          <w:p w14:paraId="6D754633">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机构健全、分工明确</w:t>
            </w:r>
          </w:p>
        </w:tc>
        <w:tc>
          <w:tcPr>
            <w:tcW w:w="3353" w:type="dxa"/>
            <w:tcBorders>
              <w:top w:val="single" w:color="auto" w:sz="4" w:space="0"/>
              <w:left w:val="single" w:color="auto" w:sz="4" w:space="0"/>
              <w:bottom w:val="single" w:color="auto" w:sz="4" w:space="0"/>
              <w:right w:val="single" w:color="auto" w:sz="4" w:space="0"/>
            </w:tcBorders>
            <w:vAlign w:val="center"/>
          </w:tcPr>
          <w:p w14:paraId="2ABE02F8">
            <w:pPr>
              <w:widowControl/>
              <w:spacing w:line="306" w:lineRule="exact"/>
              <w:ind w:left="240" w:hanging="240" w:hangingChars="100"/>
              <w:jc w:val="left"/>
              <w:rPr>
                <w:rFonts w:ascii="宋体" w:hAnsi="宋体" w:cs="仿宋_GB2312"/>
                <w:bCs/>
                <w:color w:val="000000"/>
                <w:kern w:val="0"/>
                <w:sz w:val="24"/>
              </w:rPr>
            </w:pPr>
            <w:r>
              <w:rPr>
                <w:rFonts w:hint="eastAsia" w:ascii="宋体" w:hAnsi="宋体" w:cs="仿宋_GB2312"/>
                <w:bCs/>
                <w:color w:val="000000"/>
                <w:kern w:val="0"/>
                <w:sz w:val="24"/>
              </w:rPr>
              <w:t>机构健全、分工明确  （2分）</w:t>
            </w:r>
          </w:p>
        </w:tc>
        <w:tc>
          <w:tcPr>
            <w:tcW w:w="355" w:type="dxa"/>
            <w:tcBorders>
              <w:top w:val="single" w:color="auto" w:sz="4" w:space="0"/>
              <w:left w:val="single" w:color="auto" w:sz="4" w:space="0"/>
              <w:bottom w:val="single" w:color="auto" w:sz="4" w:space="0"/>
              <w:right w:val="single" w:color="auto" w:sz="4" w:space="0"/>
            </w:tcBorders>
            <w:vAlign w:val="center"/>
          </w:tcPr>
          <w:p w14:paraId="5AD33537">
            <w:pPr>
              <w:widowControl/>
              <w:spacing w:line="306" w:lineRule="exact"/>
              <w:ind w:left="240" w:hanging="240" w:hangingChars="100"/>
              <w:jc w:val="center"/>
              <w:rPr>
                <w:rFonts w:ascii="宋体" w:hAnsi="宋体" w:cs="仿宋_GB2312"/>
                <w:bCs/>
                <w:color w:val="000000"/>
                <w:kern w:val="0"/>
                <w:sz w:val="24"/>
              </w:rPr>
            </w:pPr>
            <w:r>
              <w:rPr>
                <w:rFonts w:hint="eastAsia" w:ascii="宋体" w:hAnsi="宋体" w:cs="仿宋_GB2312"/>
                <w:bCs/>
                <w:color w:val="000000"/>
                <w:kern w:val="0"/>
                <w:sz w:val="24"/>
              </w:rPr>
              <w:t>2</w:t>
            </w:r>
          </w:p>
        </w:tc>
      </w:tr>
      <w:tr w14:paraId="2526E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0" w:hRule="atLeast"/>
          <w:jc w:val="center"/>
        </w:trPr>
        <w:tc>
          <w:tcPr>
            <w:tcW w:w="797" w:type="dxa"/>
            <w:vMerge w:val="continue"/>
            <w:tcBorders>
              <w:left w:val="single" w:color="auto" w:sz="4" w:space="0"/>
              <w:right w:val="single" w:color="auto" w:sz="4" w:space="0"/>
            </w:tcBorders>
            <w:vAlign w:val="center"/>
          </w:tcPr>
          <w:p w14:paraId="18A2C2F7">
            <w:pPr>
              <w:spacing w:line="306" w:lineRule="exact"/>
              <w:rPr>
                <w:rFonts w:ascii="宋体" w:hAnsi="宋体" w:cs="仿宋_GB2312"/>
                <w:bCs/>
                <w:color w:val="000000"/>
                <w:sz w:val="24"/>
              </w:rPr>
            </w:pPr>
          </w:p>
        </w:tc>
        <w:tc>
          <w:tcPr>
            <w:tcW w:w="1054" w:type="dxa"/>
            <w:vMerge w:val="continue"/>
            <w:tcBorders>
              <w:left w:val="single" w:color="auto" w:sz="4" w:space="0"/>
              <w:right w:val="single" w:color="auto" w:sz="4" w:space="0"/>
            </w:tcBorders>
            <w:vAlign w:val="center"/>
          </w:tcPr>
          <w:p w14:paraId="58472669">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71E6182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项目</w:t>
            </w:r>
          </w:p>
          <w:p w14:paraId="771F2A1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实施</w:t>
            </w:r>
          </w:p>
          <w:p w14:paraId="54E28E9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932" w:type="dxa"/>
            <w:tcBorders>
              <w:top w:val="single" w:color="auto" w:sz="4" w:space="0"/>
              <w:left w:val="single" w:color="auto" w:sz="4" w:space="0"/>
              <w:bottom w:val="single" w:color="auto" w:sz="4" w:space="0"/>
              <w:right w:val="single" w:color="auto" w:sz="4" w:space="0"/>
            </w:tcBorders>
            <w:vAlign w:val="center"/>
          </w:tcPr>
          <w:p w14:paraId="74FE8DB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4891CB4D">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项目按计划开工；按计划进度开展；按计划完工</w:t>
            </w:r>
          </w:p>
        </w:tc>
        <w:tc>
          <w:tcPr>
            <w:tcW w:w="3353" w:type="dxa"/>
            <w:tcBorders>
              <w:top w:val="single" w:color="auto" w:sz="4" w:space="0"/>
              <w:left w:val="single" w:color="auto" w:sz="4" w:space="0"/>
              <w:bottom w:val="single" w:color="auto" w:sz="4" w:space="0"/>
              <w:right w:val="single" w:color="auto" w:sz="4" w:space="0"/>
            </w:tcBorders>
            <w:vAlign w:val="center"/>
          </w:tcPr>
          <w:p w14:paraId="315F7A59">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 xml:space="preserve">按计划开工（1分）   </w:t>
            </w:r>
          </w:p>
          <w:p w14:paraId="0B576792">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 xml:space="preserve">按计划开展（1分）   </w:t>
            </w:r>
          </w:p>
          <w:p w14:paraId="59484DC5">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按计划完工（1分）</w:t>
            </w:r>
          </w:p>
        </w:tc>
        <w:tc>
          <w:tcPr>
            <w:tcW w:w="355" w:type="dxa"/>
            <w:tcBorders>
              <w:top w:val="single" w:color="auto" w:sz="4" w:space="0"/>
              <w:left w:val="single" w:color="auto" w:sz="4" w:space="0"/>
              <w:bottom w:val="single" w:color="auto" w:sz="4" w:space="0"/>
              <w:right w:val="single" w:color="auto" w:sz="4" w:space="0"/>
            </w:tcBorders>
            <w:vAlign w:val="center"/>
          </w:tcPr>
          <w:p w14:paraId="2D33FCC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1692C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left w:val="single" w:color="auto" w:sz="4" w:space="0"/>
              <w:bottom w:val="single" w:color="auto" w:sz="4" w:space="0"/>
              <w:right w:val="single" w:color="auto" w:sz="4" w:space="0"/>
            </w:tcBorders>
            <w:vAlign w:val="center"/>
          </w:tcPr>
          <w:p w14:paraId="1E845278">
            <w:pPr>
              <w:spacing w:line="306" w:lineRule="exact"/>
              <w:rPr>
                <w:rFonts w:ascii="宋体" w:hAnsi="宋体" w:cs="仿宋_GB2312"/>
                <w:bCs/>
                <w:color w:val="000000"/>
                <w:sz w:val="24"/>
              </w:rPr>
            </w:pPr>
          </w:p>
        </w:tc>
        <w:tc>
          <w:tcPr>
            <w:tcW w:w="1054" w:type="dxa"/>
            <w:vMerge w:val="continue"/>
            <w:tcBorders>
              <w:left w:val="single" w:color="auto" w:sz="4" w:space="0"/>
              <w:right w:val="single" w:color="auto" w:sz="4" w:space="0"/>
            </w:tcBorders>
            <w:vAlign w:val="center"/>
          </w:tcPr>
          <w:p w14:paraId="7530702C">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1384DE8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管理</w:t>
            </w:r>
          </w:p>
          <w:p w14:paraId="34EBF1F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制度</w:t>
            </w:r>
          </w:p>
          <w:p w14:paraId="1657899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932" w:type="dxa"/>
            <w:tcBorders>
              <w:top w:val="single" w:color="auto" w:sz="4" w:space="0"/>
              <w:left w:val="single" w:color="auto" w:sz="4" w:space="0"/>
              <w:bottom w:val="single" w:color="auto" w:sz="4" w:space="0"/>
              <w:right w:val="single" w:color="auto" w:sz="4" w:space="0"/>
            </w:tcBorders>
            <w:vAlign w:val="center"/>
          </w:tcPr>
          <w:p w14:paraId="71CC2FE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6003EB06">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项目管理制度健全；严格执行相关管理制度</w:t>
            </w:r>
          </w:p>
        </w:tc>
        <w:tc>
          <w:tcPr>
            <w:tcW w:w="3353" w:type="dxa"/>
            <w:tcBorders>
              <w:top w:val="single" w:color="auto" w:sz="4" w:space="0"/>
              <w:left w:val="single" w:color="auto" w:sz="4" w:space="0"/>
              <w:bottom w:val="single" w:color="auto" w:sz="4" w:space="0"/>
              <w:right w:val="single" w:color="auto" w:sz="4" w:space="0"/>
            </w:tcBorders>
            <w:vAlign w:val="center"/>
          </w:tcPr>
          <w:p w14:paraId="220DB1B2">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管理制度健全（2分）</w:t>
            </w:r>
          </w:p>
          <w:p w14:paraId="27C339D7">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制度执行严格（3分）</w:t>
            </w:r>
          </w:p>
        </w:tc>
        <w:tc>
          <w:tcPr>
            <w:tcW w:w="355" w:type="dxa"/>
            <w:tcBorders>
              <w:top w:val="single" w:color="auto" w:sz="4" w:space="0"/>
              <w:left w:val="single" w:color="auto" w:sz="4" w:space="0"/>
              <w:bottom w:val="single" w:color="auto" w:sz="4" w:space="0"/>
              <w:right w:val="single" w:color="auto" w:sz="4" w:space="0"/>
            </w:tcBorders>
            <w:vAlign w:val="center"/>
          </w:tcPr>
          <w:p w14:paraId="6D7A1941">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7A1C2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restart"/>
            <w:tcBorders>
              <w:top w:val="single" w:color="auto" w:sz="4" w:space="0"/>
              <w:left w:val="single" w:color="auto" w:sz="4" w:space="0"/>
              <w:bottom w:val="single" w:color="auto" w:sz="4" w:space="0"/>
              <w:right w:val="single" w:color="auto" w:sz="4" w:space="0"/>
            </w:tcBorders>
            <w:vAlign w:val="center"/>
          </w:tcPr>
          <w:p w14:paraId="49AFBE8F">
            <w:pPr>
              <w:widowControl/>
              <w:spacing w:line="306" w:lineRule="exact"/>
              <w:jc w:val="center"/>
              <w:rPr>
                <w:rFonts w:ascii="宋体" w:hAnsi="宋体" w:cs="仿宋_GB2312"/>
                <w:bCs/>
                <w:color w:val="000000"/>
                <w:kern w:val="0"/>
                <w:sz w:val="24"/>
              </w:rPr>
            </w:pPr>
          </w:p>
          <w:p w14:paraId="462EC6D4">
            <w:pPr>
              <w:widowControl/>
              <w:spacing w:line="306" w:lineRule="exact"/>
              <w:jc w:val="center"/>
              <w:rPr>
                <w:rFonts w:ascii="宋体" w:hAnsi="宋体" w:cs="仿宋_GB2312"/>
                <w:bCs/>
                <w:color w:val="000000"/>
                <w:kern w:val="0"/>
                <w:sz w:val="24"/>
              </w:rPr>
            </w:pPr>
          </w:p>
          <w:p w14:paraId="3B42C9E4">
            <w:pPr>
              <w:widowControl/>
              <w:spacing w:line="306" w:lineRule="exact"/>
              <w:jc w:val="center"/>
              <w:rPr>
                <w:rFonts w:ascii="宋体" w:hAnsi="宋体" w:cs="仿宋_GB2312"/>
                <w:bCs/>
                <w:color w:val="000000"/>
                <w:kern w:val="0"/>
                <w:sz w:val="24"/>
              </w:rPr>
            </w:pPr>
          </w:p>
          <w:p w14:paraId="58B3D913">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19CE490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27D781A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绩</w:t>
            </w:r>
          </w:p>
          <w:p w14:paraId="310718BC">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w:t>
            </w:r>
          </w:p>
          <w:p w14:paraId="14355A1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（60分）</w:t>
            </w: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36D41583">
            <w:pPr>
              <w:widowControl/>
              <w:spacing w:line="306" w:lineRule="exact"/>
              <w:jc w:val="center"/>
              <w:rPr>
                <w:rFonts w:ascii="宋体" w:hAnsi="宋体" w:cs="仿宋_GB2312"/>
                <w:bCs/>
                <w:color w:val="000000"/>
                <w:kern w:val="0"/>
                <w:sz w:val="24"/>
              </w:rPr>
            </w:pPr>
          </w:p>
          <w:p w14:paraId="37CB8094">
            <w:pPr>
              <w:widowControl/>
              <w:spacing w:line="306" w:lineRule="exact"/>
              <w:jc w:val="center"/>
              <w:rPr>
                <w:rFonts w:ascii="宋体" w:hAnsi="宋体" w:cs="仿宋_GB2312"/>
                <w:bCs/>
                <w:color w:val="000000"/>
                <w:kern w:val="0"/>
                <w:sz w:val="24"/>
              </w:rPr>
            </w:pPr>
          </w:p>
          <w:p w14:paraId="4189377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项目</w:t>
            </w:r>
          </w:p>
          <w:p w14:paraId="5F8A07A3">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7274C6B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（20分）</w:t>
            </w:r>
          </w:p>
        </w:tc>
        <w:tc>
          <w:tcPr>
            <w:tcW w:w="1054" w:type="dxa"/>
            <w:tcBorders>
              <w:top w:val="single" w:color="auto" w:sz="4" w:space="0"/>
              <w:left w:val="single" w:color="auto" w:sz="4" w:space="0"/>
              <w:bottom w:val="single" w:color="auto" w:sz="4" w:space="0"/>
              <w:right w:val="single" w:color="auto" w:sz="4" w:space="0"/>
            </w:tcBorders>
            <w:vAlign w:val="center"/>
          </w:tcPr>
          <w:p w14:paraId="7A00062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03D3D94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数量</w:t>
            </w:r>
          </w:p>
          <w:p w14:paraId="7A7EE2D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932" w:type="dxa"/>
            <w:tcBorders>
              <w:top w:val="single" w:color="auto" w:sz="4" w:space="0"/>
              <w:left w:val="single" w:color="auto" w:sz="4" w:space="0"/>
              <w:bottom w:val="single" w:color="auto" w:sz="4" w:space="0"/>
              <w:right w:val="single" w:color="auto" w:sz="4" w:space="0"/>
            </w:tcBorders>
            <w:vAlign w:val="center"/>
          </w:tcPr>
          <w:p w14:paraId="39839DC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6075FDDF">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根据该项目实际，标识具体明确的产出数量</w:t>
            </w:r>
          </w:p>
        </w:tc>
        <w:tc>
          <w:tcPr>
            <w:tcW w:w="3353" w:type="dxa"/>
            <w:tcBorders>
              <w:top w:val="single" w:color="auto" w:sz="4" w:space="0"/>
              <w:left w:val="single" w:color="auto" w:sz="4" w:space="0"/>
              <w:bottom w:val="single" w:color="auto" w:sz="4" w:space="0"/>
              <w:right w:val="single" w:color="auto" w:sz="4" w:space="0"/>
            </w:tcBorders>
            <w:vAlign w:val="center"/>
          </w:tcPr>
          <w:p w14:paraId="23406562">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对照绩效目标，按实际产出数量率计算得分（5分）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192A269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1C035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487F8941">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52F34678">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15F6DB8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0489E29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质量</w:t>
            </w:r>
          </w:p>
          <w:p w14:paraId="34DCA58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932" w:type="dxa"/>
            <w:tcBorders>
              <w:top w:val="single" w:color="auto" w:sz="4" w:space="0"/>
              <w:left w:val="single" w:color="auto" w:sz="4" w:space="0"/>
              <w:bottom w:val="single" w:color="auto" w:sz="4" w:space="0"/>
              <w:right w:val="single" w:color="auto" w:sz="4" w:space="0"/>
            </w:tcBorders>
            <w:vAlign w:val="center"/>
          </w:tcPr>
          <w:p w14:paraId="720888D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6B054D39">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根据该项目实际，标识具体明确的产出质量</w:t>
            </w:r>
          </w:p>
        </w:tc>
        <w:tc>
          <w:tcPr>
            <w:tcW w:w="3353" w:type="dxa"/>
            <w:tcBorders>
              <w:top w:val="single" w:color="auto" w:sz="4" w:space="0"/>
              <w:left w:val="single" w:color="auto" w:sz="4" w:space="0"/>
              <w:bottom w:val="single" w:color="auto" w:sz="4" w:space="0"/>
              <w:right w:val="single" w:color="auto" w:sz="4" w:space="0"/>
            </w:tcBorders>
            <w:vAlign w:val="center"/>
          </w:tcPr>
          <w:p w14:paraId="5C0A6E91">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对照绩效目标，按实际产出质量率计算得分（5分）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21B2539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71A9F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615A4DE0">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2B3A6581">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758B4E8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6BCEC5E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时效</w:t>
            </w:r>
          </w:p>
          <w:p w14:paraId="00ABF951">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932" w:type="dxa"/>
            <w:tcBorders>
              <w:top w:val="single" w:color="auto" w:sz="4" w:space="0"/>
              <w:left w:val="single" w:color="auto" w:sz="4" w:space="0"/>
              <w:bottom w:val="single" w:color="auto" w:sz="4" w:space="0"/>
              <w:right w:val="single" w:color="auto" w:sz="4" w:space="0"/>
            </w:tcBorders>
            <w:vAlign w:val="center"/>
          </w:tcPr>
          <w:p w14:paraId="1EF14C9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7EC920BB">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根据该项目实际，标识具体明确的产出时效</w:t>
            </w:r>
          </w:p>
        </w:tc>
        <w:tc>
          <w:tcPr>
            <w:tcW w:w="3353" w:type="dxa"/>
            <w:tcBorders>
              <w:top w:val="single" w:color="auto" w:sz="4" w:space="0"/>
              <w:left w:val="single" w:color="auto" w:sz="4" w:space="0"/>
              <w:bottom w:val="single" w:color="auto" w:sz="4" w:space="0"/>
              <w:right w:val="single" w:color="auto" w:sz="4" w:space="0"/>
            </w:tcBorders>
            <w:vAlign w:val="center"/>
          </w:tcPr>
          <w:p w14:paraId="406C3CDE">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对照绩效目标，按实际产出时效率计算得分（5分）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3578C99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13822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61C883D7">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0EDC1B79">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1A75CCC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74BF443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成本</w:t>
            </w:r>
          </w:p>
          <w:p w14:paraId="19A82E2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932" w:type="dxa"/>
            <w:tcBorders>
              <w:top w:val="single" w:color="auto" w:sz="4" w:space="0"/>
              <w:left w:val="single" w:color="auto" w:sz="4" w:space="0"/>
              <w:bottom w:val="single" w:color="auto" w:sz="4" w:space="0"/>
              <w:right w:val="single" w:color="auto" w:sz="4" w:space="0"/>
            </w:tcBorders>
            <w:vAlign w:val="center"/>
          </w:tcPr>
          <w:p w14:paraId="0DAA81E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7AE91918">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根据该项目实际，标识具体明确的产出成本</w:t>
            </w:r>
          </w:p>
        </w:tc>
        <w:tc>
          <w:tcPr>
            <w:tcW w:w="3353" w:type="dxa"/>
            <w:tcBorders>
              <w:top w:val="single" w:color="auto" w:sz="4" w:space="0"/>
              <w:left w:val="single" w:color="auto" w:sz="4" w:space="0"/>
              <w:bottom w:val="single" w:color="auto" w:sz="4" w:space="0"/>
              <w:right w:val="single" w:color="auto" w:sz="4" w:space="0"/>
            </w:tcBorders>
            <w:vAlign w:val="center"/>
          </w:tcPr>
          <w:p w14:paraId="0A9E412C">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对照绩效目标，按实际产出成本率计算得分（5分）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5B1C6CC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37BF6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0"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22D9957F">
            <w:pPr>
              <w:spacing w:line="306" w:lineRule="exact"/>
              <w:rPr>
                <w:rFonts w:ascii="宋体" w:hAnsi="宋体" w:cs="仿宋_GB2312"/>
                <w:bCs/>
                <w:color w:val="000000"/>
                <w:sz w:val="24"/>
              </w:rPr>
            </w:pP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050471D2">
            <w:pPr>
              <w:widowControl/>
              <w:spacing w:line="306" w:lineRule="exact"/>
              <w:rPr>
                <w:rFonts w:ascii="宋体" w:hAnsi="宋体" w:cs="仿宋_GB2312"/>
                <w:bCs/>
                <w:color w:val="000000"/>
                <w:kern w:val="0"/>
                <w:sz w:val="24"/>
              </w:rPr>
            </w:pPr>
          </w:p>
          <w:p w14:paraId="2FA40CA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项目</w:t>
            </w:r>
          </w:p>
          <w:p w14:paraId="1DDDA61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效果</w:t>
            </w:r>
          </w:p>
          <w:p w14:paraId="7CE07F91">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（40分）</w:t>
            </w:r>
          </w:p>
        </w:tc>
        <w:tc>
          <w:tcPr>
            <w:tcW w:w="1054" w:type="dxa"/>
            <w:tcBorders>
              <w:top w:val="single" w:color="auto" w:sz="4" w:space="0"/>
              <w:left w:val="single" w:color="auto" w:sz="4" w:space="0"/>
              <w:bottom w:val="single" w:color="auto" w:sz="4" w:space="0"/>
              <w:right w:val="single" w:color="auto" w:sz="4" w:space="0"/>
            </w:tcBorders>
            <w:vAlign w:val="center"/>
          </w:tcPr>
          <w:p w14:paraId="11CF97A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经济</w:t>
            </w:r>
          </w:p>
          <w:p w14:paraId="0018F84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效益</w:t>
            </w:r>
          </w:p>
          <w:p w14:paraId="352BA2F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932" w:type="dxa"/>
            <w:tcBorders>
              <w:top w:val="single" w:color="auto" w:sz="4" w:space="0"/>
              <w:left w:val="single" w:color="auto" w:sz="4" w:space="0"/>
              <w:bottom w:val="single" w:color="auto" w:sz="4" w:space="0"/>
              <w:right w:val="single" w:color="auto" w:sz="4" w:space="0"/>
            </w:tcBorders>
            <w:vAlign w:val="center"/>
          </w:tcPr>
          <w:p w14:paraId="1D118F71">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c>
          <w:tcPr>
            <w:tcW w:w="3000" w:type="dxa"/>
            <w:tcBorders>
              <w:top w:val="single" w:color="auto" w:sz="4" w:space="0"/>
              <w:left w:val="single" w:color="auto" w:sz="4" w:space="0"/>
              <w:bottom w:val="single" w:color="auto" w:sz="4" w:space="0"/>
              <w:right w:val="single" w:color="auto" w:sz="4" w:space="0"/>
            </w:tcBorders>
            <w:vAlign w:val="center"/>
          </w:tcPr>
          <w:p w14:paraId="1BCFA239">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根据项目实际，标识所产生的直接或间接的经济效益</w:t>
            </w:r>
          </w:p>
        </w:tc>
        <w:tc>
          <w:tcPr>
            <w:tcW w:w="3353" w:type="dxa"/>
            <w:tcBorders>
              <w:top w:val="single" w:color="auto" w:sz="4" w:space="0"/>
              <w:left w:val="single" w:color="auto" w:sz="4" w:space="0"/>
              <w:bottom w:val="single" w:color="auto" w:sz="4" w:space="0"/>
              <w:right w:val="single" w:color="auto" w:sz="4" w:space="0"/>
            </w:tcBorders>
            <w:vAlign w:val="center"/>
          </w:tcPr>
          <w:p w14:paraId="08A230ED">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对照绩效目标，按经济效益实现程度计算得分（8分）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73E7E45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r>
      <w:tr w14:paraId="4B73C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59E631BE">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5D6F322E">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1B5FE3C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社会</w:t>
            </w:r>
          </w:p>
          <w:p w14:paraId="3A8D73E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效益</w:t>
            </w:r>
          </w:p>
          <w:p w14:paraId="162C194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932" w:type="dxa"/>
            <w:tcBorders>
              <w:top w:val="single" w:color="auto" w:sz="4" w:space="0"/>
              <w:left w:val="single" w:color="auto" w:sz="4" w:space="0"/>
              <w:bottom w:val="single" w:color="auto" w:sz="4" w:space="0"/>
              <w:right w:val="single" w:color="auto" w:sz="4" w:space="0"/>
            </w:tcBorders>
            <w:vAlign w:val="center"/>
          </w:tcPr>
          <w:p w14:paraId="6507AA4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c>
          <w:tcPr>
            <w:tcW w:w="3000" w:type="dxa"/>
            <w:tcBorders>
              <w:top w:val="single" w:color="auto" w:sz="4" w:space="0"/>
              <w:left w:val="single" w:color="auto" w:sz="4" w:space="0"/>
              <w:bottom w:val="single" w:color="auto" w:sz="4" w:space="0"/>
              <w:right w:val="single" w:color="auto" w:sz="4" w:space="0"/>
            </w:tcBorders>
            <w:vAlign w:val="center"/>
          </w:tcPr>
          <w:p w14:paraId="023B1EFF">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根据项目实际，标识所产生的社会效益</w:t>
            </w:r>
          </w:p>
        </w:tc>
        <w:tc>
          <w:tcPr>
            <w:tcW w:w="3353" w:type="dxa"/>
            <w:tcBorders>
              <w:top w:val="single" w:color="auto" w:sz="4" w:space="0"/>
              <w:left w:val="single" w:color="auto" w:sz="4" w:space="0"/>
              <w:bottom w:val="single" w:color="auto" w:sz="4" w:space="0"/>
              <w:right w:val="single" w:color="auto" w:sz="4" w:space="0"/>
            </w:tcBorders>
            <w:vAlign w:val="center"/>
          </w:tcPr>
          <w:p w14:paraId="20F307F4">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对照绩效目标，按社会效益实现程度计算得分（8分）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3A4F90A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r>
      <w:tr w14:paraId="7D356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81"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12A2FBD9">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08974848">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7EB4083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环境</w:t>
            </w:r>
          </w:p>
          <w:p w14:paraId="08149B9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效益</w:t>
            </w:r>
          </w:p>
          <w:p w14:paraId="7249785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932" w:type="dxa"/>
            <w:tcBorders>
              <w:top w:val="single" w:color="auto" w:sz="4" w:space="0"/>
              <w:left w:val="single" w:color="auto" w:sz="4" w:space="0"/>
              <w:bottom w:val="single" w:color="auto" w:sz="4" w:space="0"/>
              <w:right w:val="single" w:color="auto" w:sz="4" w:space="0"/>
            </w:tcBorders>
            <w:vAlign w:val="center"/>
          </w:tcPr>
          <w:p w14:paraId="273E84CA">
            <w:pPr>
              <w:widowControl/>
              <w:spacing w:line="306" w:lineRule="exact"/>
              <w:jc w:val="center"/>
              <w:rPr>
                <w:rFonts w:hint="eastAsia" w:ascii="宋体" w:hAnsi="宋体" w:eastAsia="宋体" w:cs="仿宋_GB2312"/>
                <w:bCs/>
                <w:color w:val="000000"/>
                <w:kern w:val="0"/>
                <w:sz w:val="24"/>
                <w:lang w:eastAsia="zh-CN"/>
              </w:rPr>
            </w:pPr>
            <w:r>
              <w:rPr>
                <w:rFonts w:hint="eastAsia" w:ascii="宋体" w:hAnsi="宋体" w:cs="仿宋_GB2312"/>
                <w:bCs/>
                <w:color w:val="000000"/>
                <w:kern w:val="0"/>
                <w:sz w:val="24"/>
                <w:lang w:val="en-US" w:eastAsia="zh-CN"/>
              </w:rPr>
              <w:t>8</w:t>
            </w:r>
          </w:p>
        </w:tc>
        <w:tc>
          <w:tcPr>
            <w:tcW w:w="3000" w:type="dxa"/>
            <w:tcBorders>
              <w:top w:val="single" w:color="auto" w:sz="4" w:space="0"/>
              <w:left w:val="single" w:color="auto" w:sz="4" w:space="0"/>
              <w:bottom w:val="single" w:color="auto" w:sz="4" w:space="0"/>
              <w:right w:val="single" w:color="auto" w:sz="4" w:space="0"/>
            </w:tcBorders>
            <w:vAlign w:val="center"/>
          </w:tcPr>
          <w:p w14:paraId="32D86946">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根据项目实际，标识对环境所产生的积极或消极影响</w:t>
            </w:r>
          </w:p>
        </w:tc>
        <w:tc>
          <w:tcPr>
            <w:tcW w:w="3353" w:type="dxa"/>
            <w:tcBorders>
              <w:top w:val="single" w:color="auto" w:sz="4" w:space="0"/>
              <w:left w:val="single" w:color="auto" w:sz="4" w:space="0"/>
              <w:bottom w:val="single" w:color="auto" w:sz="4" w:space="0"/>
              <w:right w:val="single" w:color="auto" w:sz="4" w:space="0"/>
            </w:tcBorders>
            <w:vAlign w:val="center"/>
          </w:tcPr>
          <w:p w14:paraId="2B3693ED">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对照绩效目标，按对环境所产生的实际影响程度计算得分（8分）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75112379">
            <w:pPr>
              <w:widowControl/>
              <w:spacing w:line="306" w:lineRule="exact"/>
              <w:jc w:val="center"/>
              <w:rPr>
                <w:rFonts w:hint="eastAsia" w:ascii="宋体" w:hAnsi="宋体" w:eastAsia="宋体" w:cs="仿宋_GB2312"/>
                <w:bCs/>
                <w:color w:val="000000"/>
                <w:kern w:val="0"/>
                <w:sz w:val="24"/>
                <w:lang w:val="en-US" w:eastAsia="zh-CN"/>
              </w:rPr>
            </w:pPr>
            <w:r>
              <w:rPr>
                <w:rFonts w:hint="eastAsia" w:ascii="宋体" w:hAnsi="宋体" w:cs="仿宋_GB2312"/>
                <w:bCs/>
                <w:color w:val="000000"/>
                <w:kern w:val="0"/>
                <w:sz w:val="24"/>
                <w:lang w:val="en-US" w:eastAsia="zh-CN"/>
              </w:rPr>
              <w:t>8</w:t>
            </w:r>
          </w:p>
        </w:tc>
      </w:tr>
      <w:tr w14:paraId="4E79F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616E62A7">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0955D194">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3698D06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可持续影响</w:t>
            </w:r>
          </w:p>
          <w:p w14:paraId="0587DAB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932" w:type="dxa"/>
            <w:tcBorders>
              <w:top w:val="single" w:color="auto" w:sz="4" w:space="0"/>
              <w:left w:val="single" w:color="auto" w:sz="4" w:space="0"/>
              <w:bottom w:val="single" w:color="auto" w:sz="4" w:space="0"/>
              <w:right w:val="single" w:color="auto" w:sz="4" w:space="0"/>
            </w:tcBorders>
            <w:vAlign w:val="center"/>
          </w:tcPr>
          <w:p w14:paraId="106EA7CA">
            <w:pPr>
              <w:widowControl/>
              <w:spacing w:line="306" w:lineRule="exact"/>
              <w:jc w:val="center"/>
              <w:rPr>
                <w:rFonts w:hint="eastAsia" w:ascii="宋体" w:hAnsi="宋体" w:eastAsia="宋体" w:cs="仿宋_GB2312"/>
                <w:bCs/>
                <w:color w:val="000000"/>
                <w:kern w:val="0"/>
                <w:sz w:val="24"/>
                <w:lang w:eastAsia="zh-CN"/>
              </w:rPr>
            </w:pPr>
            <w:r>
              <w:rPr>
                <w:rFonts w:hint="eastAsia" w:ascii="宋体" w:hAnsi="宋体" w:cs="仿宋_GB2312"/>
                <w:bCs/>
                <w:color w:val="000000"/>
                <w:kern w:val="0"/>
                <w:sz w:val="24"/>
                <w:lang w:val="en-US" w:eastAsia="zh-CN"/>
              </w:rPr>
              <w:t>7</w:t>
            </w:r>
          </w:p>
        </w:tc>
        <w:tc>
          <w:tcPr>
            <w:tcW w:w="3000" w:type="dxa"/>
            <w:tcBorders>
              <w:top w:val="single" w:color="auto" w:sz="4" w:space="0"/>
              <w:left w:val="single" w:color="auto" w:sz="4" w:space="0"/>
              <w:bottom w:val="single" w:color="auto" w:sz="4" w:space="0"/>
              <w:right w:val="single" w:color="auto" w:sz="4" w:space="0"/>
            </w:tcBorders>
            <w:vAlign w:val="center"/>
          </w:tcPr>
          <w:p w14:paraId="081B7403">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项目产出能持续运用；项目运行所依赖的政策制度能持续执行</w:t>
            </w:r>
          </w:p>
        </w:tc>
        <w:tc>
          <w:tcPr>
            <w:tcW w:w="3353" w:type="dxa"/>
            <w:tcBorders>
              <w:top w:val="single" w:color="auto" w:sz="4" w:space="0"/>
              <w:left w:val="single" w:color="auto" w:sz="4" w:space="0"/>
              <w:bottom w:val="single" w:color="auto" w:sz="4" w:space="0"/>
              <w:right w:val="single" w:color="auto" w:sz="4" w:space="0"/>
            </w:tcBorders>
            <w:vAlign w:val="center"/>
          </w:tcPr>
          <w:p w14:paraId="6D1FBC8B">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项目产出能持续运用（4分）</w:t>
            </w:r>
          </w:p>
          <w:p w14:paraId="498A889A">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所依赖的政策制度能持续执行（4分）</w:t>
            </w:r>
          </w:p>
        </w:tc>
        <w:tc>
          <w:tcPr>
            <w:tcW w:w="355" w:type="dxa"/>
            <w:tcBorders>
              <w:top w:val="single" w:color="auto" w:sz="4" w:space="0"/>
              <w:left w:val="single" w:color="auto" w:sz="4" w:space="0"/>
              <w:bottom w:val="single" w:color="auto" w:sz="4" w:space="0"/>
              <w:right w:val="single" w:color="auto" w:sz="4" w:space="0"/>
            </w:tcBorders>
            <w:vAlign w:val="center"/>
          </w:tcPr>
          <w:p w14:paraId="3B7EE613">
            <w:pPr>
              <w:widowControl/>
              <w:spacing w:line="306" w:lineRule="exact"/>
              <w:jc w:val="center"/>
              <w:rPr>
                <w:rFonts w:hint="eastAsia" w:ascii="宋体" w:hAnsi="宋体" w:eastAsia="宋体" w:cs="仿宋_GB2312"/>
                <w:bCs/>
                <w:color w:val="000000"/>
                <w:kern w:val="0"/>
                <w:sz w:val="24"/>
                <w:lang w:eastAsia="zh-CN"/>
              </w:rPr>
            </w:pPr>
            <w:r>
              <w:rPr>
                <w:rFonts w:hint="eastAsia" w:ascii="宋体" w:hAnsi="宋体" w:cs="仿宋_GB2312"/>
                <w:bCs/>
                <w:color w:val="000000"/>
                <w:kern w:val="0"/>
                <w:sz w:val="24"/>
                <w:lang w:val="en-US" w:eastAsia="zh-CN"/>
              </w:rPr>
              <w:t>7</w:t>
            </w:r>
          </w:p>
        </w:tc>
      </w:tr>
      <w:tr w14:paraId="078C9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253A78F6">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07A40EAE">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0A2FF26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服务</w:t>
            </w:r>
          </w:p>
          <w:p w14:paraId="7BE1061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对象</w:t>
            </w:r>
          </w:p>
          <w:p w14:paraId="08886C2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满意度</w:t>
            </w:r>
          </w:p>
          <w:p w14:paraId="3806635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932" w:type="dxa"/>
            <w:tcBorders>
              <w:top w:val="single" w:color="auto" w:sz="4" w:space="0"/>
              <w:left w:val="single" w:color="auto" w:sz="4" w:space="0"/>
              <w:bottom w:val="single" w:color="auto" w:sz="4" w:space="0"/>
              <w:right w:val="single" w:color="auto" w:sz="4" w:space="0"/>
            </w:tcBorders>
            <w:vAlign w:val="center"/>
          </w:tcPr>
          <w:p w14:paraId="52999462">
            <w:pPr>
              <w:widowControl/>
              <w:spacing w:line="306" w:lineRule="exact"/>
              <w:jc w:val="center"/>
              <w:rPr>
                <w:rFonts w:hint="eastAsia" w:ascii="宋体" w:hAnsi="宋体" w:eastAsia="宋体" w:cs="仿宋_GB2312"/>
                <w:bCs/>
                <w:color w:val="000000"/>
                <w:kern w:val="0"/>
                <w:sz w:val="24"/>
                <w:lang w:eastAsia="zh-CN"/>
              </w:rPr>
            </w:pPr>
            <w:r>
              <w:rPr>
                <w:rFonts w:hint="eastAsia" w:ascii="宋体" w:hAnsi="宋体" w:cs="仿宋_GB2312"/>
                <w:bCs/>
                <w:color w:val="000000"/>
                <w:kern w:val="0"/>
                <w:sz w:val="24"/>
                <w:lang w:val="en-US" w:eastAsia="zh-CN"/>
              </w:rPr>
              <w:t>7</w:t>
            </w:r>
          </w:p>
        </w:tc>
        <w:tc>
          <w:tcPr>
            <w:tcW w:w="3000" w:type="dxa"/>
            <w:tcBorders>
              <w:top w:val="single" w:color="auto" w:sz="4" w:space="0"/>
              <w:left w:val="single" w:color="auto" w:sz="4" w:space="0"/>
              <w:bottom w:val="single" w:color="auto" w:sz="4" w:space="0"/>
              <w:right w:val="single" w:color="auto" w:sz="4" w:space="0"/>
            </w:tcBorders>
            <w:vAlign w:val="center"/>
          </w:tcPr>
          <w:p w14:paraId="6E92647A">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项目预期服务对象对项目实施的满意程度</w:t>
            </w:r>
          </w:p>
        </w:tc>
        <w:tc>
          <w:tcPr>
            <w:tcW w:w="3353" w:type="dxa"/>
            <w:tcBorders>
              <w:top w:val="single" w:color="auto" w:sz="4" w:space="0"/>
              <w:left w:val="single" w:color="auto" w:sz="4" w:space="0"/>
              <w:bottom w:val="single" w:color="auto" w:sz="4" w:space="0"/>
              <w:right w:val="single" w:color="auto" w:sz="4" w:space="0"/>
            </w:tcBorders>
            <w:vAlign w:val="center"/>
          </w:tcPr>
          <w:p w14:paraId="79889465">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按收集到的项目服务对象的满意率计算得分（8分）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298D4701">
            <w:pPr>
              <w:widowControl/>
              <w:spacing w:line="306" w:lineRule="exact"/>
              <w:jc w:val="center"/>
              <w:rPr>
                <w:rFonts w:hint="eastAsia" w:ascii="宋体" w:hAnsi="宋体" w:eastAsia="宋体" w:cs="仿宋_GB2312"/>
                <w:bCs/>
                <w:color w:val="000000"/>
                <w:kern w:val="0"/>
                <w:sz w:val="24"/>
                <w:lang w:eastAsia="zh-CN"/>
              </w:rPr>
            </w:pPr>
            <w:r>
              <w:rPr>
                <w:rFonts w:hint="eastAsia" w:ascii="宋体" w:hAnsi="宋体" w:cs="仿宋_GB2312"/>
                <w:bCs/>
                <w:color w:val="000000"/>
                <w:kern w:val="0"/>
                <w:sz w:val="24"/>
                <w:lang w:val="en-US" w:eastAsia="zh-CN"/>
              </w:rPr>
              <w:t>7</w:t>
            </w:r>
          </w:p>
        </w:tc>
      </w:tr>
      <w:tr w14:paraId="4F5BB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905" w:type="dxa"/>
            <w:gridSpan w:val="3"/>
            <w:tcBorders>
              <w:top w:val="single" w:color="auto" w:sz="4" w:space="0"/>
              <w:left w:val="single" w:color="auto" w:sz="4" w:space="0"/>
              <w:bottom w:val="single" w:color="auto" w:sz="4" w:space="0"/>
              <w:right w:val="single" w:color="auto" w:sz="4" w:space="0"/>
            </w:tcBorders>
            <w:vAlign w:val="center"/>
          </w:tcPr>
          <w:p w14:paraId="3051C9B9">
            <w:pPr>
              <w:widowControl/>
              <w:spacing w:line="260" w:lineRule="exact"/>
              <w:jc w:val="center"/>
              <w:rPr>
                <w:rFonts w:ascii="宋体" w:hAnsi="宋体" w:cs="仿宋_GB2312"/>
                <w:bCs/>
                <w:color w:val="000000"/>
                <w:kern w:val="0"/>
                <w:sz w:val="24"/>
              </w:rPr>
            </w:pPr>
            <w:r>
              <w:rPr>
                <w:rFonts w:hint="eastAsia" w:ascii="宋体" w:hAnsi="宋体" w:cs="仿宋_GB2312"/>
                <w:bCs/>
                <w:color w:val="000000"/>
                <w:kern w:val="0"/>
                <w:sz w:val="24"/>
              </w:rPr>
              <w:t>总分</w:t>
            </w:r>
          </w:p>
        </w:tc>
        <w:tc>
          <w:tcPr>
            <w:tcW w:w="7640" w:type="dxa"/>
            <w:gridSpan w:val="4"/>
            <w:tcBorders>
              <w:top w:val="single" w:color="auto" w:sz="4" w:space="0"/>
              <w:left w:val="single" w:color="auto" w:sz="4" w:space="0"/>
              <w:bottom w:val="single" w:color="auto" w:sz="4" w:space="0"/>
              <w:right w:val="single" w:color="auto" w:sz="4" w:space="0"/>
            </w:tcBorders>
            <w:vAlign w:val="center"/>
          </w:tcPr>
          <w:p w14:paraId="63EE59AC">
            <w:pPr>
              <w:widowControl/>
              <w:spacing w:line="260" w:lineRule="exact"/>
              <w:jc w:val="center"/>
              <w:rPr>
                <w:rFonts w:ascii="宋体" w:hAnsi="宋体" w:cs="仿宋_GB2312"/>
                <w:bCs/>
                <w:color w:val="000000"/>
                <w:kern w:val="0"/>
                <w:sz w:val="24"/>
              </w:rPr>
            </w:pPr>
          </w:p>
          <w:p w14:paraId="77E4A366">
            <w:pPr>
              <w:widowControl/>
              <w:spacing w:line="260" w:lineRule="exact"/>
              <w:jc w:val="center"/>
              <w:rPr>
                <w:rFonts w:hint="eastAsia" w:ascii="宋体" w:hAnsi="宋体" w:eastAsia="宋体" w:cs="仿宋_GB2312"/>
                <w:bCs/>
                <w:color w:val="000000"/>
                <w:kern w:val="0"/>
                <w:sz w:val="24"/>
                <w:lang w:val="en-US" w:eastAsia="zh-CN"/>
              </w:rPr>
            </w:pPr>
            <w:r>
              <w:rPr>
                <w:rFonts w:hint="eastAsia" w:ascii="宋体" w:hAnsi="宋体" w:cs="仿宋_GB2312"/>
                <w:bCs/>
                <w:color w:val="000000"/>
                <w:kern w:val="0"/>
                <w:sz w:val="24"/>
              </w:rPr>
              <w:t>9</w:t>
            </w:r>
            <w:r>
              <w:rPr>
                <w:rFonts w:hint="eastAsia" w:ascii="宋体" w:hAnsi="宋体" w:cs="仿宋_GB2312"/>
                <w:bCs/>
                <w:color w:val="000000"/>
                <w:kern w:val="0"/>
                <w:sz w:val="24"/>
                <w:lang w:val="en-US" w:eastAsia="zh-CN"/>
              </w:rPr>
              <w:t>8</w:t>
            </w:r>
          </w:p>
          <w:p w14:paraId="02FACAD9">
            <w:pPr>
              <w:widowControl/>
              <w:spacing w:line="260" w:lineRule="exact"/>
              <w:jc w:val="center"/>
              <w:rPr>
                <w:rFonts w:ascii="宋体" w:hAnsi="宋体" w:cs="仿宋_GB2312"/>
                <w:bCs/>
                <w:color w:val="000000"/>
                <w:kern w:val="0"/>
                <w:sz w:val="24"/>
              </w:rPr>
            </w:pPr>
          </w:p>
        </w:tc>
      </w:tr>
    </w:tbl>
    <w:p w14:paraId="5D0D274E"/>
    <w:p w14:paraId="3669D6C9">
      <w:pPr>
        <w:tabs>
          <w:tab w:val="left" w:pos="1502"/>
          <w:tab w:val="left" w:pos="2455"/>
          <w:tab w:val="left" w:pos="5327"/>
        </w:tabs>
        <w:jc w:val="left"/>
        <w:rPr>
          <w:rFonts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418DB4"/>
    <w:multiLevelType w:val="singleLevel"/>
    <w:tmpl w:val="B2418DB4"/>
    <w:lvl w:ilvl="0" w:tentative="0">
      <w:start w:val="2"/>
      <w:numFmt w:val="chineseCounting"/>
      <w:suff w:val="nothing"/>
      <w:lvlText w:val="（%1）"/>
      <w:lvlJc w:val="left"/>
      <w:rPr>
        <w:rFonts w:hint="eastAsia"/>
      </w:rPr>
    </w:lvl>
  </w:abstractNum>
  <w:abstractNum w:abstractNumId="1">
    <w:nsid w:val="CDDC7731"/>
    <w:multiLevelType w:val="singleLevel"/>
    <w:tmpl w:val="CDDC7731"/>
    <w:lvl w:ilvl="0" w:tentative="0">
      <w:start w:val="2"/>
      <w:numFmt w:val="chineseCounting"/>
      <w:suff w:val="nothing"/>
      <w:lvlText w:val="（%1）"/>
      <w:lvlJc w:val="left"/>
      <w:rPr>
        <w:rFonts w:hint="eastAsia"/>
      </w:rPr>
    </w:lvl>
  </w:abstractNum>
  <w:abstractNum w:abstractNumId="2">
    <w:nsid w:val="7889C68E"/>
    <w:multiLevelType w:val="singleLevel"/>
    <w:tmpl w:val="7889C68E"/>
    <w:lvl w:ilvl="0" w:tentative="0">
      <w:start w:val="5"/>
      <w:numFmt w:val="chineseCounting"/>
      <w:suff w:val="nothing"/>
      <w:lvlText w:val="%1、"/>
      <w:lvlJc w:val="left"/>
      <w:rPr>
        <w:rFonts w:hint="eastAsia"/>
      </w:rPr>
    </w:lvl>
  </w:abstractNum>
  <w:abstractNum w:abstractNumId="3">
    <w:nsid w:val="796CBC5B"/>
    <w:multiLevelType w:val="singleLevel"/>
    <w:tmpl w:val="796CBC5B"/>
    <w:lvl w:ilvl="0" w:tentative="0">
      <w:start w:val="4"/>
      <w:numFmt w:val="chineseCounting"/>
      <w:suff w:val="nothing"/>
      <w:lvlText w:val="%1、"/>
      <w:lvlJc w:val="left"/>
      <w:rPr>
        <w:rFonts w:hint="eastAsia" w:ascii="黑体" w:hAnsi="黑体" w:eastAsia="黑体" w:cs="黑体"/>
        <w:sz w:val="32"/>
        <w:szCs w:val="32"/>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FiYmI5ODFhMzhmODk3OTJmOTNjYTFhYTZmYTliMzgifQ=="/>
  </w:docVars>
  <w:rsids>
    <w:rsidRoot w:val="299A7C26"/>
    <w:rsid w:val="00080D0C"/>
    <w:rsid w:val="001D201E"/>
    <w:rsid w:val="003040D0"/>
    <w:rsid w:val="00407075"/>
    <w:rsid w:val="00575AEA"/>
    <w:rsid w:val="006A19B8"/>
    <w:rsid w:val="00776E4A"/>
    <w:rsid w:val="008C3477"/>
    <w:rsid w:val="00AD6D77"/>
    <w:rsid w:val="00D35109"/>
    <w:rsid w:val="00F04E7B"/>
    <w:rsid w:val="07A55B5D"/>
    <w:rsid w:val="0B4E45C3"/>
    <w:rsid w:val="0CED2E5F"/>
    <w:rsid w:val="0D746EC3"/>
    <w:rsid w:val="115C5DF8"/>
    <w:rsid w:val="11A03C73"/>
    <w:rsid w:val="1347549A"/>
    <w:rsid w:val="19BA7B00"/>
    <w:rsid w:val="299A7C26"/>
    <w:rsid w:val="29D52807"/>
    <w:rsid w:val="2B292FEA"/>
    <w:rsid w:val="2B8677DD"/>
    <w:rsid w:val="2C093F33"/>
    <w:rsid w:val="2FE0558D"/>
    <w:rsid w:val="34536569"/>
    <w:rsid w:val="357E168D"/>
    <w:rsid w:val="36F16A0C"/>
    <w:rsid w:val="37E824CD"/>
    <w:rsid w:val="42DD01EF"/>
    <w:rsid w:val="48CB049C"/>
    <w:rsid w:val="5A09090F"/>
    <w:rsid w:val="5AB3085E"/>
    <w:rsid w:val="5F1715FC"/>
    <w:rsid w:val="5FD618D7"/>
    <w:rsid w:val="60080424"/>
    <w:rsid w:val="663F7868"/>
    <w:rsid w:val="665E1549"/>
    <w:rsid w:val="68B55905"/>
    <w:rsid w:val="6AD73981"/>
    <w:rsid w:val="6D4D1413"/>
    <w:rsid w:val="6F282855"/>
    <w:rsid w:val="700716C4"/>
    <w:rsid w:val="734A2138"/>
    <w:rsid w:val="75A20827"/>
    <w:rsid w:val="75CD1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widowControl/>
      <w:spacing w:before="100" w:beforeAutospacing="1" w:after="100" w:afterAutospacing="1"/>
      <w:jc w:val="left"/>
      <w:outlineLvl w:val="1"/>
    </w:pPr>
    <w:rPr>
      <w:rFonts w:ascii="宋体" w:hAnsi="宋体" w:cs="宋体"/>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ind w:firstLine="315"/>
    </w:pPr>
    <w:rPr>
      <w:sz w:val="24"/>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2"/>
    <w:basedOn w:val="4"/>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3395</Words>
  <Characters>3540</Characters>
  <Lines>25</Lines>
  <Paragraphs>7</Paragraphs>
  <TotalTime>41</TotalTime>
  <ScaleCrop>false</ScaleCrop>
  <LinksUpToDate>false</LinksUpToDate>
  <CharactersWithSpaces>3592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2022-05-27T08:27:00Z</dcterms:created>
  <dc:creator>嗯！不瘦20斤我就不改名字了</dc:creator>
  <cp:lastModifiedBy>25K纯女汉子</cp:lastModifiedBy>
  <cp:lastPrinted>2022-06-10T00:30:00Z</cp:lastPrinted>
  <dcterms:modified xsi:type="dcterms:W3CDTF">2025-01-20T06:17:14Z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C44D8469D83146A5A140CD585F18FB16</vt:lpwstr>
  </property>
</Properties>
</file>