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56"/>
          <w:szCs w:val="56"/>
        </w:rPr>
      </w:pPr>
      <w:r>
        <w:rPr>
          <w:rFonts w:hint="eastAsia" w:ascii="方正小标宋_GBK" w:hAnsi="方正小标宋_GBK" w:eastAsia="方正小标宋_GBK" w:cs="方正小标宋_GBK"/>
          <w:sz w:val="84"/>
          <w:szCs w:val="84"/>
          <w:lang w:eastAsia="zh-CN"/>
        </w:rPr>
        <w:t>金盆镇中心</w:t>
      </w:r>
      <w:r>
        <w:rPr>
          <w:rFonts w:hint="eastAsia" w:ascii="方正小标宋_GBK" w:hAnsi="方正小标宋_GBK" w:eastAsia="方正小标宋_GBK" w:cs="方正小标宋_GBK"/>
          <w:sz w:val="84"/>
          <w:szCs w:val="84"/>
          <w:lang w:val="en-US" w:eastAsia="zh-CN"/>
        </w:rPr>
        <w:t>幼儿园单位</w:t>
      </w:r>
      <w:r>
        <w:rPr>
          <w:rFonts w:hint="eastAsia" w:ascii="方正小标宋_GBK" w:hAnsi="方正小标宋_GBK" w:eastAsia="方正小标宋_GBK" w:cs="方正小标宋_GBK"/>
          <w:sz w:val="84"/>
          <w:szCs w:val="84"/>
        </w:rPr>
        <w:t>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XX</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金盆镇中心幼儿园</w:t>
      </w:r>
      <w:r>
        <w:rPr>
          <w:rFonts w:hint="eastAsia" w:ascii="方正小标宋_GBK" w:hAnsi="方正小标宋_GBK" w:eastAsia="方正小标宋_GBK" w:cs="方正小标宋_GBK"/>
          <w:sz w:val="84"/>
          <w:szCs w:val="84"/>
        </w:rPr>
        <w:t>单位概况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（一）园长室</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园</w:t>
      </w:r>
      <w:r>
        <w:rPr>
          <w:rFonts w:hint="eastAsia" w:ascii="Times New Roman" w:hAnsi="Times New Roman" w:eastAsia="仿宋_GB2312" w:cs="仿宋_GB2312"/>
          <w:sz w:val="32"/>
          <w:szCs w:val="32"/>
        </w:rPr>
        <w:t>长室，具体负责协调安排校长活动日程；负责上级领导及校外来宾接待工作；负责安排校长办公会和以校长名义召开的各项会议，并对会议布置的工作任务及措施、要求等进行督查；负责起草学校学期工作计划、总结、报告、请示、规划、决议等文件；根据上级指示精神和学校要求，组织拟定全校性规章制度，发布全校性的通知、公告；负责集团及学校对外宣传报道工作；负责公文收发，负责督查、督办工作；负责组织协调各部门间的综合性工作；负责教职工请假及按月向财务处准确提供病事假统计；负责日常来访接待工作，记录并及时处理相关问题；负责校行政领导外出用车、票务等工作；负责节假日及重大活动时的值班安排工作及活动组织工作；负责学校公章、校长印章的管理及使用和介绍信的管理及开具。</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（二）财务室</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负责学校财务工作，负责预算内、外资金的核算、管理和调度，按计划提供各项工作的经费保证；负责制订财务管理办法，参与学校经济决策，进行物价管理、报表编制、财务核算等各项工作；负责教职工人事代理及学生平安保险、理赔等工作。</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（三）教研室</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负责按学校总体要求制订学校教学工作计划和有关教学管理规章制度，并组织实施；负责组织制订和修订各学科教学计划，检查教学计划、教学大纲的执行和完成情况，并适时作出调控；负责组织全校教学过程的实施，进行全面的教学质量管理，和教学质量评估、教学检查和教学评优工作；负责下达教学任务及教学时间的安排、教学进度的调控，课程表编排和组织全校的课程考试；负责负责师资队伍建设工作规划，组织各教研组开展教师年度考核工作，配合学校拟定教学人员的补充计划和教师职称评聘工作；负责组织各学科教材的预订、发放工作，审核和确定各学科基础教案和专用作业纸的编写与使用；负责全校在籍学生的学籍管理工作，制定和完善学籍管理办法，建立学生学籍档案，做好学生的学籍管理工作，负责审核学生学业完成情况，办理毕业证书，和学生档案的整理、装订及移交学校档案室等工作；负责组织和实施艺术特色色教育，抓好体育、艺术、卫生工作；负责参与并组织实施学校的招生工作及学生注册，成绩管理，学生入学、转学、毕业等工作；负责组织全校性教师、学生开展有关促进教学质量的竞赛，接受、管理师范毕业生在我校的实习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（一）内设机构设置。金盆镇中心幼儿园内设机构包括：园长室、财务室、教研室。</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（二）决算单位构成。金盆镇中心幼儿园202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年部门决算汇总公开单位构成包括：金盆镇中心幼儿园本级。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7518" w:type="dxa"/>
        <w:tblInd w:w="0" w:type="dxa"/>
        <w:tblLayout w:type="fixed"/>
        <w:tblCellMar>
          <w:top w:w="0" w:type="dxa"/>
          <w:left w:w="0" w:type="dxa"/>
          <w:bottom w:w="0" w:type="dxa"/>
          <w:right w:w="0" w:type="dxa"/>
        </w:tblCellMar>
      </w:tblPr>
      <w:tblGrid>
        <w:gridCol w:w="388"/>
        <w:gridCol w:w="480"/>
        <w:gridCol w:w="1200"/>
        <w:gridCol w:w="1596"/>
        <w:gridCol w:w="1704"/>
        <w:gridCol w:w="1644"/>
        <w:gridCol w:w="1596"/>
        <w:gridCol w:w="1584"/>
        <w:gridCol w:w="1920"/>
        <w:gridCol w:w="5156"/>
        <w:gridCol w:w="250"/>
      </w:tblGrid>
      <w:tr>
        <w:tblPrEx>
          <w:tblCellMar>
            <w:top w:w="0" w:type="dxa"/>
            <w:left w:w="0" w:type="dxa"/>
            <w:bottom w:w="0" w:type="dxa"/>
            <w:right w:w="0" w:type="dxa"/>
          </w:tblCellMar>
        </w:tblPrEx>
        <w:trPr>
          <w:gridAfter w:val="1"/>
          <w:wAfter w:w="250" w:type="dxa"/>
          <w:trHeight w:val="435" w:hRule="atLeast"/>
        </w:trPr>
        <w:tc>
          <w:tcPr>
            <w:tcW w:w="1726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2"/>
              <w:gridCol w:w="616"/>
              <w:gridCol w:w="1438"/>
              <w:gridCol w:w="5193"/>
              <w:gridCol w:w="1196"/>
              <w:gridCol w:w="468"/>
              <w:gridCol w:w="468"/>
              <w:gridCol w:w="1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85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61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64"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365"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1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64"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365"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63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2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61.38</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0.12</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5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61.49</w:t>
                  </w:r>
                </w:p>
              </w:tc>
              <w:tc>
                <w:tcPr>
                  <w:tcW w:w="5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61.49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5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61.49</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61.49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gridAfter w:val="1"/>
          <w:wAfter w:w="250" w:type="dxa"/>
          <w:trHeight w:val="285" w:hRule="atLeast"/>
        </w:trPr>
        <w:tc>
          <w:tcPr>
            <w:tcW w:w="38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2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15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1"/>
          <w:wAfter w:w="250" w:type="dxa"/>
          <w:trHeight w:val="285" w:hRule="atLeast"/>
        </w:trPr>
        <w:tc>
          <w:tcPr>
            <w:tcW w:w="86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2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2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15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250"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5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70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4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5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9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515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1"/>
          <w:wAfter w:w="250" w:type="dxa"/>
          <w:trHeight w:val="450" w:hRule="atLeast"/>
        </w:trPr>
        <w:tc>
          <w:tcPr>
            <w:tcW w:w="86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2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4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15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250" w:type="dxa"/>
          <w:trHeight w:val="450" w:hRule="atLeast"/>
        </w:trPr>
        <w:tc>
          <w:tcPr>
            <w:tcW w:w="86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4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15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250"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5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7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6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5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5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9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51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1"/>
          <w:wAfter w:w="250" w:type="dxa"/>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61.49</w:t>
            </w:r>
            <w:r>
              <w:rPr>
                <w:rFonts w:hint="eastAsia"/>
              </w:rPr>
              <w:t>　</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61.38</w:t>
            </w:r>
            <w:r>
              <w:rPr>
                <w:rFonts w:hint="eastAsia"/>
              </w:rPr>
              <w:t>　</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0.12</w:t>
            </w:r>
            <w:r>
              <w:rPr>
                <w:rFonts w:hint="eastAsia"/>
              </w:rPr>
              <w:t>　</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1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0" w:type="dxa"/>
          <w:trHeight w:val="450" w:hRule="atLeast"/>
        </w:trPr>
        <w:tc>
          <w:tcPr>
            <w:tcW w:w="8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rPr>
              <w:t>205</w:t>
            </w:r>
          </w:p>
        </w:tc>
        <w:tc>
          <w:tcPr>
            <w:tcW w:w="12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498"/>
              </w:tabs>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教育支出</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61.49</w:t>
            </w:r>
            <w:r>
              <w:rPr>
                <w:rFonts w:hint="eastAsia"/>
              </w:rPr>
              <w:t>　</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61.38</w:t>
            </w:r>
            <w:r>
              <w:rPr>
                <w:rFonts w:hint="eastAsia"/>
              </w:rPr>
              <w:t>　</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0.12</w:t>
            </w:r>
            <w:r>
              <w:rPr>
                <w:rFonts w:hint="eastAsia"/>
              </w:rPr>
              <w:t>　</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1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0" w:type="dxa"/>
          <w:trHeight w:val="450" w:hRule="atLeast"/>
        </w:trPr>
        <w:tc>
          <w:tcPr>
            <w:tcW w:w="8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rPr>
              <w:t>20502</w:t>
            </w:r>
          </w:p>
        </w:tc>
        <w:tc>
          <w:tcPr>
            <w:tcW w:w="12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普通教育</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59.40</w:t>
            </w:r>
            <w:r>
              <w:rPr>
                <w:rFonts w:hint="eastAsia" w:ascii="华文中宋" w:hAnsi="华文中宋" w:eastAsia="华文中宋"/>
              </w:rPr>
              <w:t>　</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59.28</w:t>
            </w:r>
            <w:r>
              <w:rPr>
                <w:rFonts w:hint="eastAsia"/>
              </w:rPr>
              <w:t>　</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0.12</w:t>
            </w:r>
            <w:r>
              <w:rPr>
                <w:rFonts w:hint="eastAsia"/>
              </w:rPr>
              <w:t>　</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1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0" w:type="dxa"/>
          <w:trHeight w:val="453" w:hRule="atLeast"/>
        </w:trPr>
        <w:tc>
          <w:tcPr>
            <w:tcW w:w="8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rPr>
              <w:t>2050201</w:t>
            </w:r>
          </w:p>
        </w:tc>
        <w:tc>
          <w:tcPr>
            <w:tcW w:w="12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学前教育</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38.52</w:t>
            </w:r>
            <w:r>
              <w:rPr>
                <w:rFonts w:hint="eastAsia"/>
              </w:rPr>
              <w:t>　</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38.40</w:t>
            </w:r>
            <w:r>
              <w:rPr>
                <w:rFonts w:hint="eastAsia"/>
              </w:rPr>
              <w:t>　</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0.12</w:t>
            </w:r>
            <w:r>
              <w:rPr>
                <w:rFonts w:hint="eastAsia"/>
              </w:rPr>
              <w:t>　</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1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0" w:type="dxa"/>
          <w:trHeight w:val="450" w:hRule="atLeast"/>
        </w:trPr>
        <w:tc>
          <w:tcPr>
            <w:tcW w:w="8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rPr>
              <w:t>2050202</w:t>
            </w:r>
          </w:p>
        </w:tc>
        <w:tc>
          <w:tcPr>
            <w:tcW w:w="12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小学教育</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0.09</w:t>
            </w:r>
            <w:r>
              <w:rPr>
                <w:rFonts w:hint="eastAsia"/>
              </w:rPr>
              <w:t>　</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0.09</w:t>
            </w:r>
            <w:r>
              <w:rPr>
                <w:rFonts w:hint="eastAsia"/>
              </w:rPr>
              <w:t>　</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1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0" w:type="dxa"/>
          <w:trHeight w:val="450" w:hRule="atLeast"/>
        </w:trPr>
        <w:tc>
          <w:tcPr>
            <w:tcW w:w="8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rPr>
              <w:t>2050299</w:t>
            </w:r>
          </w:p>
        </w:tc>
        <w:tc>
          <w:tcPr>
            <w:tcW w:w="12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其他普通教育支出</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20.79</w:t>
            </w:r>
            <w:r>
              <w:rPr>
                <w:rFonts w:hint="eastAsia"/>
              </w:rPr>
              <w:t>　</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20.79</w:t>
            </w:r>
            <w:r>
              <w:rPr>
                <w:rFonts w:hint="eastAsia"/>
              </w:rPr>
              <w:t>　</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1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0" w:type="dxa"/>
          <w:trHeight w:val="759" w:hRule="atLeast"/>
        </w:trPr>
        <w:tc>
          <w:tcPr>
            <w:tcW w:w="8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rPr>
              <w:t>20509</w:t>
            </w:r>
          </w:p>
        </w:tc>
        <w:tc>
          <w:tcPr>
            <w:tcW w:w="12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教育费附加安排的支出</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2.10</w:t>
            </w:r>
            <w:r>
              <w:rPr>
                <w:rFonts w:hint="eastAsia"/>
              </w:rPr>
              <w:t>　</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2.10</w:t>
            </w:r>
            <w:r>
              <w:rPr>
                <w:rFonts w:hint="eastAsia"/>
              </w:rPr>
              <w:t>　</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1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0" w:type="dxa"/>
          <w:trHeight w:val="663" w:hRule="atLeast"/>
        </w:trPr>
        <w:tc>
          <w:tcPr>
            <w:tcW w:w="8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2050999</w:t>
            </w:r>
          </w:p>
        </w:tc>
        <w:tc>
          <w:tcPr>
            <w:tcW w:w="12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其他教育费附加安排的支出</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2.10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2.10</w:t>
            </w:r>
          </w:p>
        </w:tc>
        <w:tc>
          <w:tcPr>
            <w:tcW w:w="16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51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7268" w:type="dxa"/>
            <w:gridSpan w:val="10"/>
            <w:tcBorders>
              <w:top w:val="nil"/>
              <w:left w:val="nil"/>
              <w:bottom w:val="nil"/>
              <w:right w:val="nil"/>
            </w:tcBorders>
            <w:shd w:val="clear" w:color="auto" w:fill="auto"/>
            <w:tcMar>
              <w:top w:w="15" w:type="dxa"/>
              <w:left w:w="15" w:type="dxa"/>
              <w:bottom w:w="0" w:type="dxa"/>
              <w:right w:w="15" w:type="dxa"/>
            </w:tcMar>
            <w:vAlign w:val="center"/>
          </w:tcPr>
          <w:p>
            <w:pPr>
              <w:jc w:val="both"/>
              <w:rPr>
                <w:rFonts w:ascii="宋体" w:hAnsi="宋体" w:eastAsia="宋体" w:cs="宋体"/>
                <w:kern w:val="2"/>
                <w:sz w:val="24"/>
                <w:szCs w:val="24"/>
                <w:lang w:val="en-US" w:eastAsia="zh-CN" w:bidi="ar-SA"/>
              </w:rPr>
            </w:pPr>
          </w:p>
        </w:tc>
        <w:tc>
          <w:tcPr>
            <w:tcW w:w="250" w:type="dxa"/>
            <w:tcBorders>
              <w:top w:val="nil"/>
              <w:left w:val="nil"/>
              <w:bottom w:val="nil"/>
              <w:right w:val="nil"/>
            </w:tcBorders>
            <w:shd w:val="clear" w:color="auto" w:fill="auto"/>
            <w:tcMar>
              <w:top w:w="15" w:type="dxa"/>
              <w:left w:w="15" w:type="dxa"/>
              <w:bottom w:w="0" w:type="dxa"/>
              <w:right w:w="15" w:type="dxa"/>
            </w:tcMar>
            <w:vAlign w:val="center"/>
          </w:tcPr>
          <w:p>
            <w:pP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其他教育支出</w:t>
            </w:r>
          </w:p>
        </w:tc>
      </w:tr>
    </w:tbl>
    <w:p>
      <w:pPr>
        <w:widowControl/>
        <w:rPr>
          <w:rFonts w:ascii="Times New Roman" w:hAnsi="Times New Roman" w:eastAsia="方正小标宋_GBK" w:cs="Times New Roman"/>
          <w:color w:val="000000"/>
          <w:kern w:val="0"/>
          <w:sz w:val="36"/>
          <w:szCs w:val="36"/>
        </w:rPr>
      </w:pPr>
    </w:p>
    <w:tbl>
      <w:tblPr>
        <w:tblStyle w:val="8"/>
        <w:tblW w:w="15616" w:type="dxa"/>
        <w:tblInd w:w="93" w:type="dxa"/>
        <w:tblLayout w:type="fixed"/>
        <w:tblCellMar>
          <w:top w:w="0" w:type="dxa"/>
          <w:left w:w="108" w:type="dxa"/>
          <w:bottom w:w="0" w:type="dxa"/>
          <w:right w:w="108" w:type="dxa"/>
        </w:tblCellMar>
      </w:tblPr>
      <w:tblGrid>
        <w:gridCol w:w="1236"/>
        <w:gridCol w:w="263"/>
        <w:gridCol w:w="1481"/>
        <w:gridCol w:w="1952"/>
        <w:gridCol w:w="1991"/>
        <w:gridCol w:w="1991"/>
        <w:gridCol w:w="1991"/>
        <w:gridCol w:w="1991"/>
        <w:gridCol w:w="2720"/>
      </w:tblGrid>
      <w:tr>
        <w:tblPrEx>
          <w:tblCellMar>
            <w:top w:w="0" w:type="dxa"/>
            <w:left w:w="108" w:type="dxa"/>
            <w:bottom w:w="0" w:type="dxa"/>
            <w:right w:w="108" w:type="dxa"/>
          </w:tblCellMar>
        </w:tblPrEx>
        <w:trPr>
          <w:trHeight w:val="807" w:hRule="atLeast"/>
        </w:trPr>
        <w:tc>
          <w:tcPr>
            <w:tcW w:w="15616"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2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2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61.49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47.45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14.04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rPr>
              <w:t>205</w:t>
            </w:r>
          </w:p>
        </w:tc>
        <w:tc>
          <w:tcPr>
            <w:tcW w:w="1481" w:type="dxa"/>
            <w:tcBorders>
              <w:top w:val="nil"/>
              <w:left w:val="nil"/>
              <w:bottom w:val="single" w:color="auto" w:sz="4" w:space="0"/>
              <w:right w:val="single" w:color="auto" w:sz="4" w:space="0"/>
            </w:tcBorders>
            <w:shd w:val="clear" w:color="000000" w:fill="FFFFFF"/>
            <w:noWrap/>
            <w:vAlign w:val="center"/>
          </w:tcPr>
          <w:p>
            <w:pPr>
              <w:tabs>
                <w:tab w:val="left" w:pos="498"/>
              </w:tabs>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教育支出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61.49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47.45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14.04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rPr>
              <w:t>20502</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普通教育</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59.40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45.35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14.04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rPr>
              <w:t>2050201</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学前教育</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38.52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24.47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14.04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rPr>
              <w:t>2050202</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小学教育</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rPr>
              <w:t>2050299</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其他普通教育支出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20.79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20.79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3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rPr>
              <w:t>20509</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教育费附加安排的支出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2.10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2.10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rPr>
            </w:pPr>
            <w:r>
              <w:rPr>
                <w:rFonts w:hint="eastAsia"/>
                <w:lang w:val="en-US" w:eastAsia="zh-CN"/>
              </w:rPr>
              <w:t>2050999</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其他教育费附加安排的支出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bl>
    <w:p>
      <w:pPr>
        <w:widowControl/>
        <w:jc w:val="both"/>
        <w:rPr>
          <w:rFonts w:ascii="Times New Roman" w:hAnsi="Times New Roman" w:eastAsia="方正小标宋_GBK" w:cs="Times New Roman"/>
          <w:color w:val="000000"/>
          <w:kern w:val="0"/>
          <w:sz w:val="36"/>
          <w:szCs w:val="21"/>
        </w:rPr>
      </w:pPr>
      <w:bookmarkStart w:id="3" w:name="_GoBack"/>
      <w:bookmarkEnd w:id="3"/>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61.38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61.38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61.38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61.38</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61.38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5700" w:type="dxa"/>
        <w:jc w:val="center"/>
        <w:tblLayout w:type="autofit"/>
        <w:tblCellMar>
          <w:top w:w="0" w:type="dxa"/>
          <w:left w:w="108" w:type="dxa"/>
          <w:bottom w:w="0" w:type="dxa"/>
          <w:right w:w="108" w:type="dxa"/>
        </w:tblCellMar>
      </w:tblPr>
      <w:tblGrid>
        <w:gridCol w:w="1200"/>
        <w:gridCol w:w="3527"/>
        <w:gridCol w:w="3000"/>
        <w:gridCol w:w="3492"/>
        <w:gridCol w:w="3000"/>
        <w:gridCol w:w="1481"/>
      </w:tblGrid>
      <w:tr>
        <w:tblPrEx>
          <w:tblCellMar>
            <w:top w:w="0" w:type="dxa"/>
            <w:left w:w="108" w:type="dxa"/>
            <w:bottom w:w="0" w:type="dxa"/>
            <w:right w:w="108" w:type="dxa"/>
          </w:tblCellMar>
        </w:tblPrEx>
        <w:trPr>
          <w:gridAfter w:val="1"/>
          <w:wAfter w:w="1481" w:type="dxa"/>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gridAfter w:val="1"/>
          <w:wAfter w:w="1481" w:type="dxa"/>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gridAfter w:val="1"/>
          <w:wAfter w:w="1481" w:type="dxa"/>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1"/>
          <w:wAfter w:w="1481" w:type="dxa"/>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1"/>
          <w:wAfter w:w="1481" w:type="dxa"/>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gridAfter w:val="1"/>
          <w:wAfter w:w="1481" w:type="dxa"/>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61.38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47.33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14.04</w:t>
            </w:r>
          </w:p>
        </w:tc>
      </w:tr>
      <w:tr>
        <w:tblPrEx>
          <w:tblCellMar>
            <w:top w:w="0" w:type="dxa"/>
            <w:left w:w="108" w:type="dxa"/>
            <w:bottom w:w="0" w:type="dxa"/>
            <w:right w:w="108" w:type="dxa"/>
          </w:tblCellMar>
        </w:tblPrEx>
        <w:trPr>
          <w:gridAfter w:val="1"/>
          <w:wAfter w:w="1481" w:type="dxa"/>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rPr>
              <w:t>205</w:t>
            </w:r>
          </w:p>
        </w:tc>
        <w:tc>
          <w:tcPr>
            <w:tcW w:w="3527" w:type="dxa"/>
            <w:tcBorders>
              <w:top w:val="nil"/>
              <w:left w:val="nil"/>
              <w:bottom w:val="single" w:color="auto" w:sz="4" w:space="0"/>
              <w:right w:val="single" w:color="auto" w:sz="4" w:space="0"/>
            </w:tcBorders>
            <w:shd w:val="clear" w:color="auto" w:fill="auto"/>
            <w:vAlign w:val="center"/>
          </w:tcPr>
          <w:p>
            <w:pPr>
              <w:tabs>
                <w:tab w:val="left" w:pos="498"/>
              </w:tabs>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61.38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47.33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14.04</w:t>
            </w:r>
          </w:p>
        </w:tc>
      </w:tr>
      <w:tr>
        <w:tblPrEx>
          <w:tblCellMar>
            <w:top w:w="0" w:type="dxa"/>
            <w:left w:w="108" w:type="dxa"/>
            <w:bottom w:w="0" w:type="dxa"/>
            <w:right w:w="108" w:type="dxa"/>
          </w:tblCellMar>
        </w:tblPrEx>
        <w:trPr>
          <w:gridAfter w:val="1"/>
          <w:wAfter w:w="1481" w:type="dxa"/>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rPr>
              <w:t>20502</w:t>
            </w:r>
          </w:p>
        </w:tc>
        <w:tc>
          <w:tcPr>
            <w:tcW w:w="352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59.28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45.24</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14.04</w:t>
            </w:r>
          </w:p>
        </w:tc>
      </w:tr>
      <w:tr>
        <w:tblPrEx>
          <w:tblCellMar>
            <w:top w:w="0" w:type="dxa"/>
            <w:left w:w="108" w:type="dxa"/>
            <w:bottom w:w="0" w:type="dxa"/>
            <w:right w:w="108" w:type="dxa"/>
          </w:tblCellMar>
        </w:tblPrEx>
        <w:trPr>
          <w:gridAfter w:val="1"/>
          <w:wAfter w:w="1481" w:type="dxa"/>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rPr>
              <w:t>2050201</w:t>
            </w:r>
          </w:p>
        </w:tc>
        <w:tc>
          <w:tcPr>
            <w:tcW w:w="352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学前教育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38.40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24.36</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14.04</w:t>
            </w:r>
          </w:p>
        </w:tc>
      </w:tr>
      <w:tr>
        <w:tblPrEx>
          <w:tblCellMar>
            <w:top w:w="0" w:type="dxa"/>
            <w:left w:w="108" w:type="dxa"/>
            <w:bottom w:w="0" w:type="dxa"/>
            <w:right w:w="108" w:type="dxa"/>
          </w:tblCellMar>
        </w:tblPrEx>
        <w:trPr>
          <w:gridAfter w:val="1"/>
          <w:wAfter w:w="1481" w:type="dxa"/>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rPr>
              <w:t>2050202</w:t>
            </w:r>
          </w:p>
        </w:tc>
        <w:tc>
          <w:tcPr>
            <w:tcW w:w="352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小学教育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0.09</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0.09</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1"/>
          <w:wAfter w:w="1481" w:type="dxa"/>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rPr>
              <w:t>2050299</w:t>
            </w:r>
          </w:p>
        </w:tc>
        <w:tc>
          <w:tcPr>
            <w:tcW w:w="352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其他普通教育支出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20.79</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20.79</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1"/>
          <w:wAfter w:w="1481" w:type="dxa"/>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rPr>
              <w:t>20509</w:t>
            </w:r>
          </w:p>
        </w:tc>
        <w:tc>
          <w:tcPr>
            <w:tcW w:w="3527" w:type="dxa"/>
            <w:tcBorders>
              <w:top w:val="nil"/>
              <w:left w:val="nil"/>
              <w:bottom w:val="single" w:color="auto" w:sz="8"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ascii="宋体" w:hAnsi="宋体" w:eastAsia="宋体" w:cs="宋体"/>
                <w:sz w:val="24"/>
                <w:szCs w:val="24"/>
              </w:rPr>
              <w:t>教育费附加安排的支出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1"/>
          <w:wAfter w:w="1481" w:type="dxa"/>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hint="eastAsia"/>
              </w:rPr>
            </w:pPr>
            <w:r>
              <w:rPr>
                <w:rFonts w:hint="eastAsia"/>
                <w:lang w:val="en-US" w:eastAsia="zh-CN"/>
              </w:rPr>
              <w:t>2050999</w:t>
            </w:r>
          </w:p>
        </w:tc>
        <w:tc>
          <w:tcPr>
            <w:tcW w:w="3527"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其他教育费附加安排的支出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p>
        </w:tc>
        <w:tc>
          <w:tcPr>
            <w:tcW w:w="1481" w:type="dxa"/>
            <w:tcBorders>
              <w:top w:val="nil"/>
              <w:left w:val="nil"/>
              <w:bottom w:val="nil"/>
              <w:right w:val="nil"/>
            </w:tcBorders>
            <w:shd w:val="clear" w:color="auto" w:fill="auto"/>
            <w:vAlign w:val="center"/>
          </w:tcPr>
          <w:p>
            <w:pPr>
              <w:jc w:val="center"/>
              <w:rPr>
                <w:rFonts w:hint="eastAsia" w:ascii="宋体" w:hAnsi="宋体" w:eastAsia="宋体" w:cs="宋体"/>
                <w:kern w:val="2"/>
                <w:sz w:val="24"/>
                <w:szCs w:val="24"/>
                <w:lang w:val="en-US" w:eastAsia="zh-CN" w:bidi="ar-SA"/>
              </w:rPr>
            </w:pP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96"/>
        <w:gridCol w:w="240"/>
        <w:gridCol w:w="94"/>
        <w:gridCol w:w="1297"/>
        <w:gridCol w:w="1802"/>
        <w:gridCol w:w="311"/>
        <w:gridCol w:w="691"/>
        <w:gridCol w:w="1213"/>
        <w:gridCol w:w="307"/>
        <w:gridCol w:w="1990"/>
        <w:gridCol w:w="112"/>
        <w:gridCol w:w="848"/>
        <w:gridCol w:w="898"/>
        <w:gridCol w:w="358"/>
        <w:gridCol w:w="2102"/>
        <w:gridCol w:w="1310"/>
        <w:gridCol w:w="793"/>
        <w:gridCol w:w="252"/>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9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9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7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36.08</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11.25</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10.67</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0.19</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0.91</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0.27</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1.07</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0.72</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4.37</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0.11</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0.78</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1.86</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0.13</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1.94</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2.49</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16.39</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0.13</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2.44</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0.02</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2.11</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6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0.10</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0.02</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6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0.61</w:t>
            </w:r>
          </w:p>
        </w:tc>
        <w:tc>
          <w:tcPr>
            <w:tcW w:w="8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7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4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36.08</w:t>
            </w:r>
          </w:p>
        </w:tc>
        <w:tc>
          <w:tcPr>
            <w:tcW w:w="9138"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11.25</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690" w:hRule="atLeast"/>
        </w:trPr>
        <w:tc>
          <w:tcPr>
            <w:tcW w:w="15362"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345" w:hRule="atLeast"/>
        </w:trPr>
        <w:tc>
          <w:tcPr>
            <w:tcW w:w="99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91"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3"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1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2"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690" w:hRule="atLeast"/>
        </w:trPr>
        <w:tc>
          <w:tcPr>
            <w:tcW w:w="9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91"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3"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1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2"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459"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609" w:hRule="atLeast"/>
        </w:trPr>
        <w:tc>
          <w:tcPr>
            <w:tcW w:w="12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409" w:hRule="atLeast"/>
        </w:trPr>
        <w:tc>
          <w:tcPr>
            <w:tcW w:w="12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725" w:hRule="atLeast"/>
        </w:trPr>
        <w:tc>
          <w:tcPr>
            <w:tcW w:w="15362"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61.49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7.72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12.54</w:t>
      </w:r>
      <w:r>
        <w:rPr>
          <w:rFonts w:hint="eastAsia" w:ascii="Times New Roman" w:hAnsi="Times New Roman" w:eastAsia="仿宋_GB2312"/>
          <w:sz w:val="32"/>
          <w:szCs w:val="32"/>
        </w:rPr>
        <w:t>%，主要是因为严格按预算执行，财政投入资金减少。</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61.49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61.38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99.82</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61.49</w:t>
      </w:r>
      <w:r>
        <w:rPr>
          <w:rFonts w:hint="eastAsia" w:ascii="Times New Roman" w:hAnsi="Times New Roman" w:eastAsia="仿宋_GB2312"/>
          <w:sz w:val="32"/>
          <w:szCs w:val="32"/>
        </w:rPr>
        <w:t>万元，其中：</w:t>
      </w:r>
      <w:r>
        <w:rPr>
          <w:rFonts w:hint="eastAsia" w:ascii="Times New Roman" w:hAnsi="Times New Roman" w:eastAsia="仿宋_GB2312"/>
          <w:sz w:val="32"/>
          <w:szCs w:val="32"/>
          <w:lang w:val="en-US" w:eastAsia="zh-CN"/>
        </w:rPr>
        <w:t>教育</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61.49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61.38</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5.98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9.74</w:t>
      </w:r>
      <w:r>
        <w:rPr>
          <w:rFonts w:hint="eastAsia" w:ascii="Times New Roman" w:hAnsi="Times New Roman" w:eastAsia="仿宋_GB2312"/>
          <w:sz w:val="32"/>
          <w:szCs w:val="32"/>
        </w:rPr>
        <w:t>%，主要是因为严格按预算执行，财政投入资金减少。</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61.38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5.98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9.74</w:t>
      </w:r>
      <w:r>
        <w:rPr>
          <w:rFonts w:hint="eastAsia" w:ascii="Times New Roman" w:hAnsi="Times New Roman" w:eastAsia="仿宋_GB2312"/>
          <w:sz w:val="32"/>
          <w:szCs w:val="32"/>
        </w:rPr>
        <w:t>%，主要是因为严格按预算执行，财政投入资金减少。</w:t>
      </w:r>
    </w:p>
    <w:p>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61.38</w:t>
      </w:r>
      <w:r>
        <w:rPr>
          <w:rFonts w:hint="eastAsia" w:ascii="Times New Roman" w:hAnsi="Times New Roman" w:eastAsia="仿宋_GB2312"/>
          <w:sz w:val="32"/>
          <w:szCs w:val="32"/>
        </w:rPr>
        <w:t>万元，主要用于以下方面：教育支出</w:t>
      </w:r>
      <w:r>
        <w:rPr>
          <w:rFonts w:hint="eastAsia" w:ascii="Times New Roman" w:hAnsi="Times New Roman" w:eastAsia="仿宋_GB2312"/>
          <w:sz w:val="32"/>
          <w:szCs w:val="32"/>
          <w:lang w:val="en-US" w:eastAsia="zh-CN"/>
        </w:rPr>
        <w:t>61.38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61.38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61.38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61.38</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36.08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58.78</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25.3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41.22</w:t>
      </w:r>
      <w:r>
        <w:rPr>
          <w:rFonts w:hint="eastAsia" w:ascii="Times New Roman" w:hAnsi="Times New Roman" w:eastAsia="仿宋_GB2312"/>
          <w:sz w:val="32"/>
          <w:szCs w:val="32"/>
        </w:rPr>
        <w:t>%，主要包括办公费、印刷费、咨询费、手续费。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“三公”经费财政拨款支出预算为0万元，支出决算为0万元，完成预算的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公务接待费支出预算为0万元，支出决算为0万元，完成预算的0%。</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公务用车运行费支出预算为0万元，支出决算为0万元，完成预算的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%,因公出国（境）费支出决算0万元，占0%,公务用车购置费及运行维护费支出决算0万元，占0%。其中：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1、因公出国（境）费支出决算为0万元，全年安排因公出国（境）团组0个，累计0人次.</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2、公务用车购置费及运行维护费支出决算为0万元，其中：公务用车购置费0万元，公务用车运行维护费0万元，截止202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年12月31日，我单位开支财政拨款的公务用车保有量为0辆。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年度本单位无政府性基金收支。</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2"/>
        <w:keepNext w:val="0"/>
        <w:keepLines w:val="0"/>
        <w:pageBreakBefore w:val="0"/>
        <w:widowControl w:val="0"/>
        <w:kinsoku/>
        <w:wordWrap/>
        <w:overflowPunct/>
        <w:topLinePunct w:val="0"/>
        <w:bidi w:val="0"/>
        <w:snapToGrid/>
        <w:spacing w:line="600" w:lineRule="exact"/>
        <w:ind w:firstLine="1600" w:firstLineChars="5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年度本单位无机关运行经费支出。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left="638" w:leftChars="304" w:firstLine="0" w:firstLineChars="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年本部门开支培训费0.</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万元，用于开展各线业务培训相关活动。</w:t>
      </w: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我园根据年初工作规划及财政预算计划，认真履职、强化管理，较好地完成了年度工作目标。通过加强预算收支管理、不断建立健全内部管理制度、理清内部管理流程，部门整体支出管理情况得到有效提升，自评结果良好。</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强化目标管理。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优化支出结构。严控三公经费支出，压缩一般性支出，坚决抵制铺张浪费行为，降低单位运行成本，从财政自身做起，合理调度财政资金，保证单位机构正常的工作运转，实现财政资金利益最大化。</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按照文件要求，准时在大通湖区政府门户网对</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年部门预算（决算）及“三公经费”进行了公示，基础数据信息和会计信息资料真实、完整。</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1、预算编制还不够精准，因预算编制时间与下一年度重点工作安排时间存在差异、突发性事件资金指标追加、人员调动等原因，导致预决算数据存在差异。</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2、办学条件有待更进一步加强，需要各级财政加大投入</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eastAsia="zh-CN"/>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pPr>
        <w:pStyle w:val="1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pPr>
        <w:pStyle w:val="12"/>
        <w:jc w:val="both"/>
        <w:rPr>
          <w:rFonts w:hint="eastAsia" w:ascii="Times New Roman" w:hAnsi="Times New Roman" w:eastAsia="仿宋"/>
          <w:sz w:val="32"/>
          <w:szCs w:val="32"/>
          <w:lang w:val="en-US" w:eastAsia="zh-CN"/>
        </w:rPr>
      </w:pPr>
    </w:p>
    <w:p>
      <w:pPr>
        <w:pStyle w:val="12"/>
        <w:jc w:val="both"/>
        <w:rPr>
          <w:rFonts w:hint="eastAsia" w:ascii="Times New Roman" w:hAnsi="Times New Roman" w:eastAsia="仿宋"/>
          <w:sz w:val="32"/>
          <w:szCs w:val="3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部门职能职责概述</w:t>
      </w:r>
    </w:p>
    <w:p>
      <w:pPr>
        <w:pStyle w:val="12"/>
        <w:keepNext w:val="0"/>
        <w:keepLines w:val="0"/>
        <w:pageBreakBefore w:val="0"/>
        <w:widowControl w:val="0"/>
        <w:numPr>
          <w:ilvl w:val="0"/>
          <w:numId w:val="0"/>
        </w:numPr>
        <w:kinsoku/>
        <w:wordWrap/>
        <w:overflowPunct/>
        <w:topLinePunct w:val="0"/>
        <w:bidi w:val="0"/>
        <w:snapToGrid/>
        <w:spacing w:line="240" w:lineRule="auto"/>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（1）认真贯彻执行党和国家有关财经方针、政策，法律、法规和财务规章制度，严格贯彻执行《中华人民共和国会计法》，严肃财经纪律，规范财务管理。</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（2）坚持勤俭办学的方针，正确处理事业发展需要和资金供给的关系，社会效益和经济效益的关系，国家、集体和个人三者利益关系。</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（3）根据上级主管部门下达的年度经费预算指标，结合学校的发展规划和年度计划，依法多渠道筹集资金，合理编制学校年度收支预算，并对预算的执行进行有效的控制和管理。</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（4）认真、及时、准确做好财务收支核算，会计账薄的登记和会计凭证装订保管等工作，及时、准确填制会计报表。</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（5）负责布置年度内预算申报工作，编制年度综合财务计划，监督检查各项资金的使用和计划的执行情况。</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（6）负责统一管理校内各类收费工作，严格执行各种收费标准。制定校内收费管理办法，签发校内收费各种票据。</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（7）科学配置学校资源，增收节支，提高资金使用效益。加强资产管理，防止国有资产流失。</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（8）结合学校实际情况中，建立健全财务规章制度和管理办法，规范学校经济秩序。</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（9）配合监察、审计部门了解和检查监督学校的财务收支、资金使用、财产管理和财务制度、财经纪律的执行情况，并接受监察、审计部门的检查监督。</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（10）及时完成学校领导交办的其他工作。</w:t>
      </w:r>
    </w:p>
    <w:p>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产出指标</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（1）我园编制3人，在职教职工11人，在校学生70人；</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（2）全年非税收入征收 元，纳入预算管理 元，非税收入收率100%；</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（3）三公经费支出0元，三公经费控制率0%；</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（4）部门整体支出使用100%；</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（5）机构运行率100%；</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（6）资金使用时间2024年1月至12月；</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（7）资金拨付时间2024年1月至12月；</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（8）全年预算项目支出 元；</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（9）全年安排部门整体预算支出 元。</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（三）效益指标</w:t>
      </w:r>
    </w:p>
    <w:p>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（1）教育是民族振兴和社会进步的基石，反映了我校学生的精神文明水平，实现“教育强校”目标100%；</w:t>
      </w:r>
    </w:p>
    <w:p>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（2）教育和改善人口质量，提高全校人员的文化素质100%；</w:t>
      </w:r>
    </w:p>
    <w:p>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（3）教育促进文化延续和发展，促使全校稳定和谐健康发展100%；</w:t>
      </w:r>
    </w:p>
    <w:p>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（4）教育促进人的个性全面发展，武装人的思想，具备防范社会风险和维护社会安定的意识100%；</w:t>
      </w:r>
    </w:p>
    <w:p>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（5）教育调节人和自然的关系，促进生态文明环境可持续发展100%；</w:t>
      </w:r>
    </w:p>
    <w:p>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仿宋_GB2312"/>
          <w:sz w:val="32"/>
          <w:szCs w:val="32"/>
          <w:lang w:val="en-US" w:eastAsia="zh-CN"/>
        </w:rPr>
      </w:pPr>
      <w:r>
        <w:rPr>
          <w:rFonts w:hint="eastAsia" w:ascii="仿宋" w:hAnsi="仿宋" w:eastAsia="仿宋" w:cs="仿宋"/>
          <w:sz w:val="32"/>
          <w:szCs w:val="32"/>
        </w:rPr>
        <w:t>（6）社会公众或服务对象满意度&gt;95%</w:t>
      </w:r>
      <w:r>
        <w:rPr>
          <w:rFonts w:hint="eastAsia" w:ascii="仿宋" w:hAnsi="仿宋" w:eastAsia="仿宋" w:cs="仿宋"/>
          <w:sz w:val="32"/>
          <w:szCs w:val="32"/>
          <w:lang w:eastAsia="zh-CN"/>
        </w:rPr>
        <w:t>。</w:t>
      </w:r>
    </w:p>
    <w:p>
      <w:pPr>
        <w:pStyle w:val="12"/>
        <w:jc w:val="center"/>
        <w:rPr>
          <w:sz w:val="72"/>
          <w:szCs w:val="72"/>
        </w:rPr>
      </w:pPr>
    </w:p>
    <w:p>
      <w:pPr>
        <w:pStyle w:val="12"/>
        <w:jc w:val="center"/>
        <w:rPr>
          <w:sz w:val="72"/>
          <w:szCs w:val="72"/>
        </w:rPr>
      </w:pPr>
    </w:p>
    <w:p>
      <w:pPr>
        <w:pStyle w:val="12"/>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83FD3"/>
    <w:multiLevelType w:val="singleLevel"/>
    <w:tmpl w:val="EF183FD3"/>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480D5F"/>
    <w:rsid w:val="1D97DEFF"/>
    <w:rsid w:val="1DFF72E5"/>
    <w:rsid w:val="1EFC6F07"/>
    <w:rsid w:val="2D9A766B"/>
    <w:rsid w:val="2FDF85B8"/>
    <w:rsid w:val="2FFFEE04"/>
    <w:rsid w:val="34DF85B0"/>
    <w:rsid w:val="3B8F36BC"/>
    <w:rsid w:val="461F7F9A"/>
    <w:rsid w:val="491FF225"/>
    <w:rsid w:val="4FFD214C"/>
    <w:rsid w:val="5777D4F5"/>
    <w:rsid w:val="59DD8326"/>
    <w:rsid w:val="5DEF592A"/>
    <w:rsid w:val="5FC6BB1E"/>
    <w:rsid w:val="5FF720F1"/>
    <w:rsid w:val="67FF5C0B"/>
    <w:rsid w:val="688A39D1"/>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5784</Words>
  <Characters>6585</Characters>
  <Lines>63</Lines>
  <Paragraphs>18</Paragraphs>
  <TotalTime>4</TotalTime>
  <ScaleCrop>false</ScaleCrop>
  <LinksUpToDate>false</LinksUpToDate>
  <CharactersWithSpaces>7639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2025-09-25T02:05:47Z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E4B11543A613478682809B6B3950A1F1_13</vt:lpwstr>
  </property>
</Properties>
</file>