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3353A">
      <w:pPr>
        <w:spacing w:line="592" w:lineRule="exact"/>
        <w:ind w:firstLine="880" w:firstLineChars="200"/>
        <w:rPr>
          <w:rFonts w:ascii="方正小标宋简体" w:hAnsi="黑体" w:eastAsia="方正小标宋简体" w:cs="方正小标宋简体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中共大通湖区委大通湖区管委会办公室</w:t>
      </w:r>
    </w:p>
    <w:p w14:paraId="077D3D51">
      <w:pPr>
        <w:spacing w:line="592" w:lineRule="exact"/>
        <w:ind w:firstLine="440" w:firstLineChars="100"/>
        <w:rPr>
          <w:rFonts w:ascii="方正小标宋简体" w:hAnsi="黑体" w:eastAsia="方正小标宋简体" w:cs="方正小标宋简体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公务用车运行维护费项目支出绩效评价报告</w:t>
      </w:r>
    </w:p>
    <w:p w14:paraId="301C05DC">
      <w:pPr>
        <w:overflowPunct w:val="0"/>
        <w:autoSpaceDE w:val="0"/>
        <w:autoSpaceDN w:val="0"/>
        <w:adjustRightInd w:val="0"/>
        <w:snapToGrid w:val="0"/>
        <w:spacing w:line="592" w:lineRule="exact"/>
        <w:ind w:firstLine="640" w:firstLineChars="200"/>
        <w:rPr>
          <w:rFonts w:eastAsia="仿宋_GB2312" w:cs="仿宋_GB2312"/>
          <w:color w:val="000000" w:themeColor="text1"/>
          <w:sz w:val="32"/>
          <w:szCs w:val="32"/>
        </w:rPr>
      </w:pPr>
    </w:p>
    <w:p w14:paraId="414A43F3">
      <w:pPr>
        <w:pStyle w:val="6"/>
        <w:widowControl/>
        <w:spacing w:line="592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为进一步规范财政资金管理、强化绩效意识和支出责任，根据《中共中央 国务院关于全面实施预算绩效管理的意见》（中发</w:t>
      </w:r>
      <w:r>
        <w:rPr>
          <w:rFonts w:hint="eastAsia" w:eastAsia="仿宋_GB2312"/>
          <w:color w:val="000000"/>
          <w:sz w:val="32"/>
          <w:szCs w:val="32"/>
        </w:rPr>
        <w:t>〔2018〕34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《中共湖南省委办公厅 湖南省人民政府办公厅关于全面实施预算绩效管理的实施意见》（湘办发〔2019〕10号）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等有关文件精神，</w:t>
      </w: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</w:rPr>
        <w:t>我办认真组织进行了202</w:t>
      </w: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</w:rPr>
        <w:t>年度公务用车运行维护费项目支出绩效自评工作。自评分90分，现将项目支出绩效评价情况报告如下：</w:t>
      </w:r>
    </w:p>
    <w:p w14:paraId="0041D907">
      <w:pPr>
        <w:pStyle w:val="6"/>
        <w:widowControl/>
        <w:spacing w:line="592" w:lineRule="exact"/>
        <w:ind w:firstLine="640" w:firstLineChars="200"/>
        <w:jc w:val="both"/>
        <w:rPr>
          <w:rFonts w:ascii="黑体" w:hAnsi="黑体" w:eastAsia="黑体" w:cs="仿宋"/>
          <w:kern w:val="2"/>
          <w:sz w:val="32"/>
          <w:szCs w:val="32"/>
        </w:rPr>
      </w:pPr>
      <w:r>
        <w:rPr>
          <w:rFonts w:hint="eastAsia" w:ascii="黑体" w:hAnsi="黑体" w:eastAsia="黑体" w:cs="仿宋"/>
          <w:kern w:val="2"/>
          <w:sz w:val="32"/>
          <w:szCs w:val="32"/>
        </w:rPr>
        <w:t>一、项目基本情况</w:t>
      </w:r>
    </w:p>
    <w:p w14:paraId="62115F54">
      <w:pPr>
        <w:pStyle w:val="6"/>
        <w:widowControl/>
        <w:spacing w:line="592" w:lineRule="exact"/>
        <w:ind w:firstLine="641" w:firstLineChars="200"/>
        <w:jc w:val="both"/>
        <w:rPr>
          <w:rFonts w:ascii="华文楷体" w:hAnsi="华文楷体" w:eastAsia="华文楷体" w:cs="仿宋"/>
          <w:b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b/>
          <w:kern w:val="2"/>
          <w:sz w:val="32"/>
          <w:szCs w:val="32"/>
        </w:rPr>
        <w:t>（一）项目概况</w:t>
      </w:r>
    </w:p>
    <w:p w14:paraId="1800B766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公务用车运行维护费项目属于公共管理活动开支，主要用于公务车辆的日常运行和维护，本单位年初预算在编车辆共27台，运行经费1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65.6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万元。</w:t>
      </w:r>
    </w:p>
    <w:p w14:paraId="5CC33725">
      <w:pPr>
        <w:pStyle w:val="6"/>
        <w:widowControl/>
        <w:spacing w:line="592" w:lineRule="exact"/>
        <w:ind w:firstLine="641" w:firstLineChars="200"/>
        <w:jc w:val="both"/>
        <w:rPr>
          <w:rFonts w:ascii="华文楷体" w:hAnsi="华文楷体" w:eastAsia="华文楷体" w:cs="仿宋"/>
          <w:b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b/>
          <w:kern w:val="2"/>
          <w:sz w:val="32"/>
          <w:szCs w:val="32"/>
        </w:rPr>
        <w:t>（二）项目绩效目标，绩效目标设定及指标完成情况</w:t>
      </w:r>
    </w:p>
    <w:p w14:paraId="2AE80719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项目资金共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165.6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万元，全部为财政资金。截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至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年12月31日，区委区管委办公室公务用车运行维护费资金已全部支出，主要用于本单位公务车辆的燃油费、维修费、保险费、车辆过桥过路费、租车费等。</w:t>
      </w:r>
    </w:p>
    <w:p w14:paraId="7202EC0B">
      <w:pPr>
        <w:pStyle w:val="6"/>
        <w:widowControl/>
        <w:spacing w:line="592" w:lineRule="exact"/>
        <w:ind w:firstLine="641" w:firstLineChars="200"/>
        <w:jc w:val="both"/>
        <w:rPr>
          <w:rFonts w:ascii="华文楷体" w:hAnsi="华文楷体" w:eastAsia="华文楷体" w:cs="仿宋"/>
          <w:b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b/>
          <w:kern w:val="2"/>
          <w:sz w:val="32"/>
          <w:szCs w:val="32"/>
        </w:rPr>
        <w:t>（三）项目实施情况分析，主要包括项目资金到位、资金使用、资金管理、项目组织和项目管理情况分析。</w:t>
      </w:r>
    </w:p>
    <w:p w14:paraId="52E425D9">
      <w:pPr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年区委区管委办公室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公务用车运行维护费</w:t>
      </w:r>
      <w:r>
        <w:rPr>
          <w:rFonts w:hint="eastAsia" w:ascii="仿宋_GB2312" w:hAnsi="仿宋" w:eastAsia="仿宋_GB2312" w:cs="仿宋"/>
          <w:sz w:val="32"/>
          <w:szCs w:val="32"/>
        </w:rPr>
        <w:t>项目支出预算安排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165.6</w:t>
      </w:r>
      <w:r>
        <w:rPr>
          <w:rFonts w:hint="eastAsia" w:ascii="仿宋_GB2312" w:hAnsi="仿宋" w:eastAsia="仿宋_GB2312" w:cs="仿宋"/>
          <w:sz w:val="32"/>
          <w:szCs w:val="32"/>
        </w:rPr>
        <w:t>万元，总投入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165.6</w:t>
      </w:r>
      <w:r>
        <w:rPr>
          <w:rFonts w:hint="eastAsia" w:ascii="仿宋_GB2312" w:hAnsi="仿宋" w:eastAsia="仿宋_GB2312" w:cs="仿宋"/>
          <w:sz w:val="32"/>
          <w:szCs w:val="32"/>
        </w:rPr>
        <w:t>万元，资金到位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165.6</w:t>
      </w:r>
      <w:r>
        <w:rPr>
          <w:rFonts w:hint="eastAsia" w:ascii="仿宋_GB2312" w:hAnsi="仿宋" w:eastAsia="仿宋_GB2312" w:cs="仿宋"/>
          <w:sz w:val="32"/>
          <w:szCs w:val="32"/>
        </w:rPr>
        <w:t>万元，实际使用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165.6</w:t>
      </w:r>
      <w:r>
        <w:rPr>
          <w:rFonts w:hint="eastAsia" w:ascii="仿宋_GB2312" w:hAnsi="仿宋" w:eastAsia="仿宋_GB2312" w:cs="仿宋"/>
          <w:sz w:val="32"/>
          <w:szCs w:val="32"/>
        </w:rPr>
        <w:t>万元，项目资金到位率100%，支出实现率100%，资金使用合法合规。</w:t>
      </w:r>
    </w:p>
    <w:p w14:paraId="36D96925">
      <w:pPr>
        <w:pStyle w:val="6"/>
        <w:widowControl/>
        <w:spacing w:line="592" w:lineRule="exact"/>
        <w:ind w:firstLine="640" w:firstLineChars="200"/>
        <w:jc w:val="both"/>
        <w:rPr>
          <w:rFonts w:ascii="黑体" w:hAnsi="黑体" w:eastAsia="黑体" w:cs="仿宋"/>
          <w:kern w:val="2"/>
          <w:sz w:val="32"/>
          <w:szCs w:val="32"/>
        </w:rPr>
      </w:pPr>
      <w:r>
        <w:rPr>
          <w:rFonts w:hint="eastAsia" w:ascii="黑体" w:hAnsi="黑体" w:eastAsia="黑体" w:cs="仿宋"/>
          <w:kern w:val="2"/>
          <w:sz w:val="32"/>
          <w:szCs w:val="32"/>
        </w:rPr>
        <w:t>二、绩效评价工作情况</w:t>
      </w:r>
    </w:p>
    <w:p w14:paraId="0A90B90B">
      <w:pPr>
        <w:pStyle w:val="6"/>
        <w:widowControl/>
        <w:spacing w:line="592" w:lineRule="exact"/>
        <w:ind w:firstLine="641" w:firstLineChars="200"/>
        <w:jc w:val="both"/>
        <w:rPr>
          <w:rFonts w:ascii="华文楷体" w:hAnsi="华文楷体" w:eastAsia="华文楷体" w:cs="仿宋"/>
          <w:b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b/>
          <w:kern w:val="2"/>
          <w:sz w:val="32"/>
          <w:szCs w:val="32"/>
        </w:rPr>
        <w:t>（一）绩效评价目的</w:t>
      </w:r>
    </w:p>
    <w:p w14:paraId="375A256E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根据项目绩效目标，对该项目从立项开始直到项目实施完成，实行全过程的监管，特别是对专项资金使用情况，进行全面分析和综合评价，切实提高财政资金使用效率和项目管理水平，为以后年度财政资金预算安排提供重要参考依据。</w:t>
      </w:r>
    </w:p>
    <w:p w14:paraId="0DD9CBB1">
      <w:pPr>
        <w:pStyle w:val="6"/>
        <w:widowControl/>
        <w:spacing w:line="592" w:lineRule="exact"/>
        <w:ind w:firstLine="641" w:firstLineChars="200"/>
        <w:jc w:val="both"/>
        <w:rPr>
          <w:rFonts w:ascii="华文楷体" w:hAnsi="华文楷体" w:eastAsia="华文楷体" w:cs="仿宋"/>
          <w:b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b/>
          <w:kern w:val="2"/>
          <w:sz w:val="32"/>
          <w:szCs w:val="32"/>
        </w:rPr>
        <w:t>（二）绩效评价工作过程，主要包括前期准备、组织实施和分析评价等内容</w:t>
      </w:r>
    </w:p>
    <w:p w14:paraId="17C722F6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1、前期准备：下达考核任务，分解目标责任。</w:t>
      </w:r>
    </w:p>
    <w:p w14:paraId="1E3F442E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2、组织实施：按照文件要求，区委区管委办公室成立了由党组副书记、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分管日常工作的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副主任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eastAsia="zh-CN"/>
        </w:rPr>
        <w:t>李松华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 xml:space="preserve">任组长的预算绩效管理领导小组，人事财务股股长曹兰桂具体负责。项目资金由人事财务股具体管理，按计划制定管理制度，对项目资金按项目单独核算实行“专款专用”，不得挤占挪用项目资金，同时，对每笔费用都实行会审联签制度，确保资金使用的规范性。 </w:t>
      </w:r>
    </w:p>
    <w:p w14:paraId="5983661D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3、分析评价：按照益阳市大通湖区财政局制定的实施方案，根据部门项目支出绩效考评指标对我办202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年公务用车运行维护费项目支出绩效评价等情况，并经过认真复核，按照财政专项资金绩效评价指标体系进行评分，最终形成该项目绩效评价报告。</w:t>
      </w:r>
    </w:p>
    <w:p w14:paraId="438D025B">
      <w:pPr>
        <w:pStyle w:val="6"/>
        <w:widowControl/>
        <w:spacing w:line="592" w:lineRule="exact"/>
        <w:ind w:firstLine="640" w:firstLineChars="200"/>
        <w:jc w:val="both"/>
        <w:rPr>
          <w:rFonts w:ascii="黑体" w:hAnsi="黑体" w:eastAsia="黑体" w:cs="仿宋"/>
          <w:kern w:val="2"/>
          <w:sz w:val="32"/>
          <w:szCs w:val="32"/>
        </w:rPr>
      </w:pPr>
      <w:r>
        <w:rPr>
          <w:rFonts w:hint="eastAsia" w:ascii="黑体" w:hAnsi="黑体" w:eastAsia="黑体" w:cs="仿宋"/>
          <w:kern w:val="2"/>
          <w:sz w:val="32"/>
          <w:szCs w:val="32"/>
        </w:rPr>
        <w:t>三、项目主要绩效及评价结论</w:t>
      </w:r>
    </w:p>
    <w:p w14:paraId="204344C2">
      <w:pPr>
        <w:pStyle w:val="6"/>
        <w:widowControl/>
        <w:spacing w:line="592" w:lineRule="exact"/>
        <w:ind w:firstLine="641" w:firstLineChars="200"/>
        <w:jc w:val="both"/>
        <w:rPr>
          <w:rFonts w:ascii="华文楷体" w:hAnsi="华文楷体" w:eastAsia="华文楷体" w:cs="仿宋"/>
          <w:b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b/>
          <w:kern w:val="2"/>
          <w:sz w:val="32"/>
          <w:szCs w:val="32"/>
        </w:rPr>
        <w:t>（一）项目完成情况</w:t>
      </w:r>
    </w:p>
    <w:p w14:paraId="482DB0A6">
      <w:pPr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1、数量指标：满足全区领导干部公务用车需求。</w:t>
      </w:r>
    </w:p>
    <w:p w14:paraId="091E3785">
      <w:pPr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2、质量指标：公车规范使用达100%。</w:t>
      </w:r>
    </w:p>
    <w:p w14:paraId="3E1921ED">
      <w:pPr>
        <w:overflowPunct w:val="0"/>
        <w:autoSpaceDE w:val="0"/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3、时效指标：经费使用时间为202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年1月1日-202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年12月31日。</w:t>
      </w:r>
    </w:p>
    <w:p w14:paraId="443E1545">
      <w:pPr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4、成本指标：区内用车：小轿车使用费2.0元/公里、越野车及商务车使用费2.1元/公里，19座客车5元/公里。区外用车：小轿车使用费2.5元/公里、越野车及商务车使用费2.6元/公里，19座客车5元/公里，用车期间驾驶员的食宿费由用车单位确认后，按标准向用车单位收取。</w:t>
      </w:r>
    </w:p>
    <w:p w14:paraId="296F70FD">
      <w:pPr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5、经济效益指标：促进我区经济建设有效发展。</w:t>
      </w:r>
    </w:p>
    <w:p w14:paraId="0764615F">
      <w:pPr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6、社会效益指标：规范领导干部公务用车，提升政府公信力。</w:t>
      </w:r>
    </w:p>
    <w:p w14:paraId="2FFCF5BD">
      <w:pPr>
        <w:spacing w:line="592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7、社会公众或服务对象满意度指标：享受对象满意率达95%。</w:t>
      </w:r>
    </w:p>
    <w:p w14:paraId="4AB6BAF6">
      <w:pPr>
        <w:pStyle w:val="6"/>
        <w:widowControl/>
        <w:spacing w:line="592" w:lineRule="exact"/>
        <w:ind w:firstLine="641" w:firstLineChars="200"/>
        <w:jc w:val="both"/>
        <w:rPr>
          <w:rFonts w:ascii="华文楷体" w:hAnsi="华文楷体" w:eastAsia="华文楷体" w:cs="仿宋"/>
          <w:b/>
          <w:kern w:val="2"/>
          <w:sz w:val="32"/>
          <w:szCs w:val="32"/>
        </w:rPr>
      </w:pPr>
      <w:r>
        <w:rPr>
          <w:rFonts w:hint="eastAsia" w:ascii="华文楷体" w:hAnsi="华文楷体" w:eastAsia="华文楷体" w:cs="仿宋"/>
          <w:b/>
          <w:kern w:val="2"/>
          <w:sz w:val="32"/>
          <w:szCs w:val="32"/>
        </w:rPr>
        <w:t>（二）项目效益情况</w:t>
      </w:r>
    </w:p>
    <w:p w14:paraId="0E8E41A4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该项目通过对公务用车运行维护费项目支出严格把控，切实加强了资金使用的合理性和合法性。</w:t>
      </w:r>
      <w:bookmarkStart w:id="0" w:name="_GoBack"/>
      <w:bookmarkEnd w:id="0"/>
      <w:r>
        <w:rPr>
          <w:rFonts w:hint="eastAsia" w:ascii="仿宋_GB2312" w:hAnsi="仿宋" w:eastAsia="仿宋_GB2312" w:cs="仿宋"/>
          <w:kern w:val="2"/>
          <w:sz w:val="32"/>
          <w:szCs w:val="32"/>
        </w:rPr>
        <w:t>规范领导干部用车，提升政府公信力，使用公车规范达100%。项目费用不存在超支情况，严格按计划执行，完全控制在预算资金内，确保了预算执行的有效性。</w:t>
      </w:r>
    </w:p>
    <w:p w14:paraId="621ADB7A">
      <w:pPr>
        <w:pStyle w:val="6"/>
        <w:widowControl/>
        <w:spacing w:line="592" w:lineRule="exact"/>
        <w:ind w:firstLine="640" w:firstLineChars="200"/>
        <w:jc w:val="both"/>
        <w:rPr>
          <w:rFonts w:ascii="黑体" w:hAnsi="黑体" w:eastAsia="黑体" w:cs="仿宋"/>
          <w:kern w:val="2"/>
          <w:sz w:val="32"/>
          <w:szCs w:val="32"/>
        </w:rPr>
      </w:pPr>
      <w:r>
        <w:rPr>
          <w:rFonts w:hint="eastAsia" w:ascii="黑体" w:hAnsi="黑体" w:eastAsia="黑体" w:cs="仿宋"/>
          <w:kern w:val="2"/>
          <w:sz w:val="32"/>
          <w:szCs w:val="32"/>
        </w:rPr>
        <w:t>四、存在的问题</w:t>
      </w:r>
    </w:p>
    <w:p w14:paraId="7725EA30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无</w:t>
      </w:r>
    </w:p>
    <w:p w14:paraId="24DE771C">
      <w:pPr>
        <w:pStyle w:val="6"/>
        <w:widowControl/>
        <w:spacing w:line="592" w:lineRule="exact"/>
        <w:ind w:firstLine="640" w:firstLineChars="200"/>
        <w:jc w:val="both"/>
        <w:rPr>
          <w:rFonts w:ascii="黑体" w:hAnsi="黑体" w:eastAsia="黑体" w:cs="仿宋"/>
          <w:kern w:val="2"/>
          <w:sz w:val="32"/>
          <w:szCs w:val="32"/>
        </w:rPr>
      </w:pPr>
      <w:r>
        <w:rPr>
          <w:rFonts w:hint="eastAsia" w:ascii="黑体" w:hAnsi="黑体" w:eastAsia="黑体" w:cs="仿宋"/>
          <w:kern w:val="2"/>
          <w:sz w:val="32"/>
          <w:szCs w:val="32"/>
        </w:rPr>
        <w:t>五、有关建议</w:t>
      </w:r>
    </w:p>
    <w:p w14:paraId="17C069DA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进一步严格规范执行公务用车管理规定，节约开支。</w:t>
      </w:r>
    </w:p>
    <w:p w14:paraId="365E6BBD">
      <w:pPr>
        <w:pStyle w:val="6"/>
        <w:widowControl/>
        <w:spacing w:line="592" w:lineRule="exact"/>
        <w:ind w:firstLine="640" w:firstLineChars="200"/>
        <w:jc w:val="both"/>
        <w:rPr>
          <w:rFonts w:ascii="黑体" w:hAnsi="黑体" w:eastAsia="黑体" w:cs="仿宋"/>
          <w:kern w:val="2"/>
          <w:sz w:val="32"/>
          <w:szCs w:val="32"/>
        </w:rPr>
      </w:pPr>
      <w:r>
        <w:rPr>
          <w:rFonts w:hint="eastAsia" w:ascii="黑体" w:hAnsi="黑体" w:eastAsia="黑体" w:cs="仿宋"/>
          <w:kern w:val="2"/>
          <w:sz w:val="32"/>
          <w:szCs w:val="32"/>
        </w:rPr>
        <w:t>六、其他需要说明的问题</w:t>
      </w:r>
    </w:p>
    <w:p w14:paraId="0AF3EF1F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>该项目为常年项目，本单位将继续严格规范使用该项资金。</w:t>
      </w:r>
    </w:p>
    <w:p w14:paraId="636038EA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</w:p>
    <w:p w14:paraId="253BACD5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</w:p>
    <w:p w14:paraId="13035992">
      <w:pPr>
        <w:pStyle w:val="6"/>
        <w:widowControl/>
        <w:spacing w:line="592" w:lineRule="exact"/>
        <w:jc w:val="both"/>
        <w:rPr>
          <w:rFonts w:ascii="仿宋_GB2312" w:hAnsi="仿宋" w:eastAsia="仿宋_GB2312" w:cs="仿宋"/>
          <w:kern w:val="2"/>
          <w:sz w:val="32"/>
          <w:szCs w:val="32"/>
        </w:rPr>
      </w:pPr>
    </w:p>
    <w:p w14:paraId="01082A8C">
      <w:pPr>
        <w:pStyle w:val="6"/>
        <w:widowControl/>
        <w:spacing w:line="592" w:lineRule="exact"/>
        <w:jc w:val="both"/>
        <w:rPr>
          <w:rFonts w:ascii="仿宋_GB2312" w:hAnsi="仿宋" w:eastAsia="仿宋_GB2312" w:cs="仿宋"/>
          <w:kern w:val="2"/>
          <w:sz w:val="32"/>
          <w:szCs w:val="32"/>
        </w:rPr>
      </w:pPr>
    </w:p>
    <w:p w14:paraId="60EFB811">
      <w:pPr>
        <w:pStyle w:val="6"/>
        <w:widowControl/>
        <w:spacing w:line="592" w:lineRule="exact"/>
        <w:ind w:firstLine="640" w:firstLineChars="200"/>
        <w:jc w:val="both"/>
        <w:rPr>
          <w:rFonts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 xml:space="preserve">                中共大通湖区委大通湖区管委会办公室</w:t>
      </w:r>
    </w:p>
    <w:p w14:paraId="6E1347CF">
      <w:pPr>
        <w:pStyle w:val="6"/>
        <w:widowControl/>
        <w:spacing w:line="592" w:lineRule="exact"/>
        <w:ind w:firstLine="640" w:firstLineChars="200"/>
        <w:jc w:val="both"/>
        <w:rPr>
          <w:rFonts w:hint="eastAsia" w:ascii="仿宋_GB2312" w:hAnsi="仿宋" w:eastAsia="仿宋_GB2312" w:cs="仿宋"/>
          <w:kern w:val="2"/>
          <w:sz w:val="32"/>
          <w:szCs w:val="32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</w:rPr>
        <w:t xml:space="preserve">                          202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年7月1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仿宋"/>
          <w:kern w:val="2"/>
          <w:sz w:val="32"/>
          <w:szCs w:val="32"/>
        </w:rPr>
        <w:t>日</w:t>
      </w:r>
    </w:p>
    <w:p w14:paraId="6135AEE1">
      <w:pPr>
        <w:autoSpaceDE w:val="0"/>
        <w:autoSpaceDN w:val="0"/>
        <w:spacing w:line="360" w:lineRule="auto"/>
        <w:jc w:val="center"/>
        <w:rPr>
          <w:rFonts w:hint="eastAsia" w:ascii="方正大标宋简体" w:eastAsia="方正大标宋简体" w:cs="仿宋_GB2312"/>
          <w:color w:val="000000"/>
          <w:sz w:val="44"/>
          <w:szCs w:val="44"/>
        </w:rPr>
      </w:pPr>
    </w:p>
    <w:p w14:paraId="099A774E">
      <w:pPr>
        <w:autoSpaceDE w:val="0"/>
        <w:autoSpaceDN w:val="0"/>
        <w:spacing w:line="360" w:lineRule="auto"/>
        <w:jc w:val="center"/>
        <w:rPr>
          <w:rFonts w:hint="eastAsia" w:ascii="方正大标宋简体" w:eastAsia="方正大标宋简体" w:cs="仿宋_GB2312"/>
          <w:color w:val="000000"/>
          <w:sz w:val="44"/>
          <w:szCs w:val="44"/>
        </w:rPr>
      </w:pPr>
    </w:p>
    <w:p w14:paraId="03DB273C">
      <w:pPr>
        <w:autoSpaceDE w:val="0"/>
        <w:autoSpaceDN w:val="0"/>
        <w:spacing w:line="360" w:lineRule="auto"/>
        <w:jc w:val="center"/>
        <w:rPr>
          <w:rFonts w:hint="eastAsia" w:ascii="方正大标宋简体" w:eastAsia="方正大标宋简体" w:cs="仿宋_GB2312"/>
          <w:color w:val="000000"/>
          <w:sz w:val="44"/>
          <w:szCs w:val="44"/>
        </w:rPr>
      </w:pPr>
    </w:p>
    <w:p w14:paraId="535A9EF7">
      <w:pPr>
        <w:autoSpaceDE w:val="0"/>
        <w:autoSpaceDN w:val="0"/>
        <w:spacing w:line="360" w:lineRule="auto"/>
        <w:jc w:val="center"/>
        <w:rPr>
          <w:rFonts w:hint="eastAsia" w:ascii="方正大标宋简体" w:eastAsia="方正大标宋简体" w:cs="仿宋_GB2312"/>
          <w:color w:val="000000"/>
          <w:sz w:val="44"/>
          <w:szCs w:val="44"/>
        </w:rPr>
      </w:pPr>
    </w:p>
    <w:p w14:paraId="3968CA0B">
      <w:pPr>
        <w:autoSpaceDE w:val="0"/>
        <w:autoSpaceDN w:val="0"/>
        <w:spacing w:line="360" w:lineRule="auto"/>
        <w:jc w:val="center"/>
        <w:rPr>
          <w:rFonts w:hint="eastAsia" w:ascii="方正大标宋简体" w:eastAsia="方正大标宋简体" w:cs="仿宋_GB2312"/>
          <w:color w:val="000000"/>
          <w:sz w:val="44"/>
          <w:szCs w:val="44"/>
        </w:rPr>
      </w:pPr>
    </w:p>
    <w:p w14:paraId="5A6A3DC7">
      <w:pPr>
        <w:autoSpaceDE w:val="0"/>
        <w:autoSpaceDN w:val="0"/>
        <w:spacing w:line="360" w:lineRule="auto"/>
        <w:jc w:val="center"/>
        <w:rPr>
          <w:rFonts w:ascii="方正大标宋简体" w:eastAsia="方正大标宋简体" w:cs="仿宋_GB2312"/>
          <w:color w:val="000000"/>
          <w:sz w:val="44"/>
          <w:szCs w:val="44"/>
        </w:rPr>
      </w:pPr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202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大标宋简体" w:eastAsia="方正大标宋简体" w:cs="仿宋_GB2312"/>
          <w:color w:val="000000"/>
          <w:sz w:val="44"/>
          <w:szCs w:val="44"/>
        </w:rPr>
        <w:t>年项目支出绩效自评指标计分表</w:t>
      </w:r>
    </w:p>
    <w:tbl>
      <w:tblPr>
        <w:tblStyle w:val="7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658"/>
        <w:gridCol w:w="883"/>
        <w:gridCol w:w="894"/>
        <w:gridCol w:w="780"/>
        <w:gridCol w:w="2536"/>
        <w:gridCol w:w="3422"/>
      </w:tblGrid>
      <w:tr w14:paraId="55EB4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tblHeader/>
          <w:jc w:val="center"/>
        </w:trPr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53C53"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一级</w:t>
            </w:r>
          </w:p>
          <w:p w14:paraId="3DF5167E"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D1843"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二级</w:t>
            </w:r>
          </w:p>
          <w:p w14:paraId="0FF5D497"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15A0F"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三级</w:t>
            </w:r>
          </w:p>
          <w:p w14:paraId="3F4EE47E"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26DBE"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自评分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85AB1"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具体指标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CE6F3">
            <w:pPr>
              <w:widowControl/>
              <w:spacing w:line="26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</w:rPr>
              <w:t>评价标准</w:t>
            </w:r>
          </w:p>
        </w:tc>
      </w:tr>
      <w:tr w14:paraId="1DD4A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33" w:hRule="atLeast"/>
          <w:jc w:val="center"/>
        </w:trPr>
        <w:tc>
          <w:tcPr>
            <w:tcW w:w="3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02DFA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 w14:paraId="00F120E7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 w14:paraId="730463EC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</w:t>
            </w:r>
          </w:p>
          <w:p w14:paraId="6910016B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策</w:t>
            </w:r>
          </w:p>
          <w:p w14:paraId="631FDA29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（15分）</w:t>
            </w: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6671D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 w14:paraId="43448C2A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过程</w:t>
            </w:r>
          </w:p>
          <w:p w14:paraId="44FB9A8F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6E89C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 w14:paraId="6E5EDBB2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依据</w:t>
            </w:r>
          </w:p>
          <w:p w14:paraId="194C7754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7FBF2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716AA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6683C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符合法律法规（1分）</w:t>
            </w:r>
          </w:p>
          <w:p w14:paraId="3D96BAC9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符合经济社会发展规划（1分）</w:t>
            </w:r>
          </w:p>
          <w:p w14:paraId="374DB9EF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部门年度工作计划（1分）</w:t>
            </w:r>
          </w:p>
          <w:p w14:paraId="38A05DA2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针对某一实际问题和需求（1分）</w:t>
            </w:r>
          </w:p>
        </w:tc>
      </w:tr>
      <w:tr w14:paraId="1762B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DC611"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48E2A"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3C510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决策</w:t>
            </w:r>
          </w:p>
          <w:p w14:paraId="4709E251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程序</w:t>
            </w:r>
          </w:p>
          <w:p w14:paraId="59A9C864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1C85F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798CD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项目符合申报条件；申报、批复程序符合相关管理办法；项目调整履行了相应手续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7414A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符合申报条件（2分）</w:t>
            </w:r>
          </w:p>
          <w:p w14:paraId="17ACAAA8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项目申报、批复程序符合管理办法（1分）</w:t>
            </w:r>
          </w:p>
          <w:p w14:paraId="236127F0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项目调整履行了相应手续（1分）</w:t>
            </w:r>
          </w:p>
        </w:tc>
      </w:tr>
      <w:tr w14:paraId="358EB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74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064FE"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20BEC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 w14:paraId="61AC6016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 w14:paraId="27296355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（7分）</w:t>
            </w:r>
          </w:p>
          <w:p w14:paraId="69364AB0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46D3A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 w14:paraId="0A066FB7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办法</w:t>
            </w:r>
          </w:p>
          <w:p w14:paraId="6ABB2298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764EF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E3648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86557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有相应的资金管理办法（1分）</w:t>
            </w:r>
          </w:p>
          <w:p w14:paraId="3B156200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办法健全、规范（1分）</w:t>
            </w:r>
          </w:p>
          <w:p w14:paraId="6B7A7C8B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因素全面合理（1分）</w:t>
            </w:r>
          </w:p>
        </w:tc>
      </w:tr>
      <w:tr w14:paraId="1BBC9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59E68"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E3C64"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E206F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</w:t>
            </w:r>
          </w:p>
          <w:p w14:paraId="3ED77044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结果</w:t>
            </w:r>
          </w:p>
          <w:p w14:paraId="303AC6C7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70B3F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B75DC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资金分配符合相关管理办法；分配结果公平合理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FE120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符合分配办法（2分）</w:t>
            </w:r>
          </w:p>
          <w:p w14:paraId="73B02B50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分配公平合理（2分）</w:t>
            </w:r>
          </w:p>
        </w:tc>
      </w:tr>
      <w:tr w14:paraId="51AE6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7BF62A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 w14:paraId="0C262F22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 w14:paraId="0D4E23F1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</w:t>
            </w:r>
          </w:p>
          <w:p w14:paraId="5C172A96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理</w:t>
            </w:r>
          </w:p>
          <w:p w14:paraId="6C892945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（25分） </w:t>
            </w: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D119A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 w14:paraId="2FC6A8A3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</w:t>
            </w:r>
          </w:p>
          <w:p w14:paraId="14FA47ED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572CD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到位率</w:t>
            </w:r>
          </w:p>
          <w:p w14:paraId="5F2C906B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881B9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62E54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实际到位/计划到位*100%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CFC75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根据项目资金的实际到位率计算得分</w:t>
            </w:r>
          </w:p>
        </w:tc>
      </w:tr>
      <w:tr w14:paraId="393C5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009228"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AE4A"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57CA7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</w:t>
            </w:r>
          </w:p>
          <w:p w14:paraId="65ACA0E3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时效</w:t>
            </w:r>
          </w:p>
          <w:p w14:paraId="2B3A4ADD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2C0A7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1AB89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资金及时到位；若未及时到位，是否影响项目进度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D202F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到位及时（2分）</w:t>
            </w:r>
          </w:p>
          <w:p w14:paraId="4D72ACD2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不及时但未影响项目进度（1分）</w:t>
            </w:r>
          </w:p>
          <w:p w14:paraId="11CA0A33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不及时并影响项目进度（0.5分）</w:t>
            </w:r>
          </w:p>
        </w:tc>
      </w:tr>
      <w:tr w14:paraId="6586B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225C94"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E443D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 w14:paraId="0195EE67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 w14:paraId="2A24CB8C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72274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</w:t>
            </w:r>
          </w:p>
          <w:p w14:paraId="2E565A17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使用</w:t>
            </w:r>
          </w:p>
          <w:p w14:paraId="049D11B8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（7分）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7C9C1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45CA8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72AF9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虚列套取扣4-7分 </w:t>
            </w:r>
          </w:p>
          <w:p w14:paraId="12D042E1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依据不合规扣2分</w:t>
            </w:r>
          </w:p>
          <w:p w14:paraId="2B85CDB3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截留、挤占、挪用扣3-6分</w:t>
            </w:r>
          </w:p>
          <w:p w14:paraId="4BD1E60E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超标准开支扣2-5分</w:t>
            </w:r>
          </w:p>
          <w:p w14:paraId="476E12C2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超预算扣2-5分</w:t>
            </w:r>
          </w:p>
        </w:tc>
      </w:tr>
      <w:tr w14:paraId="0F00E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94" w:hRule="atLeast"/>
          <w:jc w:val="center"/>
        </w:trPr>
        <w:tc>
          <w:tcPr>
            <w:tcW w:w="35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A0141"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908D7">
            <w:pPr>
              <w:spacing w:line="300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B692D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财务</w:t>
            </w:r>
          </w:p>
          <w:p w14:paraId="38839996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 w14:paraId="15710B4D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73EE8">
            <w:pPr>
              <w:widowControl/>
              <w:spacing w:line="30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8D0C5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资金管理、费用支出等制度健全；制度执行严格；会计核算规范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C3592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财务制度健全（1分）</w:t>
            </w:r>
          </w:p>
          <w:p w14:paraId="1AB0E395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严格执行制度（1分）</w:t>
            </w:r>
          </w:p>
          <w:p w14:paraId="2AB4CD15">
            <w:pPr>
              <w:widowControl/>
              <w:spacing w:line="300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会计核算规范（1分）</w:t>
            </w:r>
          </w:p>
        </w:tc>
      </w:tr>
      <w:tr w14:paraId="7A867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E85CE8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 w14:paraId="3BD096D9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 w14:paraId="22157B11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</w:t>
            </w:r>
          </w:p>
          <w:p w14:paraId="5AE5C6BE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理</w:t>
            </w:r>
          </w:p>
          <w:p w14:paraId="5D68E2DE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（25分）</w:t>
            </w: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2D6318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组织</w:t>
            </w:r>
          </w:p>
          <w:p w14:paraId="573FC335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实施</w:t>
            </w:r>
          </w:p>
          <w:p w14:paraId="537B4BAE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B4A9E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组织</w:t>
            </w:r>
          </w:p>
          <w:p w14:paraId="1E5865AC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</w:t>
            </w:r>
          </w:p>
          <w:p w14:paraId="66678EBB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49656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36A1F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机构健全、分工明确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B28D9">
            <w:pPr>
              <w:widowControl/>
              <w:spacing w:line="306" w:lineRule="exact"/>
              <w:ind w:left="240" w:hanging="240" w:hangingChars="100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机构健全、分工明确  （2分）</w:t>
            </w:r>
          </w:p>
        </w:tc>
      </w:tr>
      <w:tr w14:paraId="4A5A6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0" w:hRule="atLeast"/>
          <w:jc w:val="center"/>
        </w:trPr>
        <w:tc>
          <w:tcPr>
            <w:tcW w:w="35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AB5254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961B36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BAEAE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 w14:paraId="3C132D58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实施</w:t>
            </w:r>
          </w:p>
          <w:p w14:paraId="73D94C91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58077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E400E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项目按计划开工；按计划进度开展；按计划完工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51786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按计划开工（1分）   </w:t>
            </w:r>
          </w:p>
          <w:p w14:paraId="04371161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 xml:space="preserve">按计划开展（1分）   </w:t>
            </w:r>
          </w:p>
          <w:p w14:paraId="347C84C2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按计划完工（1分）</w:t>
            </w:r>
          </w:p>
        </w:tc>
      </w:tr>
      <w:tr w14:paraId="1DFE4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9C8E5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EAA61D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1DF0F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</w:t>
            </w:r>
          </w:p>
          <w:p w14:paraId="3E422DCC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制度</w:t>
            </w:r>
          </w:p>
          <w:p w14:paraId="74A335B4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60962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E0D89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项目管理制度健全；严格执行相关管理制度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CA523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管理制度健全（2分）</w:t>
            </w:r>
          </w:p>
          <w:p w14:paraId="20BCB771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制度执行严格（3分）</w:t>
            </w:r>
          </w:p>
        </w:tc>
      </w:tr>
      <w:tr w14:paraId="0F0D0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D3DA5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4594A0CE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7ABE492D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40E22DBE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</w:t>
            </w:r>
          </w:p>
          <w:p w14:paraId="63456659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目</w:t>
            </w:r>
          </w:p>
          <w:p w14:paraId="00F29790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  <w:p w14:paraId="3009071D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</w:t>
            </w:r>
          </w:p>
          <w:p w14:paraId="6BC1A9FB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（60分）</w:t>
            </w: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DBC78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2697BA63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48CBB988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 w14:paraId="17E4F7B0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 w14:paraId="011A1F6D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（20分）</w:t>
            </w: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D585A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 w14:paraId="1E7035B4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数量</w:t>
            </w:r>
          </w:p>
          <w:p w14:paraId="49ECC8FB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C66CC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AA7F0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根据该项目实际，标识具体明确的产出数量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37F06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对照绩效目标，按实际产出数量率计算得分（5分）</w:t>
            </w:r>
          </w:p>
        </w:tc>
      </w:tr>
      <w:tr w14:paraId="19037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BFA97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BF8A9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0C091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 w14:paraId="1B074FCD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质量</w:t>
            </w:r>
          </w:p>
          <w:p w14:paraId="1F07A660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53240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A8D7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根据该项目实际，标识具体明确的产出质量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78773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对照绩效目标，按实际产出质量率计算得分（5分）</w:t>
            </w:r>
          </w:p>
        </w:tc>
      </w:tr>
      <w:tr w14:paraId="5ACF1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53F3A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926EC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CE35D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 w14:paraId="73A5C36D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时效</w:t>
            </w:r>
          </w:p>
          <w:p w14:paraId="41108FF8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96016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3620D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根据该项目实际，标识具体明确的产出时效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C71C3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对照绩效目标，按实际产出时效率计算得分（5分）</w:t>
            </w:r>
          </w:p>
        </w:tc>
      </w:tr>
      <w:tr w14:paraId="61BB2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7F75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C95F2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06D14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产出</w:t>
            </w:r>
          </w:p>
          <w:p w14:paraId="23C9EF26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成本</w:t>
            </w:r>
          </w:p>
          <w:p w14:paraId="23F16BCE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45D84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E8C80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根据该项目实际，标识具体明确的产出成本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78B07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对照绩效目标，按实际产出成本率计算得分（5分）</w:t>
            </w:r>
          </w:p>
        </w:tc>
      </w:tr>
      <w:tr w14:paraId="5CA00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0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99452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B3236">
            <w:pPr>
              <w:widowControl/>
              <w:spacing w:line="306" w:lineRule="exac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67C79C0E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</w:t>
            </w:r>
          </w:p>
          <w:p w14:paraId="5A5AFB58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效果</w:t>
            </w:r>
          </w:p>
          <w:p w14:paraId="540DC942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（40分）</w:t>
            </w: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15888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经济</w:t>
            </w:r>
          </w:p>
          <w:p w14:paraId="5B0B2D9A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 w14:paraId="445C96B0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F571F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21594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根据项目实际，标识所产生的直接或间接的经济效益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ECB29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对照绩效目标，按经济效益实现程度计算得分（8分）</w:t>
            </w:r>
          </w:p>
        </w:tc>
      </w:tr>
      <w:tr w14:paraId="7E501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1854B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8F5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9F824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社会</w:t>
            </w:r>
          </w:p>
          <w:p w14:paraId="6B9779DB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 w14:paraId="2BBEC00B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5D653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890CB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根据项目实际，标识所产生的社会效益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D702F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对照绩效目标，按社会效益实现程度计算得分（8分）</w:t>
            </w:r>
          </w:p>
        </w:tc>
      </w:tr>
      <w:tr w14:paraId="2407B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81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9A3CD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CF7C4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C2E26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环境</w:t>
            </w:r>
          </w:p>
          <w:p w14:paraId="4472C888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效益</w:t>
            </w:r>
          </w:p>
          <w:p w14:paraId="6462D9CA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42F69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05F86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根据项目实际，标识对环境所产生的积极或消极影响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0E97C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对照绩效目标，按对环境所产生的实际影响程度计算得分（8分）</w:t>
            </w:r>
          </w:p>
        </w:tc>
      </w:tr>
      <w:tr w14:paraId="744FE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F3593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2C795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AA595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可持续影响</w:t>
            </w:r>
          </w:p>
          <w:p w14:paraId="3D888326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A2EF8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C06CA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项目产出能持续运用；项目运行所依赖的政策制度能持续执行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5A559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项目产出能持续运用（4分）</w:t>
            </w:r>
          </w:p>
          <w:p w14:paraId="3ABA2C18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所依赖的政策制度能持续执行（4分）</w:t>
            </w:r>
          </w:p>
        </w:tc>
      </w:tr>
      <w:tr w14:paraId="1C759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6D0FF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FFF68">
            <w:pPr>
              <w:spacing w:line="306" w:lineRule="exact"/>
              <w:rPr>
                <w:rFonts w:ascii="宋体" w:hAnsi="宋体" w:cs="仿宋_GB2312"/>
                <w:bCs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80A69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服务</w:t>
            </w:r>
          </w:p>
          <w:p w14:paraId="60F83401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对象</w:t>
            </w:r>
          </w:p>
          <w:p w14:paraId="5BD8AB17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满意度</w:t>
            </w:r>
          </w:p>
          <w:p w14:paraId="35835FB6">
            <w:pPr>
              <w:widowControl/>
              <w:spacing w:line="294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95D80">
            <w:pPr>
              <w:widowControl/>
              <w:spacing w:line="306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1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B4B60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项目预期服务对象对项目实施的满意程度</w:t>
            </w:r>
          </w:p>
        </w:tc>
        <w:tc>
          <w:tcPr>
            <w:tcW w:w="1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545F6">
            <w:pPr>
              <w:widowControl/>
              <w:spacing w:line="306" w:lineRule="exact"/>
              <w:jc w:val="left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按收集到的项目服务对象的满意率计算得分（8分）</w:t>
            </w:r>
          </w:p>
        </w:tc>
      </w:tr>
      <w:tr w14:paraId="3C872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2" w:hRule="atLeast"/>
          <w:jc w:val="center"/>
        </w:trPr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DF752">
            <w:pPr>
              <w:widowControl/>
              <w:spacing w:line="26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367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C4D37">
            <w:pPr>
              <w:widowControl/>
              <w:spacing w:line="260" w:lineRule="exact"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90</w:t>
            </w:r>
          </w:p>
        </w:tc>
      </w:tr>
    </w:tbl>
    <w:p w14:paraId="4FCD9A12">
      <w:pPr>
        <w:rPr>
          <w:rFonts w:ascii="黑体" w:hAnsi="黑体" w:eastAsia="黑体" w:cs="方正小标宋简体"/>
          <w:sz w:val="44"/>
          <w:szCs w:val="44"/>
        </w:rPr>
      </w:pPr>
    </w:p>
    <w:p w14:paraId="27EA04F2">
      <w:pPr>
        <w:pStyle w:val="6"/>
        <w:widowControl/>
        <w:spacing w:line="592" w:lineRule="exact"/>
        <w:jc w:val="both"/>
        <w:rPr>
          <w:rFonts w:hint="eastAsia" w:ascii="仿宋_GB2312" w:hAnsi="仿宋" w:eastAsia="仿宋_GB2312" w:cs="仿宋"/>
          <w:kern w:val="2"/>
          <w:sz w:val="32"/>
          <w:szCs w:val="32"/>
        </w:rPr>
      </w:pPr>
    </w:p>
    <w:sectPr>
      <w:footerReference r:id="rId3" w:type="default"/>
      <w:pgSz w:w="11906" w:h="16838"/>
      <w:pgMar w:top="1871" w:right="1531" w:bottom="1928" w:left="1531" w:header="851" w:footer="141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4AD98">
    <w:pPr>
      <w:pStyle w:val="4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1BC65203">
                <w:pPr>
                  <w:pStyle w:val="4"/>
                  <w:ind w:left="210" w:leftChars="100" w:right="210" w:rightChars="100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5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WNkYjdmMWU0NmU0YzFmNDA0NmE0OWUxNDg5YzU3YTMifQ=="/>
  </w:docVars>
  <w:rsids>
    <w:rsidRoot w:val="1F3D259F"/>
    <w:rsid w:val="00014FEF"/>
    <w:rsid w:val="00097324"/>
    <w:rsid w:val="000A1352"/>
    <w:rsid w:val="000D4EB4"/>
    <w:rsid w:val="000E2765"/>
    <w:rsid w:val="0010533A"/>
    <w:rsid w:val="001203B8"/>
    <w:rsid w:val="001475B1"/>
    <w:rsid w:val="00152671"/>
    <w:rsid w:val="00152FE3"/>
    <w:rsid w:val="00153C37"/>
    <w:rsid w:val="00165D1F"/>
    <w:rsid w:val="0016705F"/>
    <w:rsid w:val="001B5A0F"/>
    <w:rsid w:val="001B789D"/>
    <w:rsid w:val="001C34C0"/>
    <w:rsid w:val="001C5F3C"/>
    <w:rsid w:val="001D0816"/>
    <w:rsid w:val="001F2FF1"/>
    <w:rsid w:val="00211234"/>
    <w:rsid w:val="00216FF4"/>
    <w:rsid w:val="00250E5D"/>
    <w:rsid w:val="00280CCE"/>
    <w:rsid w:val="00285E75"/>
    <w:rsid w:val="002A082E"/>
    <w:rsid w:val="002D0E64"/>
    <w:rsid w:val="002D4967"/>
    <w:rsid w:val="002F466A"/>
    <w:rsid w:val="00301877"/>
    <w:rsid w:val="00313BC2"/>
    <w:rsid w:val="00317960"/>
    <w:rsid w:val="00346CD9"/>
    <w:rsid w:val="0035606E"/>
    <w:rsid w:val="003568F5"/>
    <w:rsid w:val="00392831"/>
    <w:rsid w:val="003E40FA"/>
    <w:rsid w:val="003F1A1D"/>
    <w:rsid w:val="003F5FF2"/>
    <w:rsid w:val="0040525A"/>
    <w:rsid w:val="004170F7"/>
    <w:rsid w:val="00420EB3"/>
    <w:rsid w:val="004523C7"/>
    <w:rsid w:val="00461B48"/>
    <w:rsid w:val="004631D0"/>
    <w:rsid w:val="004712F8"/>
    <w:rsid w:val="00483F58"/>
    <w:rsid w:val="00491A88"/>
    <w:rsid w:val="004C3BBF"/>
    <w:rsid w:val="004D132C"/>
    <w:rsid w:val="004D1818"/>
    <w:rsid w:val="004F30CB"/>
    <w:rsid w:val="005076DA"/>
    <w:rsid w:val="005141C2"/>
    <w:rsid w:val="00565E36"/>
    <w:rsid w:val="005754BB"/>
    <w:rsid w:val="005879A7"/>
    <w:rsid w:val="005A54F8"/>
    <w:rsid w:val="005A6B46"/>
    <w:rsid w:val="005B3E53"/>
    <w:rsid w:val="005D6A5C"/>
    <w:rsid w:val="005E1D10"/>
    <w:rsid w:val="005E2DF0"/>
    <w:rsid w:val="00610739"/>
    <w:rsid w:val="006254D4"/>
    <w:rsid w:val="0068099E"/>
    <w:rsid w:val="006867C8"/>
    <w:rsid w:val="00696808"/>
    <w:rsid w:val="006B637D"/>
    <w:rsid w:val="006D1CED"/>
    <w:rsid w:val="006F4D39"/>
    <w:rsid w:val="0073537C"/>
    <w:rsid w:val="007A181B"/>
    <w:rsid w:val="007A1D1D"/>
    <w:rsid w:val="007B2B68"/>
    <w:rsid w:val="007D70ED"/>
    <w:rsid w:val="007E5CBF"/>
    <w:rsid w:val="00843EDC"/>
    <w:rsid w:val="008470B3"/>
    <w:rsid w:val="0087116E"/>
    <w:rsid w:val="00883317"/>
    <w:rsid w:val="008867E9"/>
    <w:rsid w:val="008A00C8"/>
    <w:rsid w:val="008B54A7"/>
    <w:rsid w:val="008E3410"/>
    <w:rsid w:val="008F4215"/>
    <w:rsid w:val="00927B14"/>
    <w:rsid w:val="0094118E"/>
    <w:rsid w:val="0097080F"/>
    <w:rsid w:val="00981FA8"/>
    <w:rsid w:val="009F0C87"/>
    <w:rsid w:val="009F274F"/>
    <w:rsid w:val="00A147DB"/>
    <w:rsid w:val="00A3009B"/>
    <w:rsid w:val="00A317B9"/>
    <w:rsid w:val="00A40080"/>
    <w:rsid w:val="00A44A4E"/>
    <w:rsid w:val="00A47067"/>
    <w:rsid w:val="00A555E0"/>
    <w:rsid w:val="00A55BE9"/>
    <w:rsid w:val="00A84913"/>
    <w:rsid w:val="00A87F74"/>
    <w:rsid w:val="00AA15D0"/>
    <w:rsid w:val="00AA54AA"/>
    <w:rsid w:val="00AF440A"/>
    <w:rsid w:val="00B5276A"/>
    <w:rsid w:val="00B54962"/>
    <w:rsid w:val="00BB34C1"/>
    <w:rsid w:val="00BE6CBD"/>
    <w:rsid w:val="00BF7A58"/>
    <w:rsid w:val="00C20779"/>
    <w:rsid w:val="00C22F26"/>
    <w:rsid w:val="00C330F7"/>
    <w:rsid w:val="00C33FD4"/>
    <w:rsid w:val="00C411EC"/>
    <w:rsid w:val="00C43D7C"/>
    <w:rsid w:val="00C459C0"/>
    <w:rsid w:val="00C92B3E"/>
    <w:rsid w:val="00CA5823"/>
    <w:rsid w:val="00CA5C82"/>
    <w:rsid w:val="00CE66B4"/>
    <w:rsid w:val="00D014CA"/>
    <w:rsid w:val="00D029A8"/>
    <w:rsid w:val="00D3019C"/>
    <w:rsid w:val="00D469FD"/>
    <w:rsid w:val="00D603A1"/>
    <w:rsid w:val="00D657D6"/>
    <w:rsid w:val="00D8422B"/>
    <w:rsid w:val="00D851A3"/>
    <w:rsid w:val="00D977AB"/>
    <w:rsid w:val="00DA31E1"/>
    <w:rsid w:val="00DB1A19"/>
    <w:rsid w:val="00DD6F50"/>
    <w:rsid w:val="00DE327D"/>
    <w:rsid w:val="00DF2BFF"/>
    <w:rsid w:val="00DF678A"/>
    <w:rsid w:val="00E05977"/>
    <w:rsid w:val="00E12A92"/>
    <w:rsid w:val="00E35776"/>
    <w:rsid w:val="00E37243"/>
    <w:rsid w:val="00E423D5"/>
    <w:rsid w:val="00E855ED"/>
    <w:rsid w:val="00EA2725"/>
    <w:rsid w:val="00EA3127"/>
    <w:rsid w:val="00EE41A1"/>
    <w:rsid w:val="00EF5F9A"/>
    <w:rsid w:val="00F21284"/>
    <w:rsid w:val="00F35A98"/>
    <w:rsid w:val="00F8340C"/>
    <w:rsid w:val="00FA2388"/>
    <w:rsid w:val="00FB3373"/>
    <w:rsid w:val="00FC2D5C"/>
    <w:rsid w:val="00FC684B"/>
    <w:rsid w:val="00FD6DEF"/>
    <w:rsid w:val="01AC5842"/>
    <w:rsid w:val="02563DA5"/>
    <w:rsid w:val="02801253"/>
    <w:rsid w:val="02CD1F13"/>
    <w:rsid w:val="02D95AEB"/>
    <w:rsid w:val="0322475B"/>
    <w:rsid w:val="033C0E47"/>
    <w:rsid w:val="035E0DBD"/>
    <w:rsid w:val="03EC1859"/>
    <w:rsid w:val="03FD4132"/>
    <w:rsid w:val="04366AF4"/>
    <w:rsid w:val="048B7990"/>
    <w:rsid w:val="04E84041"/>
    <w:rsid w:val="04F70794"/>
    <w:rsid w:val="05057A56"/>
    <w:rsid w:val="054C2A64"/>
    <w:rsid w:val="058C7E64"/>
    <w:rsid w:val="058D74E7"/>
    <w:rsid w:val="05964A65"/>
    <w:rsid w:val="07011CBB"/>
    <w:rsid w:val="07B23486"/>
    <w:rsid w:val="07C05BA3"/>
    <w:rsid w:val="07F817E1"/>
    <w:rsid w:val="082779D0"/>
    <w:rsid w:val="087F780C"/>
    <w:rsid w:val="092403B3"/>
    <w:rsid w:val="095D5673"/>
    <w:rsid w:val="098E5B9C"/>
    <w:rsid w:val="09B039F5"/>
    <w:rsid w:val="09B434E5"/>
    <w:rsid w:val="0A1C5397"/>
    <w:rsid w:val="0A312D88"/>
    <w:rsid w:val="0A362EF5"/>
    <w:rsid w:val="0A781198"/>
    <w:rsid w:val="0A93759F"/>
    <w:rsid w:val="0AAC68B2"/>
    <w:rsid w:val="0AF67B2D"/>
    <w:rsid w:val="0B1E3309"/>
    <w:rsid w:val="0B4E7969"/>
    <w:rsid w:val="0B542FDE"/>
    <w:rsid w:val="0B7373D0"/>
    <w:rsid w:val="0BBF43C3"/>
    <w:rsid w:val="0BE34556"/>
    <w:rsid w:val="0C085D6A"/>
    <w:rsid w:val="0C5B6F9C"/>
    <w:rsid w:val="0C6311F3"/>
    <w:rsid w:val="0C71390F"/>
    <w:rsid w:val="0C9C75E1"/>
    <w:rsid w:val="0E3A534D"/>
    <w:rsid w:val="0EAC6E81"/>
    <w:rsid w:val="0F081A37"/>
    <w:rsid w:val="0F117D24"/>
    <w:rsid w:val="0F2A5FF8"/>
    <w:rsid w:val="0F4C41C0"/>
    <w:rsid w:val="0F7F00F1"/>
    <w:rsid w:val="0FA318B0"/>
    <w:rsid w:val="0FD61CDB"/>
    <w:rsid w:val="10294318"/>
    <w:rsid w:val="103E1D5B"/>
    <w:rsid w:val="10510716"/>
    <w:rsid w:val="110134D1"/>
    <w:rsid w:val="11335637"/>
    <w:rsid w:val="11457119"/>
    <w:rsid w:val="114F7F97"/>
    <w:rsid w:val="116E041E"/>
    <w:rsid w:val="117621CC"/>
    <w:rsid w:val="11845E93"/>
    <w:rsid w:val="11A60E3B"/>
    <w:rsid w:val="1266706A"/>
    <w:rsid w:val="128B4DFC"/>
    <w:rsid w:val="12AB56A1"/>
    <w:rsid w:val="12EB0137"/>
    <w:rsid w:val="13CC5D99"/>
    <w:rsid w:val="13DD188A"/>
    <w:rsid w:val="14486842"/>
    <w:rsid w:val="14551D69"/>
    <w:rsid w:val="147F2942"/>
    <w:rsid w:val="14AF31D2"/>
    <w:rsid w:val="14CA0061"/>
    <w:rsid w:val="150712B5"/>
    <w:rsid w:val="152D77B0"/>
    <w:rsid w:val="15A5462A"/>
    <w:rsid w:val="15B35F47"/>
    <w:rsid w:val="15B841BB"/>
    <w:rsid w:val="15BF56EC"/>
    <w:rsid w:val="168E59D7"/>
    <w:rsid w:val="16A91EF8"/>
    <w:rsid w:val="16AD3796"/>
    <w:rsid w:val="16D0664B"/>
    <w:rsid w:val="16FD21CB"/>
    <w:rsid w:val="17016C1E"/>
    <w:rsid w:val="173D6B6A"/>
    <w:rsid w:val="17575DF8"/>
    <w:rsid w:val="175B1444"/>
    <w:rsid w:val="17AA23CB"/>
    <w:rsid w:val="17C84600"/>
    <w:rsid w:val="17D905BB"/>
    <w:rsid w:val="1833416F"/>
    <w:rsid w:val="183F48C2"/>
    <w:rsid w:val="188D6BE7"/>
    <w:rsid w:val="19204742"/>
    <w:rsid w:val="196A5795"/>
    <w:rsid w:val="19766A09"/>
    <w:rsid w:val="1A0334EA"/>
    <w:rsid w:val="1AAD7804"/>
    <w:rsid w:val="1ADD121D"/>
    <w:rsid w:val="1C215A59"/>
    <w:rsid w:val="1C9E3D80"/>
    <w:rsid w:val="1D5E3A3C"/>
    <w:rsid w:val="1D871350"/>
    <w:rsid w:val="1DB95116"/>
    <w:rsid w:val="1E641526"/>
    <w:rsid w:val="1E937715"/>
    <w:rsid w:val="1E9A6CF6"/>
    <w:rsid w:val="1EE515E8"/>
    <w:rsid w:val="1EF81C6E"/>
    <w:rsid w:val="1EFB52BB"/>
    <w:rsid w:val="1F240CB5"/>
    <w:rsid w:val="1F3031B6"/>
    <w:rsid w:val="1F3D259F"/>
    <w:rsid w:val="1F4E44EE"/>
    <w:rsid w:val="1FEA3D08"/>
    <w:rsid w:val="201A76E9"/>
    <w:rsid w:val="201E74B3"/>
    <w:rsid w:val="20277BF5"/>
    <w:rsid w:val="20C86C83"/>
    <w:rsid w:val="213B5E42"/>
    <w:rsid w:val="21D7200F"/>
    <w:rsid w:val="21F229A5"/>
    <w:rsid w:val="21F726B1"/>
    <w:rsid w:val="2225345A"/>
    <w:rsid w:val="226D0C64"/>
    <w:rsid w:val="226E521D"/>
    <w:rsid w:val="22DC645B"/>
    <w:rsid w:val="231C67DE"/>
    <w:rsid w:val="234A004E"/>
    <w:rsid w:val="23582CDC"/>
    <w:rsid w:val="23D2079E"/>
    <w:rsid w:val="23ED304B"/>
    <w:rsid w:val="24032071"/>
    <w:rsid w:val="24135D3A"/>
    <w:rsid w:val="246C2EE2"/>
    <w:rsid w:val="247164C1"/>
    <w:rsid w:val="24A81A41"/>
    <w:rsid w:val="24B94DEE"/>
    <w:rsid w:val="24DD1775"/>
    <w:rsid w:val="259326F1"/>
    <w:rsid w:val="25D40A00"/>
    <w:rsid w:val="25D80104"/>
    <w:rsid w:val="25DA68FE"/>
    <w:rsid w:val="25F0369F"/>
    <w:rsid w:val="261F645E"/>
    <w:rsid w:val="265A5438"/>
    <w:rsid w:val="26906C30"/>
    <w:rsid w:val="26F35BCF"/>
    <w:rsid w:val="2729330D"/>
    <w:rsid w:val="275D49B7"/>
    <w:rsid w:val="280F0CD3"/>
    <w:rsid w:val="28461C9C"/>
    <w:rsid w:val="287B7B98"/>
    <w:rsid w:val="29323FCF"/>
    <w:rsid w:val="295B42F7"/>
    <w:rsid w:val="29C736D6"/>
    <w:rsid w:val="2A005E7B"/>
    <w:rsid w:val="2A0C4820"/>
    <w:rsid w:val="2A3F69A3"/>
    <w:rsid w:val="2A790107"/>
    <w:rsid w:val="2AD37872"/>
    <w:rsid w:val="2AEB3182"/>
    <w:rsid w:val="2B6D7278"/>
    <w:rsid w:val="2B7C0842"/>
    <w:rsid w:val="2B8A087C"/>
    <w:rsid w:val="2BCC070B"/>
    <w:rsid w:val="2BDD46C6"/>
    <w:rsid w:val="2BF81500"/>
    <w:rsid w:val="2C122BA8"/>
    <w:rsid w:val="2C2372FA"/>
    <w:rsid w:val="2C9A39C7"/>
    <w:rsid w:val="2C9A6113"/>
    <w:rsid w:val="2CDD4252"/>
    <w:rsid w:val="2CF411DB"/>
    <w:rsid w:val="2D0A4139"/>
    <w:rsid w:val="2D281971"/>
    <w:rsid w:val="2D557A16"/>
    <w:rsid w:val="2D564730"/>
    <w:rsid w:val="2DDE647C"/>
    <w:rsid w:val="2DFE5BF4"/>
    <w:rsid w:val="2E5F5866"/>
    <w:rsid w:val="2E6E3F9E"/>
    <w:rsid w:val="2EE762D2"/>
    <w:rsid w:val="2EF06C16"/>
    <w:rsid w:val="2F3A3BDD"/>
    <w:rsid w:val="2F594063"/>
    <w:rsid w:val="2FAD373B"/>
    <w:rsid w:val="303D1BD7"/>
    <w:rsid w:val="30673CC0"/>
    <w:rsid w:val="309E71DE"/>
    <w:rsid w:val="3137656E"/>
    <w:rsid w:val="313C794F"/>
    <w:rsid w:val="314F5F8F"/>
    <w:rsid w:val="3196159F"/>
    <w:rsid w:val="320D7387"/>
    <w:rsid w:val="320E0B97"/>
    <w:rsid w:val="32987598"/>
    <w:rsid w:val="33150BE9"/>
    <w:rsid w:val="338D4C23"/>
    <w:rsid w:val="33DC1905"/>
    <w:rsid w:val="340623D2"/>
    <w:rsid w:val="34210CBB"/>
    <w:rsid w:val="344A6670"/>
    <w:rsid w:val="34A55F9D"/>
    <w:rsid w:val="35352FE9"/>
    <w:rsid w:val="355C48AD"/>
    <w:rsid w:val="357065AB"/>
    <w:rsid w:val="35904557"/>
    <w:rsid w:val="35AF5C6F"/>
    <w:rsid w:val="35D42696"/>
    <w:rsid w:val="35D73F34"/>
    <w:rsid w:val="36A209E6"/>
    <w:rsid w:val="373334C3"/>
    <w:rsid w:val="37A140C3"/>
    <w:rsid w:val="37A367C3"/>
    <w:rsid w:val="38335038"/>
    <w:rsid w:val="38437F4D"/>
    <w:rsid w:val="38D8249D"/>
    <w:rsid w:val="39584E34"/>
    <w:rsid w:val="39910F9D"/>
    <w:rsid w:val="39E430C3"/>
    <w:rsid w:val="3A2F2590"/>
    <w:rsid w:val="3AED3D86"/>
    <w:rsid w:val="3B0C0B24"/>
    <w:rsid w:val="3B563B4D"/>
    <w:rsid w:val="3B6444BC"/>
    <w:rsid w:val="3B691AD2"/>
    <w:rsid w:val="3BB648F7"/>
    <w:rsid w:val="3BDD10BD"/>
    <w:rsid w:val="3BEE1FD7"/>
    <w:rsid w:val="3C4732C1"/>
    <w:rsid w:val="3C5F25AF"/>
    <w:rsid w:val="3C862210"/>
    <w:rsid w:val="3C954D55"/>
    <w:rsid w:val="3CA628B2"/>
    <w:rsid w:val="3CB21ABD"/>
    <w:rsid w:val="3D3D6D72"/>
    <w:rsid w:val="3D3E2AEA"/>
    <w:rsid w:val="3D934BE4"/>
    <w:rsid w:val="3DAE43BE"/>
    <w:rsid w:val="3DE65ADD"/>
    <w:rsid w:val="3DF31B27"/>
    <w:rsid w:val="3E0755D2"/>
    <w:rsid w:val="3E2777EB"/>
    <w:rsid w:val="3ECA495B"/>
    <w:rsid w:val="3F595C80"/>
    <w:rsid w:val="408931B2"/>
    <w:rsid w:val="40BF3F42"/>
    <w:rsid w:val="40F97454"/>
    <w:rsid w:val="41061A2B"/>
    <w:rsid w:val="412C5A7C"/>
    <w:rsid w:val="413D1A37"/>
    <w:rsid w:val="41797F71"/>
    <w:rsid w:val="41EB5D1A"/>
    <w:rsid w:val="422F6EA6"/>
    <w:rsid w:val="42554B5E"/>
    <w:rsid w:val="426C473B"/>
    <w:rsid w:val="42C13FA2"/>
    <w:rsid w:val="431F0271"/>
    <w:rsid w:val="43243B9B"/>
    <w:rsid w:val="439C0C1F"/>
    <w:rsid w:val="44240E0B"/>
    <w:rsid w:val="444924A1"/>
    <w:rsid w:val="44BC2C73"/>
    <w:rsid w:val="44C32B9A"/>
    <w:rsid w:val="45A675B3"/>
    <w:rsid w:val="460D74FE"/>
    <w:rsid w:val="4692640C"/>
    <w:rsid w:val="47CF789C"/>
    <w:rsid w:val="481D6F6E"/>
    <w:rsid w:val="483B292C"/>
    <w:rsid w:val="48455675"/>
    <w:rsid w:val="48621D83"/>
    <w:rsid w:val="48B32B2A"/>
    <w:rsid w:val="48C540C0"/>
    <w:rsid w:val="48D367DD"/>
    <w:rsid w:val="48E704DA"/>
    <w:rsid w:val="495A5E2F"/>
    <w:rsid w:val="49ED38CE"/>
    <w:rsid w:val="4A513E5D"/>
    <w:rsid w:val="4AA77605"/>
    <w:rsid w:val="4AEE015B"/>
    <w:rsid w:val="4B1A06F3"/>
    <w:rsid w:val="4B2F1727"/>
    <w:rsid w:val="4B4B1487"/>
    <w:rsid w:val="4B863FDA"/>
    <w:rsid w:val="4B96679C"/>
    <w:rsid w:val="4BC3391C"/>
    <w:rsid w:val="4C013EE5"/>
    <w:rsid w:val="4CBE3209"/>
    <w:rsid w:val="4D1D271C"/>
    <w:rsid w:val="4DE82D2A"/>
    <w:rsid w:val="4DED6593"/>
    <w:rsid w:val="4E0B4C6B"/>
    <w:rsid w:val="4E395C2A"/>
    <w:rsid w:val="4E3C6544"/>
    <w:rsid w:val="4E6B160F"/>
    <w:rsid w:val="4E710F72"/>
    <w:rsid w:val="4E8F13F8"/>
    <w:rsid w:val="4ED52C3E"/>
    <w:rsid w:val="4F221F2D"/>
    <w:rsid w:val="4F493C9D"/>
    <w:rsid w:val="4F56098E"/>
    <w:rsid w:val="4FA90297"/>
    <w:rsid w:val="502344EE"/>
    <w:rsid w:val="50850D04"/>
    <w:rsid w:val="50A373DC"/>
    <w:rsid w:val="50D224FE"/>
    <w:rsid w:val="50D61560"/>
    <w:rsid w:val="51271DBC"/>
    <w:rsid w:val="51312C3A"/>
    <w:rsid w:val="51330760"/>
    <w:rsid w:val="51AA48E4"/>
    <w:rsid w:val="51AD7AEB"/>
    <w:rsid w:val="51B6159E"/>
    <w:rsid w:val="51D6733E"/>
    <w:rsid w:val="51DD6BC9"/>
    <w:rsid w:val="51FD3802"/>
    <w:rsid w:val="52794D53"/>
    <w:rsid w:val="528D3EA0"/>
    <w:rsid w:val="52B633F7"/>
    <w:rsid w:val="52CA07B0"/>
    <w:rsid w:val="52F77EAA"/>
    <w:rsid w:val="53B360BE"/>
    <w:rsid w:val="54464F27"/>
    <w:rsid w:val="5455279C"/>
    <w:rsid w:val="554B7041"/>
    <w:rsid w:val="55647666"/>
    <w:rsid w:val="55C302C1"/>
    <w:rsid w:val="562763BA"/>
    <w:rsid w:val="56334D5F"/>
    <w:rsid w:val="56AD4B11"/>
    <w:rsid w:val="56B22127"/>
    <w:rsid w:val="56BE6D4B"/>
    <w:rsid w:val="56DE116E"/>
    <w:rsid w:val="56DF14D7"/>
    <w:rsid w:val="56E30533"/>
    <w:rsid w:val="56FF0AB4"/>
    <w:rsid w:val="575C2093"/>
    <w:rsid w:val="57770C7B"/>
    <w:rsid w:val="58090325"/>
    <w:rsid w:val="58896EB8"/>
    <w:rsid w:val="58C44394"/>
    <w:rsid w:val="59034EBC"/>
    <w:rsid w:val="591E7F23"/>
    <w:rsid w:val="592B61C1"/>
    <w:rsid w:val="5984305C"/>
    <w:rsid w:val="59E00D5A"/>
    <w:rsid w:val="5A355549"/>
    <w:rsid w:val="5A8913F1"/>
    <w:rsid w:val="5AB521E6"/>
    <w:rsid w:val="5B140A9E"/>
    <w:rsid w:val="5B9462A0"/>
    <w:rsid w:val="5BA44AF9"/>
    <w:rsid w:val="5C7560D1"/>
    <w:rsid w:val="5CA22C3E"/>
    <w:rsid w:val="5CDD5A24"/>
    <w:rsid w:val="5D932F5E"/>
    <w:rsid w:val="5E0758E6"/>
    <w:rsid w:val="5E09741F"/>
    <w:rsid w:val="5E1E66DC"/>
    <w:rsid w:val="5E941B3F"/>
    <w:rsid w:val="5F542FC1"/>
    <w:rsid w:val="5FEA2B00"/>
    <w:rsid w:val="608D2FCC"/>
    <w:rsid w:val="610417D1"/>
    <w:rsid w:val="613B7C62"/>
    <w:rsid w:val="61EA5313"/>
    <w:rsid w:val="61FA03A2"/>
    <w:rsid w:val="62525E67"/>
    <w:rsid w:val="6296550B"/>
    <w:rsid w:val="62F51D1A"/>
    <w:rsid w:val="63585E05"/>
    <w:rsid w:val="63A23524"/>
    <w:rsid w:val="64013DB6"/>
    <w:rsid w:val="647E189B"/>
    <w:rsid w:val="648A0240"/>
    <w:rsid w:val="650D2C1F"/>
    <w:rsid w:val="6538756A"/>
    <w:rsid w:val="65B04DEC"/>
    <w:rsid w:val="65E46075"/>
    <w:rsid w:val="65FC7F22"/>
    <w:rsid w:val="663914F1"/>
    <w:rsid w:val="66FF1BA8"/>
    <w:rsid w:val="672F50CE"/>
    <w:rsid w:val="688431F8"/>
    <w:rsid w:val="68965CC1"/>
    <w:rsid w:val="68DF7B10"/>
    <w:rsid w:val="68F30B57"/>
    <w:rsid w:val="68FE744E"/>
    <w:rsid w:val="69540E1C"/>
    <w:rsid w:val="697B1C0E"/>
    <w:rsid w:val="69C53868"/>
    <w:rsid w:val="6ABA7087"/>
    <w:rsid w:val="6AEC2279"/>
    <w:rsid w:val="6B5C10A1"/>
    <w:rsid w:val="6B78186F"/>
    <w:rsid w:val="6B8D38E9"/>
    <w:rsid w:val="6BCA5761"/>
    <w:rsid w:val="6BD665D1"/>
    <w:rsid w:val="6BF1329A"/>
    <w:rsid w:val="6BF80185"/>
    <w:rsid w:val="6D090170"/>
    <w:rsid w:val="6D125276"/>
    <w:rsid w:val="6DCF760B"/>
    <w:rsid w:val="6DDB3229"/>
    <w:rsid w:val="6DF561C9"/>
    <w:rsid w:val="6E505B5A"/>
    <w:rsid w:val="6F110FC3"/>
    <w:rsid w:val="6F440257"/>
    <w:rsid w:val="6F7A2919"/>
    <w:rsid w:val="6FA568F3"/>
    <w:rsid w:val="6FE61F3E"/>
    <w:rsid w:val="70772393"/>
    <w:rsid w:val="70B52AE8"/>
    <w:rsid w:val="71124D16"/>
    <w:rsid w:val="71467BE4"/>
    <w:rsid w:val="72C25048"/>
    <w:rsid w:val="72C45A1E"/>
    <w:rsid w:val="7370719A"/>
    <w:rsid w:val="73D10333"/>
    <w:rsid w:val="74257F85"/>
    <w:rsid w:val="75183646"/>
    <w:rsid w:val="75267B11"/>
    <w:rsid w:val="752E7228"/>
    <w:rsid w:val="75497CA3"/>
    <w:rsid w:val="75CD2682"/>
    <w:rsid w:val="763F0BBE"/>
    <w:rsid w:val="76555CB0"/>
    <w:rsid w:val="76872831"/>
    <w:rsid w:val="76B850E0"/>
    <w:rsid w:val="774958ED"/>
    <w:rsid w:val="776B1CAD"/>
    <w:rsid w:val="77AC1258"/>
    <w:rsid w:val="78194573"/>
    <w:rsid w:val="784B788E"/>
    <w:rsid w:val="78A0407E"/>
    <w:rsid w:val="78D6184E"/>
    <w:rsid w:val="78EE4DE9"/>
    <w:rsid w:val="792627D5"/>
    <w:rsid w:val="797A0290"/>
    <w:rsid w:val="7A1E61C9"/>
    <w:rsid w:val="7A2B7A09"/>
    <w:rsid w:val="7A3A3172"/>
    <w:rsid w:val="7A3C7801"/>
    <w:rsid w:val="7A8645D1"/>
    <w:rsid w:val="7AB636E5"/>
    <w:rsid w:val="7BAE6AB2"/>
    <w:rsid w:val="7BDF310F"/>
    <w:rsid w:val="7C122B9D"/>
    <w:rsid w:val="7CB03569"/>
    <w:rsid w:val="7CB43C54"/>
    <w:rsid w:val="7CFE2601"/>
    <w:rsid w:val="7D342FE7"/>
    <w:rsid w:val="7D465C39"/>
    <w:rsid w:val="7D6E3220"/>
    <w:rsid w:val="7D7B0C16"/>
    <w:rsid w:val="7DBF34A2"/>
    <w:rsid w:val="7F5B6882"/>
    <w:rsid w:val="7F825A29"/>
    <w:rsid w:val="BAEF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qFormat/>
    <w:uiPriority w:val="0"/>
    <w:pPr>
      <w:spacing w:line="580" w:lineRule="exact"/>
      <w:ind w:left="350" w:hanging="350" w:hangingChars="350"/>
    </w:pPr>
    <w:rPr>
      <w:rFonts w:ascii="仿宋_GB2312" w:hAnsi="Calibri" w:cs="Arial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99"/>
    <w:pPr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333333"/>
      <w:u w:val="none"/>
    </w:rPr>
  </w:style>
  <w:style w:type="character" w:styleId="12">
    <w:name w:val="Emphasis"/>
    <w:basedOn w:val="9"/>
    <w:qFormat/>
    <w:uiPriority w:val="0"/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paragraph" w:customStyle="1" w:styleId="14">
    <w:name w:val="新正文"/>
    <w:basedOn w:val="1"/>
    <w:qFormat/>
    <w:uiPriority w:val="0"/>
    <w:pPr>
      <w:spacing w:line="610" w:lineRule="exact"/>
      <w:ind w:firstLine="880" w:firstLineChars="200"/>
    </w:pPr>
    <w:rPr>
      <w:rFonts w:eastAsia="仿宋_GB2312"/>
      <w:sz w:val="32"/>
    </w:rPr>
  </w:style>
  <w:style w:type="character" w:customStyle="1" w:styleId="15">
    <w:name w:val="Character Style 1"/>
    <w:qFormat/>
    <w:uiPriority w:val="0"/>
    <w:rPr>
      <w:sz w:val="20"/>
      <w:szCs w:val="20"/>
    </w:rPr>
  </w:style>
  <w:style w:type="character" w:customStyle="1" w:styleId="16">
    <w:name w:val="bsharetext"/>
    <w:basedOn w:val="9"/>
    <w:qFormat/>
    <w:uiPriority w:val="0"/>
  </w:style>
  <w:style w:type="character" w:customStyle="1" w:styleId="17">
    <w:name w:val="before"/>
    <w:basedOn w:val="9"/>
    <w:qFormat/>
    <w:uiPriority w:val="0"/>
    <w:rPr>
      <w:shd w:val="clear" w:color="auto" w:fill="0281DF"/>
    </w:rPr>
  </w:style>
  <w:style w:type="character" w:customStyle="1" w:styleId="18">
    <w:name w:val="wx-space"/>
    <w:basedOn w:val="9"/>
    <w:qFormat/>
    <w:uiPriority w:val="0"/>
  </w:style>
  <w:style w:type="character" w:customStyle="1" w:styleId="19">
    <w:name w:val="wx-space1"/>
    <w:basedOn w:val="9"/>
    <w:qFormat/>
    <w:uiPriority w:val="0"/>
  </w:style>
  <w:style w:type="character" w:customStyle="1" w:styleId="20">
    <w:name w:val="tgspan"/>
    <w:basedOn w:val="9"/>
    <w:qFormat/>
    <w:uiPriority w:val="0"/>
  </w:style>
  <w:style w:type="character" w:customStyle="1" w:styleId="21">
    <w:name w:val="yzm"/>
    <w:basedOn w:val="9"/>
    <w:qFormat/>
    <w:uiPriority w:val="0"/>
  </w:style>
  <w:style w:type="character" w:customStyle="1" w:styleId="22">
    <w:name w:val="hover7"/>
    <w:basedOn w:val="9"/>
    <w:qFormat/>
    <w:uiPriority w:val="0"/>
    <w:rPr>
      <w:color w:val="000000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1643</Words>
  <Characters>1732</Characters>
  <Lines>22</Lines>
  <Paragraphs>6</Paragraphs>
  <TotalTime>0</TotalTime>
  <ScaleCrop>false</ScaleCrop>
  <LinksUpToDate>false</LinksUpToDate>
  <CharactersWithSpaces>1777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2021-09-29T17:47:00Z</dcterms:created>
  <dc:creator>abby</dc:creator>
  <cp:lastModifiedBy>张少华</cp:lastModifiedBy>
  <cp:lastPrinted>2021-11-19T10:23:00Z</cp:lastPrinted>
  <dcterms:modified xsi:type="dcterms:W3CDTF">2025-08-01T08:58:14Z</dcterms:modified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066596DB74EF4223B44C2A4938724AB8</vt:lpwstr>
  </property>
  <property fmtid="{D5CDD505-2E9C-101B-9397-08002B2CF9AE}" pid="4" name="KSOTemplateDocerSaveRecord">
    <vt:lpwstr>eyJoZGlkIjoiNWI1NzA2OGVhOTdmZDJhNGMxZWI5NzRhMjZhZWViNjEiLCJ1c2VySWQiOiI0MDIzNzA3MjMifQ==</vt:lpwstr>
  </property>
</Properties>
</file>