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4B02">
      <w:pPr>
        <w:pStyle w:val="20"/>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B2DD90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B2DD90B">
                      <w:pPr>
                        <w:rPr>
                          <w:rFonts w:hint="eastAsia" w:ascii="楷体" w:hAnsi="楷体" w:eastAsia="楷体" w:cs="楷体"/>
                          <w:sz w:val="30"/>
                          <w:szCs w:val="30"/>
                          <w:lang w:val="en-US" w:eastAsia="zh-CN"/>
                        </w:rPr>
                      </w:pPr>
                    </w:p>
                  </w:txbxContent>
                </v:textbox>
              </v:shape>
            </w:pict>
          </mc:Fallback>
        </mc:AlternateContent>
      </w:r>
    </w:p>
    <w:p w14:paraId="270B5B3A">
      <w:pPr>
        <w:pStyle w:val="20"/>
        <w:jc w:val="center"/>
        <w:rPr>
          <w:sz w:val="56"/>
          <w:szCs w:val="56"/>
        </w:rPr>
      </w:pPr>
    </w:p>
    <w:p w14:paraId="4678DE45">
      <w:pPr>
        <w:pStyle w:val="20"/>
        <w:jc w:val="center"/>
        <w:rPr>
          <w:sz w:val="84"/>
          <w:szCs w:val="84"/>
        </w:rPr>
      </w:pPr>
    </w:p>
    <w:p w14:paraId="58FC7831">
      <w:pPr>
        <w:pStyle w:val="20"/>
        <w:jc w:val="center"/>
        <w:rPr>
          <w:sz w:val="84"/>
          <w:szCs w:val="84"/>
        </w:rPr>
      </w:pPr>
    </w:p>
    <w:p w14:paraId="01A75A9F">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3892088">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区应急管理局</w:t>
      </w:r>
      <w:r>
        <w:rPr>
          <w:rFonts w:hint="eastAsia" w:ascii="方正小标宋_GBK" w:hAnsi="方正小标宋_GBK" w:eastAsia="方正小标宋_GBK" w:cs="方正小标宋_GBK"/>
          <w:sz w:val="84"/>
          <w:szCs w:val="84"/>
        </w:rPr>
        <w:t>部门决算</w:t>
      </w:r>
    </w:p>
    <w:p w14:paraId="1297DCC0">
      <w:pPr>
        <w:pStyle w:val="20"/>
        <w:jc w:val="center"/>
        <w:rPr>
          <w:rFonts w:hint="eastAsia" w:ascii="方正小标宋_GBK" w:hAnsi="方正小标宋_GBK" w:eastAsia="方正小标宋_GBK" w:cs="方正小标宋_GBK"/>
          <w:sz w:val="56"/>
          <w:szCs w:val="56"/>
        </w:rPr>
      </w:pPr>
    </w:p>
    <w:p w14:paraId="5DA59D14">
      <w:pPr>
        <w:pStyle w:val="20"/>
        <w:jc w:val="center"/>
        <w:rPr>
          <w:sz w:val="56"/>
          <w:szCs w:val="56"/>
        </w:rPr>
      </w:pPr>
    </w:p>
    <w:p w14:paraId="18C4AFC8">
      <w:pPr>
        <w:pStyle w:val="20"/>
        <w:jc w:val="center"/>
        <w:rPr>
          <w:sz w:val="56"/>
          <w:szCs w:val="56"/>
        </w:rPr>
      </w:pPr>
    </w:p>
    <w:p w14:paraId="720F6E7D">
      <w:pPr>
        <w:pStyle w:val="20"/>
        <w:jc w:val="center"/>
        <w:rPr>
          <w:sz w:val="32"/>
          <w:szCs w:val="32"/>
        </w:rPr>
        <w:sectPr>
          <w:pgSz w:w="11906" w:h="16838"/>
          <w:pgMar w:top="1928" w:right="1531" w:bottom="1928" w:left="1531" w:header="851" w:footer="992" w:gutter="0"/>
          <w:pgNumType w:fmt="decimal"/>
          <w:cols w:space="425" w:num="1"/>
          <w:docGrid w:type="lines" w:linePitch="312" w:charSpace="0"/>
        </w:sectPr>
      </w:pPr>
    </w:p>
    <w:p w14:paraId="0322EC41">
      <w:pPr>
        <w:pStyle w:val="20"/>
        <w:spacing w:line="500" w:lineRule="exact"/>
        <w:jc w:val="center"/>
        <w:rPr>
          <w:rFonts w:hint="eastAsia"/>
          <w:b/>
          <w:sz w:val="36"/>
          <w:szCs w:val="28"/>
        </w:rPr>
      </w:pPr>
      <w:r>
        <w:rPr>
          <w:rFonts w:hint="eastAsia"/>
          <w:b/>
          <w:sz w:val="36"/>
          <w:szCs w:val="28"/>
        </w:rPr>
        <w:t>目录</w:t>
      </w:r>
    </w:p>
    <w:p w14:paraId="3E004348">
      <w:pPr>
        <w:pStyle w:val="20"/>
        <w:spacing w:line="500" w:lineRule="exact"/>
        <w:jc w:val="center"/>
        <w:rPr>
          <w:rFonts w:hint="eastAsia"/>
          <w:b/>
          <w:sz w:val="36"/>
          <w:szCs w:val="28"/>
        </w:rPr>
      </w:pPr>
    </w:p>
    <w:p w14:paraId="1DADF56A">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区应急管理局单位</w:t>
      </w:r>
      <w:r>
        <w:rPr>
          <w:rFonts w:hint="eastAsia" w:ascii="黑体" w:hAnsi="黑体" w:eastAsia="黑体" w:cs="黑体"/>
          <w:b w:val="0"/>
          <w:bCs/>
          <w:sz w:val="28"/>
          <w:szCs w:val="28"/>
        </w:rPr>
        <w:t>概况</w:t>
      </w:r>
    </w:p>
    <w:p w14:paraId="7AD4B8C9">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11DD0D6">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D50B81A">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6499DCE">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C1D6C14">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A5AE2A2">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F36EED2">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95E2C54">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F005959">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DB100C1">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80474F6">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FB6C3A3">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9C1A5D7">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9BFFD53">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834947A">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6B2C4F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FF3F60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F08465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06CD5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9301AF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1B76A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BD8DB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1627DF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DD412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2FA209C">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2910CC5">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794E6A8">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F00CF9D">
      <w:pPr>
        <w:pStyle w:val="20"/>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CB10A61">
      <w:pPr>
        <w:pStyle w:val="20"/>
        <w:spacing w:line="500" w:lineRule="exact"/>
        <w:rPr>
          <w:rFonts w:hint="eastAsia" w:ascii="黑体" w:hAnsi="黑体" w:eastAsia="黑体" w:cs="黑体"/>
          <w:b w:val="0"/>
          <w:bCs/>
          <w:sz w:val="28"/>
          <w:szCs w:val="28"/>
        </w:rPr>
      </w:pPr>
    </w:p>
    <w:p w14:paraId="444369D4">
      <w:pPr>
        <w:jc w:val="center"/>
        <w:rPr>
          <w:sz w:val="72"/>
          <w:szCs w:val="72"/>
        </w:rPr>
      </w:pPr>
    </w:p>
    <w:p w14:paraId="38ECEEFA">
      <w:pPr>
        <w:jc w:val="center"/>
        <w:rPr>
          <w:sz w:val="72"/>
          <w:szCs w:val="72"/>
        </w:rPr>
      </w:pPr>
    </w:p>
    <w:p w14:paraId="1B79AAE9">
      <w:pPr>
        <w:jc w:val="center"/>
        <w:rPr>
          <w:sz w:val="72"/>
          <w:szCs w:val="72"/>
        </w:rPr>
      </w:pPr>
    </w:p>
    <w:p w14:paraId="2F3AEBBF">
      <w:pPr>
        <w:jc w:val="center"/>
        <w:rPr>
          <w:sz w:val="72"/>
          <w:szCs w:val="72"/>
        </w:rPr>
      </w:pPr>
    </w:p>
    <w:p w14:paraId="11DF5F51">
      <w:pPr>
        <w:rPr>
          <w:rFonts w:hint="eastAsia" w:ascii="方正小标宋_GBK" w:hAnsi="方正小标宋_GBK" w:eastAsia="方正小标宋_GBK" w:cs="方正小标宋_GBK"/>
          <w:sz w:val="72"/>
          <w:szCs w:val="72"/>
        </w:rPr>
      </w:pPr>
    </w:p>
    <w:p w14:paraId="66F2C38C">
      <w:pPr>
        <w:pStyle w:val="20"/>
        <w:jc w:val="center"/>
        <w:rPr>
          <w:rFonts w:hint="eastAsia" w:ascii="方正小标宋_GBK" w:hAnsi="方正小标宋_GBK" w:eastAsia="方正小标宋_GBK" w:cs="方正小标宋_GBK"/>
          <w:sz w:val="84"/>
          <w:szCs w:val="84"/>
        </w:rPr>
        <w:sectPr>
          <w:pgSz w:w="11906" w:h="16838"/>
          <w:pgMar w:top="1928" w:right="1531" w:bottom="1928" w:left="1531" w:header="851" w:footer="992" w:gutter="0"/>
          <w:pgNumType w:fmt="decimal"/>
          <w:cols w:space="425" w:num="1"/>
          <w:docGrid w:type="lines" w:linePitch="312" w:charSpace="0"/>
        </w:sectPr>
      </w:pPr>
    </w:p>
    <w:p w14:paraId="19AE3EE1">
      <w:pPr>
        <w:pStyle w:val="20"/>
        <w:jc w:val="center"/>
        <w:rPr>
          <w:rFonts w:hint="eastAsia" w:ascii="方正小标宋_GBK" w:hAnsi="方正小标宋_GBK" w:eastAsia="方正小标宋_GBK" w:cs="方正小标宋_GBK"/>
          <w:sz w:val="84"/>
          <w:szCs w:val="84"/>
        </w:rPr>
      </w:pPr>
    </w:p>
    <w:p w14:paraId="638CE119">
      <w:pPr>
        <w:pStyle w:val="20"/>
        <w:jc w:val="center"/>
        <w:rPr>
          <w:rFonts w:hint="eastAsia" w:ascii="方正小标宋_GBK" w:hAnsi="方正小标宋_GBK" w:eastAsia="方正小标宋_GBK" w:cs="方正小标宋_GBK"/>
          <w:sz w:val="84"/>
          <w:szCs w:val="84"/>
        </w:rPr>
      </w:pPr>
    </w:p>
    <w:p w14:paraId="6E18FEB3">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14:paraId="241D0CB0">
      <w:pPr>
        <w:pStyle w:val="20"/>
        <w:jc w:val="center"/>
        <w:rPr>
          <w:rFonts w:hint="eastAsia" w:ascii="方正小标宋_GBK" w:hAnsi="方正小标宋_GBK" w:eastAsia="方正小标宋_GBK" w:cs="方正小标宋_GBK"/>
          <w:sz w:val="84"/>
          <w:szCs w:val="84"/>
        </w:rPr>
      </w:pPr>
    </w:p>
    <w:p w14:paraId="6A0E04A6">
      <w:pPr>
        <w:pStyle w:val="20"/>
        <w:jc w:val="center"/>
        <w:rPr>
          <w:rFonts w:hint="eastAsia" w:ascii="方正小标宋_GBK" w:hAnsi="方正小标宋_GBK" w:eastAsia="方正小标宋_GBK" w:cs="方正小标宋_GBK"/>
          <w:sz w:val="84"/>
          <w:szCs w:val="84"/>
        </w:rPr>
      </w:pPr>
      <w:r>
        <w:rPr>
          <w:rFonts w:hint="eastAsia"/>
          <w:sz w:val="84"/>
          <w:szCs w:val="84"/>
        </w:rPr>
        <w:t>区应急管理局</w:t>
      </w:r>
      <w:r>
        <w:rPr>
          <w:rFonts w:hint="eastAsia"/>
          <w:sz w:val="84"/>
          <w:szCs w:val="84"/>
          <w:lang w:val="en-US" w:eastAsia="zh-CN"/>
        </w:rPr>
        <w:t>单位</w:t>
      </w:r>
      <w:r>
        <w:rPr>
          <w:rFonts w:hint="eastAsia" w:ascii="方正小标宋_GBK" w:hAnsi="方正小标宋_GBK" w:eastAsia="方正小标宋_GBK" w:cs="方正小标宋_GBK"/>
          <w:sz w:val="84"/>
          <w:szCs w:val="84"/>
        </w:rPr>
        <w:t>概况</w:t>
      </w:r>
    </w:p>
    <w:p w14:paraId="736FFCCD">
      <w:pPr>
        <w:jc w:val="center"/>
        <w:rPr>
          <w:rFonts w:hint="eastAsia" w:ascii="方正小标宋_GBK" w:hAnsi="方正小标宋_GBK" w:eastAsia="方正小标宋_GBK" w:cs="方正小标宋_GBK"/>
          <w:sz w:val="72"/>
          <w:szCs w:val="72"/>
        </w:rPr>
      </w:pPr>
    </w:p>
    <w:p w14:paraId="7C3B3106">
      <w:pPr>
        <w:jc w:val="center"/>
        <w:rPr>
          <w:rFonts w:hint="eastAsia" w:ascii="方正小标宋_GBK" w:hAnsi="方正小标宋_GBK" w:eastAsia="方正小标宋_GBK" w:cs="方正小标宋_GBK"/>
          <w:sz w:val="72"/>
          <w:szCs w:val="72"/>
        </w:rPr>
      </w:pPr>
    </w:p>
    <w:p w14:paraId="6636B26E">
      <w:pPr>
        <w:jc w:val="center"/>
        <w:rPr>
          <w:sz w:val="72"/>
          <w:szCs w:val="72"/>
        </w:rPr>
      </w:pPr>
    </w:p>
    <w:p w14:paraId="150EC0AE">
      <w:pPr>
        <w:jc w:val="center"/>
        <w:rPr>
          <w:sz w:val="72"/>
          <w:szCs w:val="72"/>
        </w:rPr>
      </w:pPr>
    </w:p>
    <w:p w14:paraId="76012BED">
      <w:pPr>
        <w:pStyle w:val="21"/>
        <w:numPr>
          <w:ilvl w:val="0"/>
          <w:numId w:val="0"/>
        </w:numPr>
        <w:ind w:leftChars="0"/>
        <w:jc w:val="left"/>
        <w:rPr>
          <w:rFonts w:hint="eastAsia" w:ascii="黑体" w:hAnsi="黑体" w:eastAsia="黑体" w:cs="黑体"/>
          <w:b w:val="0"/>
          <w:bCs w:val="0"/>
          <w:sz w:val="32"/>
          <w:szCs w:val="32"/>
        </w:rPr>
        <w:sectPr>
          <w:pgSz w:w="11906" w:h="16838"/>
          <w:pgMar w:top="1928" w:right="1531" w:bottom="1928" w:left="1531" w:header="851" w:footer="992" w:gutter="0"/>
          <w:pgNumType w:fmt="decimal"/>
          <w:cols w:space="425" w:num="1"/>
          <w:docGrid w:type="lines" w:linePitch="312" w:charSpace="0"/>
        </w:sectPr>
      </w:pPr>
    </w:p>
    <w:p w14:paraId="0CFBB9CE">
      <w:pPr>
        <w:pStyle w:val="21"/>
        <w:keepNext w:val="0"/>
        <w:keepLines w:val="0"/>
        <w:pageBreakBefore w:val="0"/>
        <w:numPr>
          <w:ilvl w:val="0"/>
          <w:numId w:val="0"/>
        </w:numPr>
        <w:kinsoku/>
        <w:wordWrap/>
        <w:overflowPunct/>
        <w:topLinePunct w:val="0"/>
        <w:bidi w:val="0"/>
        <w:snapToGrid/>
        <w:ind w:leftChars="0" w:firstLine="640" w:firstLineChars="200"/>
        <w:jc w:val="left"/>
        <w:textAlignment w:val="auto"/>
        <w:rPr>
          <w:rFonts w:hint="eastAsia" w:ascii="仿宋_GB2312" w:hAnsi="仿宋_GB2312" w:eastAsia="仿宋_GB2312" w:cs="仿宋_GB2312"/>
          <w:color w:val="000000"/>
          <w:kern w:val="0"/>
          <w:sz w:val="28"/>
          <w:szCs w:val="28"/>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0BE70EC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（一）负责应急管理工作，指导全区各镇（办事处）各部门单位应对安全生产类、自然灾害类等突发事件和综合防灾减灾救灾工作；负责安全生产综合监督管理和工矿商贸行业安全生产监督管理工作。</w:t>
      </w:r>
    </w:p>
    <w:p w14:paraId="2F654128">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（二）贯彻实施相关法律法规、部门规章、规程和标准，组织编制全区应急体系建设、安全生产和综合防灾减灾规划，组织拟订相关政策、规程和标准并监督实施。</w:t>
      </w:r>
    </w:p>
    <w:p w14:paraId="341F71F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三）指导应急预案体系建设，建立完善事故灾难和自然灾害分级应对制度，组织编制区总体应急预案和安全生产类、自然灾害类专项预案，综合协调应急预案衔接工作，组织开展预案演练，推动应急避难设施建设。</w:t>
      </w:r>
    </w:p>
    <w:p w14:paraId="5BEFDD2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（四）牵头推进全区统一的应急管理信息系统建设，负责信息传输渠道的规划和布局，健全自然灾害信息资源获取和共享机制，依法统一发布灾情。</w:t>
      </w:r>
    </w:p>
    <w:p w14:paraId="392D4DB6">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（五）组织指导协调安全生产类、自然灾害类等突发事件应急救援，承担灾害指挥的相关工作，综合研判突发事件发展态势并提出应对建议，协助区委、区管委会指定的负责同志组织灾害应急处置工作。</w:t>
      </w:r>
    </w:p>
    <w:p w14:paraId="08D2A0B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（六）统一协调指挥各类应急专业队伍，建立应急协调联动机制，推进指挥平台对接，负责做好解放军和武警部队参与应急救援相关衔接工作。</w:t>
      </w:r>
    </w:p>
    <w:p w14:paraId="0BB8FACB">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七）统筹全区应急救援力量建设，负责消防、森林火灾扑救、抗洪抢险、地震和地质灾害救援、生产安全事故救援等专业应急救援力量建设，依权限管理驻区国家综合性应急救援队伍，指导地方及社会应急救援力量建设。</w:t>
      </w:r>
    </w:p>
    <w:p w14:paraId="27E3961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（八）负责全区消防管理有关工作，指导各镇（办事处）消防监督、火灾预防、火灾扑救等工作。</w:t>
      </w:r>
    </w:p>
    <w:p w14:paraId="5A7DF025">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（九）指导协调全区森林火灾、水旱灾害、地震和地质灾害等防治工作，负责自然灾害综合监测预警工作，指导开展自然灾害综合风险评估工作。</w:t>
      </w:r>
    </w:p>
    <w:p w14:paraId="14DFAC2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（十）组织协调灾害救助工作，组织指导灾情核查、损失评估、救灾捐赠工作，按权限管理、分配中央、省、市下达和区级救灾款物并监督使用。</w:t>
      </w:r>
    </w:p>
    <w:p w14:paraId="3E0A733C">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（十一）依法行使全区安全生产综合监督管理职权，指导协调、监督检查区管委会有关部门单位和各镇（办事处）安全生产工作，组织开展安全生产巡查、考核工作。</w:t>
      </w:r>
    </w:p>
    <w:p w14:paraId="08EF64EC">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6791BCFB">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（十三）依法组织指导生产安全事故调查处理，监督事故查处和责任追究落实情况。组织开展自然灾害类突发事件的调查评估工作。</w:t>
      </w:r>
    </w:p>
    <w:p w14:paraId="276F96DF">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（十四）开展应急管理对外交流与合作，组织参与安全生产类、自然灾害类等突发事件的对外救援工作。</w:t>
      </w:r>
    </w:p>
    <w:p w14:paraId="1C92A724">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（十五）制定全区应急物资储备和应急救援装备规划并组织实施，会同区发展改革和财政局等部门建立健全应急物资信息平台和调拨制度，在救灾时统一调度。</w:t>
      </w:r>
    </w:p>
    <w:p w14:paraId="24FF363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（十六）负责应急管理、安全生产宣传教育和培训工作，组织指导应急管理、安全生产的科学技术研究、推广应用和信息化建设工作。</w:t>
      </w:r>
    </w:p>
    <w:p w14:paraId="4D0277F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（十七）承担区防汛抗旱指挥部日常工作，协调区防汛抗旱指挥部成员单位的相关工作，组织执行国家防汛抗旱总指挥部、相关流域防汛抗旱指挥机构和省、市、区防汛抗旱指挥部的指示、命令。</w:t>
      </w:r>
    </w:p>
    <w:p w14:paraId="24E0E86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rPr>
      </w:pPr>
      <w:r>
        <w:rPr>
          <w:rFonts w:hint="eastAsia" w:ascii="仿宋_GB2312" w:hAnsi="仿宋_GB2312" w:eastAsia="仿宋_GB2312" w:cs="仿宋_GB2312"/>
          <w:color w:val="000000"/>
          <w:kern w:val="0"/>
          <w:sz w:val="28"/>
          <w:szCs w:val="28"/>
          <w:lang w:val="en-US" w:eastAsia="zh-CN"/>
        </w:rPr>
        <w:t>（十八）完成区委、区管委交办的其他任务。</w:t>
      </w:r>
    </w:p>
    <w:p w14:paraId="41E86468">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68F5651">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区应急管理局单位内设机构包括：综合办公室、安全监督管理股、防汛抗旱应急股、防灾减灾股4个股室，大通湖区应急管理综合行政执法大队、大通湖区防汛抗旱应急指挥中心2个二级机构。</w:t>
      </w:r>
    </w:p>
    <w:p w14:paraId="661FD27B">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区应急管理局</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年部门决算汇总公开单位构成包括：区应急管理局单位本级，二级机构财务不独立核算。</w:t>
      </w:r>
    </w:p>
    <w:p w14:paraId="3DCA6122">
      <w:pPr>
        <w:keepNext w:val="0"/>
        <w:keepLines w:val="0"/>
        <w:pageBreakBefore w:val="0"/>
        <w:kinsoku/>
        <w:wordWrap/>
        <w:overflowPunct/>
        <w:topLinePunct w:val="0"/>
        <w:bidi w:val="0"/>
        <w:snapToGrid/>
        <w:ind w:firstLine="560" w:firstLineChars="200"/>
        <w:jc w:val="left"/>
        <w:textAlignment w:val="auto"/>
        <w:rPr>
          <w:rFonts w:ascii="仿宋_GB2312" w:eastAsia="仿宋_GB2312" w:hAnsiTheme="minorEastAsia"/>
          <w:sz w:val="28"/>
          <w:szCs w:val="32"/>
        </w:rPr>
      </w:pPr>
    </w:p>
    <w:p w14:paraId="31138D7C">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kern w:val="0"/>
          <w:sz w:val="32"/>
          <w:szCs w:val="32"/>
        </w:rPr>
      </w:pPr>
    </w:p>
    <w:p w14:paraId="7FC545C4">
      <w:pPr>
        <w:keepNext w:val="0"/>
        <w:keepLines w:val="0"/>
        <w:pageBreakBefore w:val="0"/>
        <w:kinsoku/>
        <w:wordWrap/>
        <w:overflowPunct/>
        <w:topLinePunct w:val="0"/>
        <w:bidi w:val="0"/>
        <w:snapToGrid/>
        <w:ind w:firstLine="560" w:firstLineChars="200"/>
        <w:jc w:val="left"/>
        <w:textAlignment w:val="auto"/>
        <w:rPr>
          <w:rFonts w:ascii="仿宋_GB2312" w:eastAsia="仿宋_GB2312" w:hAnsiTheme="minorEastAsia"/>
          <w:sz w:val="28"/>
          <w:szCs w:val="32"/>
        </w:rPr>
      </w:pPr>
    </w:p>
    <w:p w14:paraId="6C1A99E8">
      <w:pPr>
        <w:keepNext w:val="0"/>
        <w:keepLines w:val="0"/>
        <w:pageBreakBefore w:val="0"/>
        <w:kinsoku/>
        <w:wordWrap/>
        <w:overflowPunct/>
        <w:topLinePunct w:val="0"/>
        <w:bidi w:val="0"/>
        <w:snapToGrid/>
        <w:ind w:firstLine="560" w:firstLineChars="200"/>
        <w:jc w:val="center"/>
        <w:textAlignment w:val="auto"/>
        <w:rPr>
          <w:rFonts w:ascii="黑体" w:hAnsi="黑体" w:eastAsia="黑体"/>
          <w:sz w:val="28"/>
          <w:szCs w:val="28"/>
        </w:rPr>
      </w:pPr>
    </w:p>
    <w:p w14:paraId="0D60A8E2">
      <w:pPr>
        <w:keepNext w:val="0"/>
        <w:keepLines w:val="0"/>
        <w:pageBreakBefore w:val="0"/>
        <w:kinsoku/>
        <w:wordWrap/>
        <w:overflowPunct/>
        <w:topLinePunct w:val="0"/>
        <w:bidi w:val="0"/>
        <w:snapToGrid/>
        <w:ind w:firstLine="560" w:firstLineChars="200"/>
        <w:jc w:val="center"/>
        <w:textAlignment w:val="auto"/>
        <w:rPr>
          <w:rFonts w:ascii="黑体" w:hAnsi="黑体" w:eastAsia="黑体"/>
          <w:sz w:val="28"/>
          <w:szCs w:val="28"/>
        </w:rPr>
      </w:pPr>
    </w:p>
    <w:p w14:paraId="55E590EC">
      <w:pPr>
        <w:pStyle w:val="20"/>
        <w:jc w:val="center"/>
        <w:rPr>
          <w:rFonts w:hint="eastAsia" w:ascii="方正小标宋_GBK" w:hAnsi="方正小标宋_GBK" w:eastAsia="方正小标宋_GBK" w:cs="方正小标宋_GBK"/>
          <w:sz w:val="84"/>
          <w:szCs w:val="84"/>
        </w:rPr>
        <w:sectPr>
          <w:pgSz w:w="11906" w:h="16838"/>
          <w:pgMar w:top="1928" w:right="1531" w:bottom="1928" w:left="1531" w:header="851" w:footer="992" w:gutter="0"/>
          <w:pgNumType w:fmt="decimal"/>
          <w:cols w:space="425" w:num="1"/>
          <w:docGrid w:type="lines" w:linePitch="312" w:charSpace="0"/>
        </w:sectPr>
      </w:pPr>
    </w:p>
    <w:p w14:paraId="1CF86BA4">
      <w:pPr>
        <w:pStyle w:val="20"/>
        <w:jc w:val="both"/>
        <w:rPr>
          <w:rFonts w:hint="eastAsia" w:ascii="方正小标宋_GBK" w:hAnsi="方正小标宋_GBK" w:eastAsia="方正小标宋_GBK" w:cs="方正小标宋_GBK"/>
          <w:sz w:val="84"/>
          <w:szCs w:val="84"/>
        </w:rPr>
      </w:pPr>
    </w:p>
    <w:p w14:paraId="6D4107D7">
      <w:pPr>
        <w:pStyle w:val="20"/>
        <w:jc w:val="both"/>
        <w:rPr>
          <w:rFonts w:hint="eastAsia" w:ascii="方正小标宋_GBK" w:hAnsi="方正小标宋_GBK" w:eastAsia="方正小标宋_GBK" w:cs="方正小标宋_GBK"/>
          <w:sz w:val="84"/>
          <w:szCs w:val="84"/>
        </w:rPr>
      </w:pPr>
    </w:p>
    <w:p w14:paraId="715E4681">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32AB092">
      <w:pPr>
        <w:pStyle w:val="20"/>
        <w:jc w:val="center"/>
        <w:rPr>
          <w:rFonts w:hint="eastAsia" w:ascii="方正小标宋_GBK" w:hAnsi="方正小标宋_GBK" w:eastAsia="方正小标宋_GBK" w:cs="方正小标宋_GBK"/>
          <w:sz w:val="84"/>
          <w:szCs w:val="84"/>
        </w:rPr>
      </w:pPr>
    </w:p>
    <w:p w14:paraId="582ACE75">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A4140C7">
      <w:pPr>
        <w:jc w:val="center"/>
        <w:rPr>
          <w:sz w:val="72"/>
          <w:szCs w:val="72"/>
        </w:rPr>
      </w:pPr>
    </w:p>
    <w:p w14:paraId="329C0BF3">
      <w:pPr>
        <w:jc w:val="center"/>
        <w:rPr>
          <w:sz w:val="72"/>
          <w:szCs w:val="72"/>
        </w:rPr>
      </w:pPr>
    </w:p>
    <w:p w14:paraId="1D9B5477">
      <w:pPr>
        <w:jc w:val="both"/>
        <w:rPr>
          <w:sz w:val="72"/>
          <w:szCs w:val="72"/>
        </w:rPr>
      </w:pPr>
    </w:p>
    <w:p w14:paraId="34895B9B">
      <w:pPr>
        <w:jc w:val="left"/>
        <w:rPr>
          <w:sz w:val="32"/>
          <w:szCs w:val="32"/>
        </w:rPr>
      </w:pPr>
    </w:p>
    <w:p w14:paraId="1FFFF93D">
      <w:pPr>
        <w:jc w:val="left"/>
        <w:rPr>
          <w:rFonts w:asciiTheme="minorEastAsia" w:hAnsiTheme="minorEastAsia"/>
          <w:sz w:val="32"/>
          <w:szCs w:val="32"/>
        </w:rPr>
        <w:sectPr>
          <w:pgSz w:w="11906" w:h="16838"/>
          <w:pgMar w:top="1928" w:right="1531" w:bottom="1928" w:left="1531" w:header="851" w:footer="992" w:gutter="0"/>
          <w:pgNumType w:fmt="decimal"/>
          <w:cols w:space="425" w:num="1"/>
          <w:docGrid w:type="lines" w:linePitch="312" w:charSpace="0"/>
        </w:sectPr>
      </w:pPr>
    </w:p>
    <w:tbl>
      <w:tblPr>
        <w:tblStyle w:val="13"/>
        <w:tblW w:w="15428" w:type="dxa"/>
        <w:tblInd w:w="0" w:type="dxa"/>
        <w:tblLayout w:type="fixed"/>
        <w:tblCellMar>
          <w:top w:w="0" w:type="dxa"/>
          <w:left w:w="0" w:type="dxa"/>
          <w:bottom w:w="0" w:type="dxa"/>
          <w:right w:w="0" w:type="dxa"/>
        </w:tblCellMar>
      </w:tblPr>
      <w:tblGrid>
        <w:gridCol w:w="306"/>
        <w:gridCol w:w="815"/>
        <w:gridCol w:w="1773"/>
        <w:gridCol w:w="1560"/>
        <w:gridCol w:w="1667"/>
        <w:gridCol w:w="1706"/>
        <w:gridCol w:w="1787"/>
        <w:gridCol w:w="1907"/>
        <w:gridCol w:w="1866"/>
        <w:gridCol w:w="2041"/>
      </w:tblGrid>
      <w:tr w14:paraId="46AEFC6C">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399"/>
              <w:gridCol w:w="5033"/>
              <w:gridCol w:w="1621"/>
              <w:gridCol w:w="2300"/>
            </w:tblGrid>
            <w:tr w14:paraId="4893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32D04F9B">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4208296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14:paraId="04EAB6B5">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14:paraId="625F378C">
                  <w:pPr>
                    <w:jc w:val="right"/>
                    <w:rPr>
                      <w:rFonts w:hint="eastAsia" w:ascii="宋体" w:hAnsi="宋体" w:eastAsia="宋体" w:cs="宋体"/>
                      <w:i w:val="0"/>
                      <w:color w:val="000000"/>
                      <w:sz w:val="24"/>
                      <w:szCs w:val="24"/>
                      <w:u w:val="none"/>
                    </w:rPr>
                  </w:pPr>
                </w:p>
              </w:tc>
              <w:tc>
                <w:tcPr>
                  <w:tcW w:w="1621" w:type="dxa"/>
                  <w:tcBorders>
                    <w:top w:val="nil"/>
                    <w:left w:val="nil"/>
                    <w:bottom w:val="nil"/>
                    <w:right w:val="nil"/>
                  </w:tcBorders>
                  <w:shd w:val="clear" w:color="auto" w:fill="auto"/>
                  <w:noWrap/>
                  <w:vAlign w:val="center"/>
                </w:tcPr>
                <w:p w14:paraId="2EF42B60">
                  <w:pPr>
                    <w:jc w:val="right"/>
                    <w:rPr>
                      <w:rFonts w:hint="eastAsia" w:ascii="宋体" w:hAnsi="宋体" w:eastAsia="宋体" w:cs="宋体"/>
                      <w:i w:val="0"/>
                      <w:color w:val="000000"/>
                      <w:sz w:val="24"/>
                      <w:szCs w:val="24"/>
                      <w:u w:val="none"/>
                    </w:rPr>
                  </w:pPr>
                </w:p>
              </w:tc>
              <w:tc>
                <w:tcPr>
                  <w:tcW w:w="2300" w:type="dxa"/>
                  <w:tcBorders>
                    <w:top w:val="nil"/>
                    <w:left w:val="nil"/>
                    <w:bottom w:val="nil"/>
                    <w:right w:val="nil"/>
                  </w:tcBorders>
                  <w:shd w:val="clear" w:color="auto" w:fill="auto"/>
                  <w:noWrap/>
                  <w:vAlign w:val="center"/>
                </w:tcPr>
                <w:p w14:paraId="30AB44DC">
                  <w:pPr>
                    <w:jc w:val="right"/>
                    <w:rPr>
                      <w:rFonts w:hint="eastAsia" w:ascii="黑体" w:hAnsi="宋体" w:eastAsia="黑体" w:cs="黑体"/>
                      <w:i w:val="0"/>
                      <w:color w:val="000000"/>
                      <w:sz w:val="24"/>
                      <w:szCs w:val="24"/>
                      <w:u w:val="none"/>
                    </w:rPr>
                  </w:pPr>
                </w:p>
              </w:tc>
            </w:tr>
            <w:tr w14:paraId="6F25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6"/>
                  <w:tcBorders>
                    <w:top w:val="nil"/>
                    <w:left w:val="nil"/>
                    <w:bottom w:val="nil"/>
                    <w:right w:val="nil"/>
                  </w:tcBorders>
                  <w:shd w:val="clear" w:color="auto" w:fill="auto"/>
                  <w:noWrap/>
                  <w:vAlign w:val="center"/>
                </w:tcPr>
                <w:p w14:paraId="6AECAF0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C3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E3E4508">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4506F026">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0B159BA8">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3C0033DE">
                  <w:pPr>
                    <w:jc w:val="right"/>
                    <w:rPr>
                      <w:rFonts w:hint="eastAsia" w:ascii="宋体" w:hAnsi="宋体" w:eastAsia="宋体" w:cs="宋体"/>
                      <w:i w:val="0"/>
                      <w:color w:val="000000"/>
                      <w:sz w:val="24"/>
                      <w:szCs w:val="24"/>
                      <w:u w:val="none"/>
                    </w:rPr>
                  </w:pPr>
                </w:p>
              </w:tc>
              <w:tc>
                <w:tcPr>
                  <w:tcW w:w="1621" w:type="dxa"/>
                  <w:tcBorders>
                    <w:top w:val="nil"/>
                    <w:left w:val="nil"/>
                    <w:bottom w:val="nil"/>
                    <w:right w:val="nil"/>
                  </w:tcBorders>
                  <w:shd w:val="clear" w:color="auto" w:fill="FFFFFF"/>
                  <w:noWrap/>
                  <w:vAlign w:val="center"/>
                </w:tcPr>
                <w:p w14:paraId="619FB523">
                  <w:pPr>
                    <w:jc w:val="right"/>
                    <w:rPr>
                      <w:rFonts w:hint="eastAsia" w:ascii="宋体" w:hAnsi="宋体" w:eastAsia="宋体" w:cs="宋体"/>
                      <w:i w:val="0"/>
                      <w:color w:val="000000"/>
                      <w:sz w:val="24"/>
                      <w:szCs w:val="24"/>
                      <w:u w:val="none"/>
                    </w:rPr>
                  </w:pPr>
                </w:p>
              </w:tc>
              <w:tc>
                <w:tcPr>
                  <w:tcW w:w="2300" w:type="dxa"/>
                  <w:tcBorders>
                    <w:top w:val="nil"/>
                    <w:left w:val="nil"/>
                    <w:bottom w:val="nil"/>
                    <w:right w:val="nil"/>
                  </w:tcBorders>
                  <w:shd w:val="clear" w:color="auto" w:fill="FFFFFF"/>
                  <w:noWrap/>
                  <w:vAlign w:val="center"/>
                </w:tcPr>
                <w:p w14:paraId="4B7AF2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80F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64F8D9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部门：益阳市大通湖区应急管理局</w:t>
                  </w:r>
                </w:p>
              </w:tc>
              <w:tc>
                <w:tcPr>
                  <w:tcW w:w="603" w:type="dxa"/>
                  <w:tcBorders>
                    <w:top w:val="nil"/>
                    <w:left w:val="nil"/>
                    <w:bottom w:val="nil"/>
                    <w:right w:val="nil"/>
                  </w:tcBorders>
                  <w:shd w:val="clear" w:color="auto" w:fill="FFFFFF"/>
                  <w:noWrap/>
                  <w:vAlign w:val="center"/>
                </w:tcPr>
                <w:p w14:paraId="7BB35460">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425B7140">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73035D0B">
                  <w:pPr>
                    <w:jc w:val="right"/>
                    <w:rPr>
                      <w:rFonts w:hint="eastAsia" w:ascii="宋体" w:hAnsi="宋体" w:eastAsia="宋体" w:cs="宋体"/>
                      <w:i w:val="0"/>
                      <w:color w:val="000000"/>
                      <w:sz w:val="24"/>
                      <w:szCs w:val="24"/>
                      <w:u w:val="none"/>
                    </w:rPr>
                  </w:pPr>
                </w:p>
              </w:tc>
              <w:tc>
                <w:tcPr>
                  <w:tcW w:w="1621" w:type="dxa"/>
                  <w:tcBorders>
                    <w:top w:val="nil"/>
                    <w:left w:val="nil"/>
                    <w:bottom w:val="nil"/>
                    <w:right w:val="nil"/>
                  </w:tcBorders>
                  <w:shd w:val="clear" w:color="auto" w:fill="FFFFFF"/>
                  <w:noWrap/>
                  <w:vAlign w:val="center"/>
                </w:tcPr>
                <w:p w14:paraId="021C74F1">
                  <w:pPr>
                    <w:jc w:val="right"/>
                    <w:rPr>
                      <w:rFonts w:hint="eastAsia" w:ascii="宋体" w:hAnsi="宋体" w:eastAsia="宋体" w:cs="宋体"/>
                      <w:i w:val="0"/>
                      <w:color w:val="000000"/>
                      <w:sz w:val="24"/>
                      <w:szCs w:val="24"/>
                      <w:u w:val="none"/>
                    </w:rPr>
                  </w:pPr>
                </w:p>
              </w:tc>
              <w:tc>
                <w:tcPr>
                  <w:tcW w:w="2300" w:type="dxa"/>
                  <w:tcBorders>
                    <w:top w:val="nil"/>
                    <w:left w:val="nil"/>
                    <w:bottom w:val="nil"/>
                    <w:right w:val="nil"/>
                  </w:tcBorders>
                  <w:shd w:val="clear" w:color="auto" w:fill="FFFFFF"/>
                  <w:noWrap/>
                  <w:vAlign w:val="center"/>
                </w:tcPr>
                <w:p w14:paraId="5B56DF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08F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6"/>
                  <w:tcBorders>
                    <w:top w:val="nil"/>
                    <w:left w:val="nil"/>
                    <w:bottom w:val="nil"/>
                    <w:right w:val="nil"/>
                  </w:tcBorders>
                  <w:shd w:val="clear" w:color="auto" w:fill="auto"/>
                  <w:vAlign w:val="center"/>
                </w:tcPr>
                <w:tbl>
                  <w:tblPr>
                    <w:tblStyle w:val="13"/>
                    <w:tblW w:w="15298"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5"/>
                    <w:gridCol w:w="653"/>
                    <w:gridCol w:w="1374"/>
                    <w:gridCol w:w="5000"/>
                    <w:gridCol w:w="1653"/>
                    <w:gridCol w:w="2293"/>
                  </w:tblGrid>
                  <w:tr w14:paraId="1691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D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89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3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33A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D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B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6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0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7A5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6F1A">
                        <w:pPr>
                          <w:jc w:val="center"/>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8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C702">
                        <w:pPr>
                          <w:jc w:val="center"/>
                          <w:rPr>
                            <w:rFonts w:hint="eastAsia" w:ascii="宋体" w:hAnsi="宋体" w:eastAsia="宋体" w:cs="宋体"/>
                            <w:i w:val="0"/>
                            <w:iCs w:val="0"/>
                            <w:color w:val="000000"/>
                            <w:sz w:val="22"/>
                            <w:szCs w:val="22"/>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5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64A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8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F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43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1,102.48</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0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E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D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20EC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3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1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4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5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A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C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1B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0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5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7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D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4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49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A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4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A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2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2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F7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A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8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B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9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0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43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2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3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E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C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1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A1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F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D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8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C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D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8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D7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1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F4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8.26</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1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8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88E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21.74</w:t>
                        </w:r>
                      </w:p>
                    </w:tc>
                  </w:tr>
                  <w:tr w14:paraId="5C0C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132C">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36DB">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E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9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37D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15.37</w:t>
                        </w:r>
                      </w:p>
                    </w:tc>
                  </w:tr>
                  <w:tr w14:paraId="5851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68C">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B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673C">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C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373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019A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6B4C">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68D2">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E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A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3F7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5C70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8F63">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2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21B5">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AA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132.22</w:t>
                        </w:r>
                      </w:p>
                    </w:tc>
                  </w:tr>
                  <w:tr w14:paraId="77FE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16E">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2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07E7">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9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E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D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0D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C69F">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0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5E04">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1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A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70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FA83">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1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0769">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0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B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C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62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3BFF">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7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A046">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8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E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7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90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4AA2">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8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FF9C">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1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1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1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F0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151F">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F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35BD">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F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E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3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r>
                  <w:tr w14:paraId="0DAB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96A3">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1591">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9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7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C9E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17.29</w:t>
                        </w:r>
                      </w:p>
                    </w:tc>
                  </w:tr>
                  <w:tr w14:paraId="7EF4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1898">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A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A5FF">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A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5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3E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44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D864">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A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2255">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A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2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B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27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630B">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E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749D">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D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A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353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893.61</w:t>
                        </w:r>
                      </w:p>
                    </w:tc>
                  </w:tr>
                  <w:tr w14:paraId="5F93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ED00">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4EBF">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4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3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C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29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44D2">
                        <w:pPr>
                          <w:jc w:val="center"/>
                          <w:rPr>
                            <w:rFonts w:hint="eastAsia" w:ascii="宋体" w:hAnsi="宋体" w:eastAsia="宋体" w:cs="宋体"/>
                            <w:b/>
                            <w:bCs/>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5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FA9F">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E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B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8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B2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3AB8">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1AC3">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1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1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5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4D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D178">
                        <w:pPr>
                          <w:jc w:val="left"/>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6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0D00">
                        <w:pPr>
                          <w:jc w:val="right"/>
                          <w:rPr>
                            <w:rFonts w:hint="eastAsia" w:ascii="宋体" w:hAnsi="宋体" w:eastAsia="宋体" w:cs="宋体"/>
                            <w:i w:val="0"/>
                            <w:iCs w:val="0"/>
                            <w:color w:val="000000"/>
                            <w:sz w:val="22"/>
                            <w:szCs w:val="22"/>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A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B7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D6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0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365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1,110.73</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70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0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3E8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1,110.73</w:t>
                        </w:r>
                      </w:p>
                    </w:tc>
                  </w:tr>
                  <w:tr w14:paraId="17A8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2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C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0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B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D7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6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A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6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ED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r>
                  <w:tr w14:paraId="4D29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2DC">
                        <w:pPr>
                          <w:jc w:val="left"/>
                          <w:rPr>
                            <w:rFonts w:hint="eastAsia" w:ascii="宋体" w:hAnsi="宋体" w:eastAsia="宋体" w:cs="宋体"/>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0CC3">
                        <w:pPr>
                          <w:jc w:val="right"/>
                          <w:rPr>
                            <w:rFonts w:hint="eastAsia" w:ascii="宋体" w:hAnsi="宋体" w:eastAsia="宋体" w:cs="宋体"/>
                            <w:i w:val="0"/>
                            <w:iCs w:val="0"/>
                            <w:color w:val="000000"/>
                            <w:sz w:val="20"/>
                            <w:szCs w:val="20"/>
                            <w:u w:val="none"/>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9E3">
                        <w:pPr>
                          <w:jc w:val="lef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5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442B">
                        <w:pPr>
                          <w:jc w:val="left"/>
                          <w:rPr>
                            <w:rFonts w:hint="eastAsia" w:ascii="宋体" w:hAnsi="宋体" w:eastAsia="宋体" w:cs="宋体"/>
                            <w:i w:val="0"/>
                            <w:iCs w:val="0"/>
                            <w:color w:val="000000"/>
                            <w:sz w:val="20"/>
                            <w:szCs w:val="20"/>
                            <w:u w:val="none"/>
                          </w:rPr>
                        </w:pPr>
                      </w:p>
                    </w:tc>
                  </w:tr>
                  <w:tr w14:paraId="5724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3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33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1,110.73</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7F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1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6D4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1,110.73</w:t>
                        </w:r>
                      </w:p>
                    </w:tc>
                  </w:tr>
                </w:tbl>
                <w:p w14:paraId="27A8F602">
                  <w:pPr>
                    <w:keepNext w:val="0"/>
                    <w:keepLines w:val="0"/>
                    <w:widowControl/>
                    <w:suppressLineNumbers w:val="0"/>
                    <w:ind w:left="480" w:hanging="480" w:hangingChars="2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2.本套报表金额单位转换时可能存在尾数误差。</w:t>
                  </w:r>
                </w:p>
              </w:tc>
            </w:tr>
          </w:tbl>
          <w:p w14:paraId="7C916914">
            <w:pPr>
              <w:jc w:val="center"/>
              <w:rPr>
                <w:rFonts w:hint="eastAsia" w:ascii="华文中宋" w:hAnsi="华文中宋" w:eastAsia="华文中宋"/>
                <w:color w:val="000000"/>
                <w:sz w:val="32"/>
                <w:szCs w:val="32"/>
              </w:rPr>
            </w:pPr>
          </w:p>
          <w:p w14:paraId="1A0DA029">
            <w:pPr>
              <w:jc w:val="center"/>
              <w:rPr>
                <w:rFonts w:hint="eastAsia" w:ascii="华文中宋" w:hAnsi="华文中宋" w:eastAsia="华文中宋"/>
                <w:color w:val="000000"/>
                <w:sz w:val="32"/>
                <w:szCs w:val="32"/>
              </w:rPr>
            </w:pPr>
          </w:p>
          <w:p w14:paraId="00922923">
            <w:pPr>
              <w:jc w:val="center"/>
              <w:rPr>
                <w:rFonts w:hint="eastAsia" w:ascii="华文中宋" w:hAnsi="华文中宋" w:eastAsia="华文中宋"/>
                <w:color w:val="000000"/>
                <w:sz w:val="32"/>
                <w:szCs w:val="32"/>
              </w:rPr>
            </w:pPr>
          </w:p>
          <w:p w14:paraId="33D89279">
            <w:pPr>
              <w:jc w:val="center"/>
              <w:rPr>
                <w:rFonts w:hint="eastAsia" w:ascii="华文中宋" w:hAnsi="华文中宋" w:eastAsia="华文中宋"/>
                <w:color w:val="000000"/>
                <w:sz w:val="32"/>
                <w:szCs w:val="32"/>
              </w:rPr>
            </w:pPr>
          </w:p>
          <w:p w14:paraId="6DCAAC22">
            <w:pPr>
              <w:jc w:val="center"/>
              <w:rPr>
                <w:rFonts w:hint="eastAsia" w:ascii="华文中宋" w:hAnsi="华文中宋" w:eastAsia="华文中宋"/>
                <w:color w:val="000000"/>
                <w:sz w:val="32"/>
                <w:szCs w:val="32"/>
              </w:rPr>
            </w:pPr>
          </w:p>
          <w:p w14:paraId="6A60C3C3">
            <w:pPr>
              <w:jc w:val="center"/>
              <w:rPr>
                <w:rFonts w:hint="eastAsia" w:ascii="华文中宋" w:hAnsi="华文中宋" w:eastAsia="华文中宋"/>
                <w:color w:val="000000"/>
                <w:sz w:val="32"/>
                <w:szCs w:val="32"/>
              </w:rPr>
            </w:pPr>
          </w:p>
          <w:p w14:paraId="71A9D4AE">
            <w:pPr>
              <w:jc w:val="center"/>
              <w:rPr>
                <w:rFonts w:hint="eastAsia" w:ascii="华文中宋" w:hAnsi="华文中宋" w:eastAsia="华文中宋"/>
                <w:color w:val="000000"/>
                <w:sz w:val="32"/>
                <w:szCs w:val="32"/>
              </w:rPr>
            </w:pPr>
          </w:p>
          <w:p w14:paraId="500E563D">
            <w:pPr>
              <w:jc w:val="center"/>
              <w:rPr>
                <w:rFonts w:hint="eastAsia" w:ascii="华文中宋" w:hAnsi="华文中宋" w:eastAsia="华文中宋"/>
                <w:color w:val="000000"/>
                <w:sz w:val="32"/>
                <w:szCs w:val="32"/>
              </w:rPr>
            </w:pPr>
          </w:p>
          <w:p w14:paraId="164D9A5B">
            <w:pPr>
              <w:jc w:val="center"/>
              <w:rPr>
                <w:rFonts w:hint="eastAsia" w:ascii="华文中宋" w:hAnsi="华文中宋" w:eastAsia="华文中宋"/>
                <w:color w:val="000000"/>
                <w:sz w:val="32"/>
                <w:szCs w:val="32"/>
              </w:rPr>
            </w:pPr>
          </w:p>
          <w:p w14:paraId="603B71EC">
            <w:pPr>
              <w:jc w:val="center"/>
              <w:rPr>
                <w:rFonts w:hint="eastAsia" w:ascii="华文中宋" w:hAnsi="华文中宋" w:eastAsia="华文中宋"/>
                <w:color w:val="000000"/>
                <w:sz w:val="32"/>
                <w:szCs w:val="32"/>
              </w:rPr>
            </w:pPr>
          </w:p>
          <w:p w14:paraId="6CF75523">
            <w:pPr>
              <w:jc w:val="center"/>
              <w:rPr>
                <w:rFonts w:hint="eastAsia" w:ascii="华文中宋" w:hAnsi="华文中宋" w:eastAsia="华文中宋"/>
                <w:color w:val="000000"/>
                <w:sz w:val="32"/>
                <w:szCs w:val="32"/>
              </w:rPr>
            </w:pPr>
          </w:p>
          <w:p w14:paraId="71C11B0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DAD6019">
        <w:tblPrEx>
          <w:tblCellMar>
            <w:top w:w="0" w:type="dxa"/>
            <w:left w:w="0" w:type="dxa"/>
            <w:bottom w:w="0" w:type="dxa"/>
            <w:right w:w="0" w:type="dxa"/>
          </w:tblCellMar>
        </w:tblPrEx>
        <w:trPr>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14:paraId="1BCFFE2B">
            <w:pPr>
              <w:jc w:val="right"/>
              <w:rPr>
                <w:rFonts w:ascii="宋体" w:hAnsi="宋体" w:eastAsia="宋体" w:cs="宋体"/>
                <w:sz w:val="24"/>
                <w:szCs w:val="24"/>
              </w:rPr>
            </w:pPr>
            <w:r>
              <w:rPr>
                <w:rFonts w:hint="eastAsia"/>
              </w:rPr>
              <w:t>　</w:t>
            </w:r>
          </w:p>
        </w:tc>
        <w:tc>
          <w:tcPr>
            <w:tcW w:w="815" w:type="dxa"/>
            <w:tcBorders>
              <w:top w:val="nil"/>
              <w:left w:val="nil"/>
              <w:bottom w:val="nil"/>
              <w:right w:val="nil"/>
            </w:tcBorders>
            <w:shd w:val="clear" w:color="000000" w:fill="FFFFFF"/>
            <w:noWrap/>
            <w:tcMar>
              <w:top w:w="15" w:type="dxa"/>
              <w:left w:w="15" w:type="dxa"/>
              <w:bottom w:w="0" w:type="dxa"/>
              <w:right w:w="15" w:type="dxa"/>
            </w:tcMar>
            <w:vAlign w:val="center"/>
          </w:tcPr>
          <w:p w14:paraId="448C787B">
            <w:pPr>
              <w:jc w:val="right"/>
              <w:rPr>
                <w:rFonts w:ascii="宋体" w:hAnsi="宋体" w:eastAsia="宋体" w:cs="宋体"/>
                <w:sz w:val="24"/>
                <w:szCs w:val="24"/>
              </w:rPr>
            </w:pPr>
            <w:r>
              <w:rPr>
                <w:rFonts w:hint="eastAsia"/>
              </w:rPr>
              <w:t>　</w:t>
            </w:r>
          </w:p>
        </w:tc>
        <w:tc>
          <w:tcPr>
            <w:tcW w:w="1773" w:type="dxa"/>
            <w:tcBorders>
              <w:top w:val="nil"/>
              <w:left w:val="nil"/>
              <w:bottom w:val="nil"/>
              <w:right w:val="nil"/>
            </w:tcBorders>
            <w:shd w:val="clear" w:color="000000" w:fill="FFFFFF"/>
            <w:noWrap/>
            <w:tcMar>
              <w:top w:w="15" w:type="dxa"/>
              <w:left w:w="15" w:type="dxa"/>
              <w:bottom w:w="0" w:type="dxa"/>
              <w:right w:w="15" w:type="dxa"/>
            </w:tcMar>
            <w:vAlign w:val="center"/>
          </w:tcPr>
          <w:p w14:paraId="5BD66F33">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052929A5">
            <w:pPr>
              <w:jc w:val="right"/>
              <w:rPr>
                <w:rFonts w:ascii="宋体" w:hAnsi="宋体" w:eastAsia="宋体" w:cs="宋体"/>
                <w:sz w:val="24"/>
                <w:szCs w:val="24"/>
              </w:rPr>
            </w:pPr>
            <w:r>
              <w:rPr>
                <w:rFonts w:hint="eastAsia"/>
              </w:rPr>
              <w:t>　</w:t>
            </w:r>
          </w:p>
        </w:tc>
        <w:tc>
          <w:tcPr>
            <w:tcW w:w="1667" w:type="dxa"/>
            <w:tcBorders>
              <w:top w:val="nil"/>
              <w:left w:val="nil"/>
              <w:bottom w:val="nil"/>
              <w:right w:val="nil"/>
            </w:tcBorders>
            <w:shd w:val="clear" w:color="000000" w:fill="FFFFFF"/>
            <w:noWrap/>
            <w:tcMar>
              <w:top w:w="15" w:type="dxa"/>
              <w:left w:w="15" w:type="dxa"/>
              <w:bottom w:w="0" w:type="dxa"/>
              <w:right w:w="15" w:type="dxa"/>
            </w:tcMar>
            <w:vAlign w:val="center"/>
          </w:tcPr>
          <w:p w14:paraId="43719830">
            <w:pPr>
              <w:jc w:val="right"/>
              <w:rPr>
                <w:rFonts w:ascii="宋体" w:hAnsi="宋体" w:eastAsia="宋体" w:cs="宋体"/>
                <w:sz w:val="24"/>
                <w:szCs w:val="24"/>
              </w:rPr>
            </w:pPr>
            <w:r>
              <w:rPr>
                <w:rFonts w:hint="eastAsia"/>
              </w:rPr>
              <w:t>　</w:t>
            </w:r>
          </w:p>
        </w:tc>
        <w:tc>
          <w:tcPr>
            <w:tcW w:w="1706" w:type="dxa"/>
            <w:tcBorders>
              <w:top w:val="nil"/>
              <w:left w:val="nil"/>
              <w:bottom w:val="nil"/>
              <w:right w:val="nil"/>
            </w:tcBorders>
            <w:shd w:val="clear" w:color="000000" w:fill="FFFFFF"/>
            <w:noWrap/>
            <w:tcMar>
              <w:top w:w="15" w:type="dxa"/>
              <w:left w:w="15" w:type="dxa"/>
              <w:bottom w:w="0" w:type="dxa"/>
              <w:right w:w="15" w:type="dxa"/>
            </w:tcMar>
            <w:vAlign w:val="center"/>
          </w:tcPr>
          <w:p w14:paraId="2419F26E">
            <w:pPr>
              <w:jc w:val="right"/>
              <w:rPr>
                <w:rFonts w:ascii="宋体" w:hAnsi="宋体" w:eastAsia="宋体" w:cs="宋体"/>
                <w:sz w:val="24"/>
                <w:szCs w:val="24"/>
              </w:rPr>
            </w:pPr>
            <w:r>
              <w:rPr>
                <w:rFonts w:hint="eastAsia"/>
              </w:rPr>
              <w:t>　</w:t>
            </w:r>
          </w:p>
        </w:tc>
        <w:tc>
          <w:tcPr>
            <w:tcW w:w="1787" w:type="dxa"/>
            <w:tcBorders>
              <w:top w:val="nil"/>
              <w:left w:val="nil"/>
              <w:bottom w:val="nil"/>
              <w:right w:val="nil"/>
            </w:tcBorders>
            <w:shd w:val="clear" w:color="000000" w:fill="FFFFFF"/>
            <w:noWrap/>
            <w:tcMar>
              <w:top w:w="15" w:type="dxa"/>
              <w:left w:w="15" w:type="dxa"/>
              <w:bottom w:w="0" w:type="dxa"/>
              <w:right w:w="15" w:type="dxa"/>
            </w:tcMar>
            <w:vAlign w:val="center"/>
          </w:tcPr>
          <w:p w14:paraId="129E5E6A">
            <w:pPr>
              <w:jc w:val="right"/>
              <w:rPr>
                <w:rFonts w:ascii="宋体" w:hAnsi="宋体" w:eastAsia="宋体" w:cs="宋体"/>
                <w:sz w:val="24"/>
                <w:szCs w:val="24"/>
              </w:rPr>
            </w:pPr>
            <w:r>
              <w:rPr>
                <w:rFonts w:hint="eastAsia"/>
              </w:rPr>
              <w:t>　</w:t>
            </w:r>
          </w:p>
        </w:tc>
        <w:tc>
          <w:tcPr>
            <w:tcW w:w="1907" w:type="dxa"/>
            <w:tcBorders>
              <w:top w:val="nil"/>
              <w:left w:val="nil"/>
              <w:bottom w:val="nil"/>
              <w:right w:val="nil"/>
            </w:tcBorders>
            <w:shd w:val="clear" w:color="000000" w:fill="FFFFFF"/>
            <w:noWrap/>
            <w:tcMar>
              <w:top w:w="15" w:type="dxa"/>
              <w:left w:w="15" w:type="dxa"/>
              <w:bottom w:w="0" w:type="dxa"/>
              <w:right w:w="15" w:type="dxa"/>
            </w:tcMar>
            <w:vAlign w:val="center"/>
          </w:tcPr>
          <w:p w14:paraId="752F741A">
            <w:pPr>
              <w:jc w:val="right"/>
              <w:rPr>
                <w:rFonts w:ascii="宋体" w:hAnsi="宋体" w:eastAsia="宋体" w:cs="宋体"/>
                <w:sz w:val="24"/>
                <w:szCs w:val="24"/>
              </w:rPr>
            </w:pPr>
            <w:r>
              <w:rPr>
                <w:rFonts w:hint="eastAsia"/>
              </w:rPr>
              <w:t>　</w:t>
            </w:r>
          </w:p>
        </w:tc>
        <w:tc>
          <w:tcPr>
            <w:tcW w:w="1866" w:type="dxa"/>
            <w:tcBorders>
              <w:top w:val="nil"/>
              <w:left w:val="nil"/>
              <w:bottom w:val="nil"/>
              <w:right w:val="nil"/>
            </w:tcBorders>
            <w:shd w:val="clear" w:color="000000" w:fill="FFFFFF"/>
            <w:noWrap/>
            <w:tcMar>
              <w:top w:w="15" w:type="dxa"/>
              <w:left w:w="15" w:type="dxa"/>
              <w:bottom w:w="0" w:type="dxa"/>
              <w:right w:w="15" w:type="dxa"/>
            </w:tcMar>
            <w:vAlign w:val="center"/>
          </w:tcPr>
          <w:p w14:paraId="56E2A461">
            <w:pPr>
              <w:jc w:val="right"/>
              <w:rPr>
                <w:rFonts w:ascii="宋体" w:hAnsi="宋体" w:eastAsia="宋体" w:cs="宋体"/>
                <w:sz w:val="24"/>
                <w:szCs w:val="24"/>
              </w:rPr>
            </w:pPr>
            <w:r>
              <w:rPr>
                <w:rFonts w:hint="eastAsia"/>
              </w:rPr>
              <w:t>　</w:t>
            </w:r>
          </w:p>
        </w:tc>
        <w:tc>
          <w:tcPr>
            <w:tcW w:w="2041" w:type="dxa"/>
            <w:tcBorders>
              <w:top w:val="nil"/>
              <w:left w:val="nil"/>
              <w:bottom w:val="nil"/>
              <w:right w:val="nil"/>
            </w:tcBorders>
            <w:shd w:val="clear" w:color="000000" w:fill="FFFFFF"/>
            <w:noWrap/>
            <w:tcMar>
              <w:top w:w="15" w:type="dxa"/>
              <w:left w:w="15" w:type="dxa"/>
              <w:bottom w:w="0" w:type="dxa"/>
              <w:right w:w="15" w:type="dxa"/>
            </w:tcMar>
            <w:vAlign w:val="center"/>
          </w:tcPr>
          <w:p w14:paraId="7227ED54">
            <w:pPr>
              <w:jc w:val="right"/>
              <w:rPr>
                <w:rFonts w:ascii="宋体" w:hAnsi="宋体" w:eastAsia="宋体" w:cs="宋体"/>
                <w:color w:val="000000"/>
                <w:sz w:val="20"/>
                <w:szCs w:val="20"/>
              </w:rPr>
            </w:pPr>
            <w:r>
              <w:rPr>
                <w:rFonts w:hint="eastAsia"/>
                <w:color w:val="000000"/>
                <w:sz w:val="20"/>
                <w:szCs w:val="20"/>
              </w:rPr>
              <w:t>公开02表</w:t>
            </w:r>
          </w:p>
        </w:tc>
      </w:tr>
      <w:tr w14:paraId="2EE0FB02">
        <w:tblPrEx>
          <w:tblCellMar>
            <w:top w:w="0" w:type="dxa"/>
            <w:left w:w="0" w:type="dxa"/>
            <w:bottom w:w="0" w:type="dxa"/>
            <w:right w:w="0" w:type="dxa"/>
          </w:tblCellMar>
        </w:tblPrEx>
        <w:trPr>
          <w:trHeight w:val="452" w:hRule="atLeast"/>
        </w:trPr>
        <w:tc>
          <w:tcPr>
            <w:tcW w:w="4454"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16815088">
            <w:pPr>
              <w:jc w:val="left"/>
              <w:rPr>
                <w:rFonts w:ascii="宋体" w:hAnsi="宋体" w:eastAsia="宋体" w:cs="宋体"/>
                <w:sz w:val="24"/>
                <w:szCs w:val="24"/>
              </w:rPr>
            </w:pPr>
            <w:r>
              <w:rPr>
                <w:rFonts w:hint="eastAsia"/>
                <w:color w:val="000000"/>
                <w:sz w:val="20"/>
                <w:szCs w:val="20"/>
              </w:rPr>
              <w:t>部门：益阳市大通湖区应急管理局</w:t>
            </w:r>
            <w:r>
              <w:rPr>
                <w:rFonts w:hint="eastAsia"/>
              </w:rPr>
              <w:t>　　</w:t>
            </w:r>
          </w:p>
        </w:tc>
        <w:tc>
          <w:tcPr>
            <w:tcW w:w="1667" w:type="dxa"/>
            <w:tcBorders>
              <w:top w:val="nil"/>
              <w:left w:val="nil"/>
              <w:bottom w:val="nil"/>
              <w:right w:val="nil"/>
            </w:tcBorders>
            <w:shd w:val="clear" w:color="000000" w:fill="FFFFFF"/>
            <w:noWrap/>
            <w:tcMar>
              <w:top w:w="15" w:type="dxa"/>
              <w:left w:w="15" w:type="dxa"/>
              <w:bottom w:w="0" w:type="dxa"/>
              <w:right w:w="15" w:type="dxa"/>
            </w:tcMar>
            <w:vAlign w:val="center"/>
          </w:tcPr>
          <w:p w14:paraId="1CB034CA">
            <w:pPr>
              <w:jc w:val="right"/>
              <w:rPr>
                <w:rFonts w:ascii="宋体" w:hAnsi="宋体" w:eastAsia="宋体" w:cs="宋体"/>
                <w:sz w:val="24"/>
                <w:szCs w:val="24"/>
              </w:rPr>
            </w:pPr>
            <w:r>
              <w:rPr>
                <w:rFonts w:hint="eastAsia"/>
              </w:rPr>
              <w:t>　</w:t>
            </w:r>
          </w:p>
        </w:tc>
        <w:tc>
          <w:tcPr>
            <w:tcW w:w="1706" w:type="dxa"/>
            <w:tcBorders>
              <w:top w:val="nil"/>
              <w:left w:val="nil"/>
              <w:bottom w:val="nil"/>
              <w:right w:val="nil"/>
            </w:tcBorders>
            <w:shd w:val="clear" w:color="000000" w:fill="FFFFFF"/>
            <w:noWrap/>
            <w:tcMar>
              <w:top w:w="15" w:type="dxa"/>
              <w:left w:w="15" w:type="dxa"/>
              <w:bottom w:w="0" w:type="dxa"/>
              <w:right w:w="15" w:type="dxa"/>
            </w:tcMar>
            <w:vAlign w:val="center"/>
          </w:tcPr>
          <w:p w14:paraId="34EF3366">
            <w:pPr>
              <w:jc w:val="center"/>
              <w:rPr>
                <w:rFonts w:ascii="宋体" w:hAnsi="宋体" w:eastAsia="宋体" w:cs="宋体"/>
                <w:color w:val="000000"/>
                <w:sz w:val="20"/>
                <w:szCs w:val="20"/>
              </w:rPr>
            </w:pPr>
            <w:r>
              <w:rPr>
                <w:rFonts w:hint="eastAsia"/>
                <w:color w:val="000000"/>
                <w:sz w:val="20"/>
                <w:szCs w:val="20"/>
              </w:rPr>
              <w:t>　</w:t>
            </w:r>
          </w:p>
        </w:tc>
        <w:tc>
          <w:tcPr>
            <w:tcW w:w="1787" w:type="dxa"/>
            <w:tcBorders>
              <w:top w:val="nil"/>
              <w:left w:val="nil"/>
              <w:bottom w:val="nil"/>
              <w:right w:val="nil"/>
            </w:tcBorders>
            <w:shd w:val="clear" w:color="000000" w:fill="FFFFFF"/>
            <w:noWrap/>
            <w:tcMar>
              <w:top w:w="15" w:type="dxa"/>
              <w:left w:w="15" w:type="dxa"/>
              <w:bottom w:w="0" w:type="dxa"/>
              <w:right w:w="15" w:type="dxa"/>
            </w:tcMar>
            <w:vAlign w:val="center"/>
          </w:tcPr>
          <w:p w14:paraId="0785E9B8">
            <w:pPr>
              <w:jc w:val="right"/>
              <w:rPr>
                <w:rFonts w:ascii="宋体" w:hAnsi="宋体" w:eastAsia="宋体" w:cs="宋体"/>
                <w:sz w:val="24"/>
                <w:szCs w:val="24"/>
              </w:rPr>
            </w:pPr>
            <w:r>
              <w:rPr>
                <w:rFonts w:hint="eastAsia"/>
              </w:rPr>
              <w:t>　</w:t>
            </w:r>
          </w:p>
        </w:tc>
        <w:tc>
          <w:tcPr>
            <w:tcW w:w="1907" w:type="dxa"/>
            <w:tcBorders>
              <w:top w:val="nil"/>
              <w:left w:val="nil"/>
              <w:bottom w:val="nil"/>
              <w:right w:val="nil"/>
            </w:tcBorders>
            <w:shd w:val="clear" w:color="000000" w:fill="FFFFFF"/>
            <w:noWrap/>
            <w:tcMar>
              <w:top w:w="15" w:type="dxa"/>
              <w:left w:w="15" w:type="dxa"/>
              <w:bottom w:w="0" w:type="dxa"/>
              <w:right w:w="15" w:type="dxa"/>
            </w:tcMar>
            <w:vAlign w:val="center"/>
          </w:tcPr>
          <w:p w14:paraId="3B79F01C">
            <w:pPr>
              <w:jc w:val="right"/>
              <w:rPr>
                <w:rFonts w:ascii="宋体" w:hAnsi="宋体" w:eastAsia="宋体" w:cs="宋体"/>
                <w:sz w:val="24"/>
                <w:szCs w:val="24"/>
              </w:rPr>
            </w:pPr>
            <w:r>
              <w:rPr>
                <w:rFonts w:hint="eastAsia"/>
              </w:rPr>
              <w:t>　</w:t>
            </w:r>
          </w:p>
        </w:tc>
        <w:tc>
          <w:tcPr>
            <w:tcW w:w="1866" w:type="dxa"/>
            <w:tcBorders>
              <w:top w:val="nil"/>
              <w:left w:val="nil"/>
              <w:bottom w:val="nil"/>
              <w:right w:val="nil"/>
            </w:tcBorders>
            <w:shd w:val="clear" w:color="000000" w:fill="FFFFFF"/>
            <w:noWrap/>
            <w:tcMar>
              <w:top w:w="15" w:type="dxa"/>
              <w:left w:w="15" w:type="dxa"/>
              <w:bottom w:w="0" w:type="dxa"/>
              <w:right w:w="15" w:type="dxa"/>
            </w:tcMar>
            <w:vAlign w:val="center"/>
          </w:tcPr>
          <w:p w14:paraId="0B9F5AC4">
            <w:pPr>
              <w:jc w:val="right"/>
              <w:rPr>
                <w:rFonts w:ascii="宋体" w:hAnsi="宋体" w:eastAsia="宋体" w:cs="宋体"/>
                <w:sz w:val="24"/>
                <w:szCs w:val="24"/>
              </w:rPr>
            </w:pPr>
            <w:r>
              <w:rPr>
                <w:rFonts w:hint="eastAsia"/>
              </w:rPr>
              <w:t>　</w:t>
            </w:r>
          </w:p>
        </w:tc>
        <w:tc>
          <w:tcPr>
            <w:tcW w:w="2041" w:type="dxa"/>
            <w:tcBorders>
              <w:top w:val="nil"/>
              <w:left w:val="nil"/>
              <w:bottom w:val="nil"/>
              <w:right w:val="nil"/>
            </w:tcBorders>
            <w:shd w:val="clear" w:color="000000" w:fill="FFFFFF"/>
            <w:noWrap/>
            <w:tcMar>
              <w:top w:w="15" w:type="dxa"/>
              <w:left w:w="15" w:type="dxa"/>
              <w:bottom w:w="0" w:type="dxa"/>
              <w:right w:w="15" w:type="dxa"/>
            </w:tcMar>
            <w:vAlign w:val="center"/>
          </w:tcPr>
          <w:p w14:paraId="3DA05C7E">
            <w:pPr>
              <w:jc w:val="right"/>
              <w:rPr>
                <w:rFonts w:ascii="宋体" w:hAnsi="宋体" w:eastAsia="宋体" w:cs="宋体"/>
                <w:color w:val="000000"/>
                <w:sz w:val="20"/>
                <w:szCs w:val="20"/>
              </w:rPr>
            </w:pPr>
            <w:r>
              <w:rPr>
                <w:rFonts w:hint="eastAsia"/>
                <w:color w:val="000000"/>
                <w:sz w:val="20"/>
                <w:szCs w:val="20"/>
              </w:rPr>
              <w:t>单位：万元</w:t>
            </w:r>
          </w:p>
        </w:tc>
      </w:tr>
      <w:tr w14:paraId="4C9781F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13"/>
              <w:tblW w:w="15297"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9"/>
              <w:gridCol w:w="1000"/>
              <w:gridCol w:w="874"/>
              <w:gridCol w:w="3248"/>
              <w:gridCol w:w="1411"/>
              <w:gridCol w:w="1374"/>
              <w:gridCol w:w="1400"/>
              <w:gridCol w:w="1293"/>
              <w:gridCol w:w="1280"/>
              <w:gridCol w:w="1200"/>
              <w:gridCol w:w="1038"/>
            </w:tblGrid>
            <w:tr w14:paraId="5F9D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D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F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31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38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2C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48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26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1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05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D91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3F3E">
                  <w:pPr>
                    <w:jc w:val="center"/>
                    <w:rPr>
                      <w:rFonts w:hint="eastAsia" w:ascii="宋体" w:hAnsi="宋体" w:eastAsia="宋体" w:cs="宋体"/>
                      <w:i w:val="0"/>
                      <w:iCs w:val="0"/>
                      <w:color w:val="000000"/>
                      <w:sz w:val="22"/>
                      <w:szCs w:val="22"/>
                      <w:u w:val="none"/>
                    </w:rPr>
                  </w:pPr>
                </w:p>
              </w:tc>
              <w:tc>
                <w:tcPr>
                  <w:tcW w:w="3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CD3">
                  <w:pPr>
                    <w:jc w:val="center"/>
                    <w:rPr>
                      <w:rFonts w:hint="eastAsia" w:ascii="宋体" w:hAnsi="宋体" w:eastAsia="宋体" w:cs="宋体"/>
                      <w:i w:val="0"/>
                      <w:iCs w:val="0"/>
                      <w:color w:val="000000"/>
                      <w:sz w:val="22"/>
                      <w:szCs w:val="22"/>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1AB2">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E723">
                  <w:pPr>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2E47">
                  <w:pPr>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03E2">
                  <w:pPr>
                    <w:jc w:val="center"/>
                    <w:rPr>
                      <w:rFonts w:hint="eastAsia" w:ascii="宋体" w:hAnsi="宋体" w:eastAsia="宋体" w:cs="宋体"/>
                      <w:i w:val="0"/>
                      <w:iCs w:val="0"/>
                      <w:color w:val="000000"/>
                      <w:sz w:val="22"/>
                      <w:szCs w:val="22"/>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DA6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BD4B">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90BF">
                  <w:pPr>
                    <w:jc w:val="center"/>
                    <w:rPr>
                      <w:rFonts w:hint="eastAsia" w:ascii="宋体" w:hAnsi="宋体" w:eastAsia="宋体" w:cs="宋体"/>
                      <w:i w:val="0"/>
                      <w:iCs w:val="0"/>
                      <w:color w:val="000000"/>
                      <w:sz w:val="22"/>
                      <w:szCs w:val="22"/>
                      <w:u w:val="none"/>
                    </w:rPr>
                  </w:pPr>
                </w:p>
              </w:tc>
            </w:tr>
            <w:tr w14:paraId="1E1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1778">
                  <w:pPr>
                    <w:jc w:val="center"/>
                    <w:rPr>
                      <w:rFonts w:hint="eastAsia" w:ascii="宋体" w:hAnsi="宋体" w:eastAsia="宋体" w:cs="宋体"/>
                      <w:i w:val="0"/>
                      <w:iCs w:val="0"/>
                      <w:color w:val="000000"/>
                      <w:sz w:val="22"/>
                      <w:szCs w:val="22"/>
                      <w:u w:val="none"/>
                    </w:rPr>
                  </w:pPr>
                </w:p>
              </w:tc>
              <w:tc>
                <w:tcPr>
                  <w:tcW w:w="3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DD54">
                  <w:pPr>
                    <w:jc w:val="center"/>
                    <w:rPr>
                      <w:rFonts w:hint="eastAsia" w:ascii="宋体" w:hAnsi="宋体" w:eastAsia="宋体" w:cs="宋体"/>
                      <w:i w:val="0"/>
                      <w:iCs w:val="0"/>
                      <w:color w:val="000000"/>
                      <w:sz w:val="22"/>
                      <w:szCs w:val="22"/>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D673">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4E40">
                  <w:pPr>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1B5B">
                  <w:pPr>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4F2C">
                  <w:pPr>
                    <w:jc w:val="center"/>
                    <w:rPr>
                      <w:rFonts w:hint="eastAsia" w:ascii="宋体" w:hAnsi="宋体" w:eastAsia="宋体" w:cs="宋体"/>
                      <w:i w:val="0"/>
                      <w:iCs w:val="0"/>
                      <w:color w:val="000000"/>
                      <w:sz w:val="22"/>
                      <w:szCs w:val="22"/>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6FD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96D0">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F336">
                  <w:pPr>
                    <w:jc w:val="center"/>
                    <w:rPr>
                      <w:rFonts w:hint="eastAsia" w:ascii="宋体" w:hAnsi="宋体" w:eastAsia="宋体" w:cs="宋体"/>
                      <w:i w:val="0"/>
                      <w:iCs w:val="0"/>
                      <w:color w:val="000000"/>
                      <w:sz w:val="22"/>
                      <w:szCs w:val="22"/>
                      <w:u w:val="none"/>
                    </w:rPr>
                  </w:pPr>
                </w:p>
              </w:tc>
            </w:tr>
            <w:tr w14:paraId="5784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B2BF">
                  <w:pPr>
                    <w:jc w:val="center"/>
                    <w:rPr>
                      <w:rFonts w:hint="eastAsia" w:ascii="宋体" w:hAnsi="宋体" w:eastAsia="宋体" w:cs="宋体"/>
                      <w:i w:val="0"/>
                      <w:iCs w:val="0"/>
                      <w:color w:val="000000"/>
                      <w:sz w:val="22"/>
                      <w:szCs w:val="22"/>
                      <w:u w:val="none"/>
                    </w:rPr>
                  </w:pPr>
                </w:p>
              </w:tc>
              <w:tc>
                <w:tcPr>
                  <w:tcW w:w="32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A48A">
                  <w:pPr>
                    <w:jc w:val="center"/>
                    <w:rPr>
                      <w:rFonts w:hint="eastAsia" w:ascii="宋体" w:hAnsi="宋体" w:eastAsia="宋体" w:cs="宋体"/>
                      <w:i w:val="0"/>
                      <w:iCs w:val="0"/>
                      <w:color w:val="000000"/>
                      <w:sz w:val="22"/>
                      <w:szCs w:val="22"/>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748D">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7B30">
                  <w:pPr>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0AED">
                  <w:pPr>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1168">
                  <w:pPr>
                    <w:jc w:val="center"/>
                    <w:rPr>
                      <w:rFonts w:hint="eastAsia" w:ascii="宋体" w:hAnsi="宋体" w:eastAsia="宋体" w:cs="宋体"/>
                      <w:i w:val="0"/>
                      <w:iCs w:val="0"/>
                      <w:color w:val="000000"/>
                      <w:sz w:val="22"/>
                      <w:szCs w:val="22"/>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716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D9F4">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AED6">
                  <w:pPr>
                    <w:jc w:val="center"/>
                    <w:rPr>
                      <w:rFonts w:hint="eastAsia" w:ascii="宋体" w:hAnsi="宋体" w:eastAsia="宋体" w:cs="宋体"/>
                      <w:i w:val="0"/>
                      <w:iCs w:val="0"/>
                      <w:color w:val="000000"/>
                      <w:sz w:val="22"/>
                      <w:szCs w:val="22"/>
                      <w:u w:val="none"/>
                    </w:rPr>
                  </w:pPr>
                </w:p>
              </w:tc>
            </w:tr>
            <w:tr w14:paraId="14A3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D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F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D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8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B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B6B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81FD">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20D5">
                  <w:pPr>
                    <w:jc w:val="center"/>
                    <w:rPr>
                      <w:rFonts w:hint="eastAsia" w:ascii="宋体" w:hAnsi="宋体" w:eastAsia="宋体" w:cs="宋体"/>
                      <w:i w:val="0"/>
                      <w:iCs w:val="0"/>
                      <w:color w:val="000000"/>
                      <w:sz w:val="22"/>
                      <w:szCs w:val="22"/>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2ADB">
                  <w:pPr>
                    <w:jc w:val="center"/>
                    <w:rPr>
                      <w:rFonts w:hint="eastAsia" w:ascii="宋体" w:hAnsi="宋体" w:eastAsia="宋体" w:cs="宋体"/>
                      <w:i w:val="0"/>
                      <w:iCs w:val="0"/>
                      <w:color w:val="000000"/>
                      <w:sz w:val="22"/>
                      <w:szCs w:val="22"/>
                      <w:u w:val="none"/>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7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2B8A">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1,110.73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1C61">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1,102.48</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3DF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27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E6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9A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61C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8.26</w:t>
                  </w:r>
                </w:p>
              </w:tc>
            </w:tr>
            <w:tr w14:paraId="04D5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7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F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6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5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A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2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8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E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E3B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39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5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E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7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D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3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8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164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41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4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C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1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C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8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D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D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C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C3A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0C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5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E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3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E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2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9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F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E1D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B1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B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F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0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8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3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0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C2E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A3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7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A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3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9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C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7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C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B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6CD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1A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F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2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2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0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D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5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4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4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D31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04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F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2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8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9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4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F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9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EA9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E8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6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E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5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A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E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F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D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8AE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3A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C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7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A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8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6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B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6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9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FFC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32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C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8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1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D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AE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9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7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1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DB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69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19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66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公务员医疗补助</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38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99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9F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4D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FE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FE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3807">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B6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0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E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0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B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D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A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1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963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5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B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D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9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C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2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D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1CB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31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E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D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1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F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D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0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6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8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AE9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62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27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56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7C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E4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8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F5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2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44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CA54">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FAE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01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22005</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08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气象事务</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B0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65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93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D4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99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A9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D7D5">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CFE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5F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2200599</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94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其他气象事务支出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21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5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47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3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33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11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8A03">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0B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D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B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5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C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6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4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3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3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0AC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5B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2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2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D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4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7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5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9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4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FC2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C9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A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9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2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2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4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A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2C7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2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0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5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F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893.61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9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885.36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6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F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C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3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r>
            <w:tr w14:paraId="6D62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A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8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1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702.41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3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2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E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8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4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r>
            <w:tr w14:paraId="2E69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5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6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B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9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148.07</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B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5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A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7E6F">
                  <w:pPr>
                    <w:jc w:val="righ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0CC0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3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A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C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2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4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125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28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9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10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F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2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E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1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D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900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A5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5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8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3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543.44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2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535.19</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F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9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2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D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6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r>
            <w:tr w14:paraId="6D5E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1E1C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32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AF6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4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571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3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203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4FD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3EC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6CC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487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18926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56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881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2240201</w:t>
                  </w:r>
                </w:p>
              </w:tc>
              <w:tc>
                <w:tcPr>
                  <w:tcW w:w="3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01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8C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3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F2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49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6A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A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30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85B1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FC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902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w:t>
                  </w:r>
                </w:p>
              </w:tc>
              <w:tc>
                <w:tcPr>
                  <w:tcW w:w="3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AD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地震事务</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F7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3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29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D3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93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8D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90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FA57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FC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50B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2240504</w:t>
                  </w:r>
                </w:p>
              </w:tc>
              <w:tc>
                <w:tcPr>
                  <w:tcW w:w="3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22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地震监测</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B7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C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D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BD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26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F3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9AAD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23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4B3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3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C5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2F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3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05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A7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21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46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01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0882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BF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3BC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3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D1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AD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03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99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A5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D5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54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1F56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9D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A0CB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32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C49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2C5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13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E69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98B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694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3B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924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DB33C">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14:paraId="1A2503F2">
            <w:pPr>
              <w:ind w:firstLine="210" w:firstLineChars="100"/>
              <w:rPr>
                <w:rFonts w:ascii="宋体" w:hAnsi="宋体" w:eastAsia="宋体" w:cs="宋体"/>
                <w:sz w:val="24"/>
                <w:szCs w:val="24"/>
              </w:rPr>
            </w:pPr>
            <w:r>
              <w:rPr>
                <w:rFonts w:hint="eastAsia"/>
              </w:rPr>
              <w:t>注：本表反映部门本年度取得的各项收入情况。</w:t>
            </w:r>
          </w:p>
        </w:tc>
      </w:tr>
    </w:tbl>
    <w:p w14:paraId="7FA9377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57B65D76">
      <w:pPr>
        <w:pStyle w:val="2"/>
        <w:rPr>
          <w:rFonts w:ascii="Times New Roman" w:hAnsi="Times New Roman" w:eastAsia="黑体" w:cs="Times New Roman"/>
          <w:bCs/>
          <w:kern w:val="0"/>
          <w:sz w:val="32"/>
          <w:szCs w:val="32"/>
        </w:rPr>
      </w:pPr>
    </w:p>
    <w:p w14:paraId="48F1C9BF">
      <w:pPr>
        <w:rPr>
          <w:rFonts w:ascii="Times New Roman" w:hAnsi="Times New Roman" w:eastAsia="黑体" w:cs="Times New Roman"/>
          <w:bCs/>
          <w:kern w:val="0"/>
          <w:sz w:val="32"/>
          <w:szCs w:val="32"/>
        </w:rPr>
      </w:pPr>
    </w:p>
    <w:p w14:paraId="1782608C">
      <w:pPr>
        <w:pStyle w:val="2"/>
        <w:rPr>
          <w:rFonts w:ascii="Times New Roman" w:hAnsi="Times New Roman" w:eastAsia="黑体" w:cs="Times New Roman"/>
          <w:bCs/>
          <w:kern w:val="0"/>
          <w:sz w:val="32"/>
          <w:szCs w:val="32"/>
        </w:rPr>
      </w:pPr>
    </w:p>
    <w:p w14:paraId="2B5C109B">
      <w:pPr>
        <w:rPr>
          <w:rFonts w:ascii="Times New Roman" w:hAnsi="Times New Roman" w:eastAsia="黑体" w:cs="Times New Roman"/>
          <w:bCs/>
          <w:kern w:val="0"/>
          <w:sz w:val="32"/>
          <w:szCs w:val="32"/>
        </w:rPr>
      </w:pPr>
    </w:p>
    <w:p w14:paraId="437B2FF8">
      <w:pPr>
        <w:pStyle w:val="2"/>
        <w:rPr>
          <w:rFonts w:ascii="Times New Roman" w:hAnsi="Times New Roman" w:eastAsia="黑体" w:cs="Times New Roman"/>
          <w:bCs/>
          <w:kern w:val="0"/>
          <w:sz w:val="32"/>
          <w:szCs w:val="32"/>
        </w:rPr>
      </w:pPr>
    </w:p>
    <w:p w14:paraId="5F6E7BD5"/>
    <w:p w14:paraId="70BB8162">
      <w:pPr>
        <w:widowControl/>
        <w:jc w:val="left"/>
        <w:rPr>
          <w:rFonts w:ascii="Times New Roman" w:hAnsi="Times New Roman" w:eastAsia="黑体" w:cs="Times New Roman"/>
          <w:bCs/>
          <w:kern w:val="0"/>
          <w:sz w:val="32"/>
          <w:szCs w:val="32"/>
        </w:rPr>
      </w:pPr>
    </w:p>
    <w:p w14:paraId="2416FF1D">
      <w:pPr>
        <w:widowControl/>
        <w:jc w:val="left"/>
        <w:rPr>
          <w:rFonts w:ascii="Times New Roman" w:hAnsi="Times New Roman" w:eastAsia="黑体" w:cs="Times New Roman"/>
          <w:bCs/>
          <w:kern w:val="0"/>
          <w:sz w:val="32"/>
          <w:szCs w:val="32"/>
        </w:rPr>
      </w:pPr>
    </w:p>
    <w:tbl>
      <w:tblPr>
        <w:tblStyle w:val="13"/>
        <w:tblW w:w="15121" w:type="dxa"/>
        <w:tblInd w:w="93" w:type="dxa"/>
        <w:tblLayout w:type="fixed"/>
        <w:tblCellMar>
          <w:top w:w="0" w:type="dxa"/>
          <w:left w:w="108" w:type="dxa"/>
          <w:bottom w:w="0" w:type="dxa"/>
          <w:right w:w="108" w:type="dxa"/>
        </w:tblCellMar>
      </w:tblPr>
      <w:tblGrid>
        <w:gridCol w:w="1641"/>
        <w:gridCol w:w="240"/>
        <w:gridCol w:w="3680"/>
        <w:gridCol w:w="1386"/>
        <w:gridCol w:w="1574"/>
        <w:gridCol w:w="1653"/>
        <w:gridCol w:w="1627"/>
        <w:gridCol w:w="1680"/>
        <w:gridCol w:w="1640"/>
      </w:tblGrid>
      <w:tr w14:paraId="61DB70A3">
        <w:tblPrEx>
          <w:tblCellMar>
            <w:top w:w="0" w:type="dxa"/>
            <w:left w:w="108" w:type="dxa"/>
            <w:bottom w:w="0" w:type="dxa"/>
            <w:right w:w="108" w:type="dxa"/>
          </w:tblCellMar>
        </w:tblPrEx>
        <w:trPr>
          <w:trHeight w:val="801" w:hRule="atLeast"/>
        </w:trPr>
        <w:tc>
          <w:tcPr>
            <w:tcW w:w="15121" w:type="dxa"/>
            <w:gridSpan w:val="9"/>
            <w:tcBorders>
              <w:top w:val="nil"/>
              <w:left w:val="nil"/>
              <w:bottom w:val="nil"/>
              <w:right w:val="nil"/>
            </w:tcBorders>
            <w:shd w:val="clear" w:color="auto" w:fill="auto"/>
            <w:noWrap/>
            <w:vAlign w:val="center"/>
          </w:tcPr>
          <w:p w14:paraId="6D1587D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641FD36">
        <w:tblPrEx>
          <w:tblCellMar>
            <w:top w:w="0" w:type="dxa"/>
            <w:left w:w="108" w:type="dxa"/>
            <w:bottom w:w="0" w:type="dxa"/>
            <w:right w:w="108" w:type="dxa"/>
          </w:tblCellMar>
        </w:tblPrEx>
        <w:trPr>
          <w:trHeight w:val="400" w:hRule="atLeast"/>
        </w:trPr>
        <w:tc>
          <w:tcPr>
            <w:tcW w:w="1641" w:type="dxa"/>
            <w:tcBorders>
              <w:top w:val="nil"/>
              <w:left w:val="nil"/>
              <w:bottom w:val="nil"/>
              <w:right w:val="nil"/>
            </w:tcBorders>
            <w:shd w:val="clear" w:color="000000" w:fill="FFFFFF"/>
            <w:noWrap/>
            <w:vAlign w:val="center"/>
          </w:tcPr>
          <w:p w14:paraId="2C61AB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59546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80" w:type="dxa"/>
            <w:tcBorders>
              <w:top w:val="nil"/>
              <w:left w:val="nil"/>
              <w:bottom w:val="nil"/>
              <w:right w:val="nil"/>
            </w:tcBorders>
            <w:shd w:val="clear" w:color="000000" w:fill="FFFFFF"/>
            <w:noWrap/>
            <w:vAlign w:val="center"/>
          </w:tcPr>
          <w:p w14:paraId="6853F2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6" w:type="dxa"/>
            <w:tcBorders>
              <w:top w:val="nil"/>
              <w:left w:val="nil"/>
              <w:bottom w:val="nil"/>
              <w:right w:val="nil"/>
            </w:tcBorders>
            <w:shd w:val="clear" w:color="000000" w:fill="FFFFFF"/>
            <w:noWrap/>
            <w:vAlign w:val="center"/>
          </w:tcPr>
          <w:p w14:paraId="14A884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14:paraId="497582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3" w:type="dxa"/>
            <w:tcBorders>
              <w:top w:val="nil"/>
              <w:left w:val="nil"/>
              <w:bottom w:val="nil"/>
              <w:right w:val="nil"/>
            </w:tcBorders>
            <w:shd w:val="clear" w:color="000000" w:fill="FFFFFF"/>
            <w:noWrap/>
            <w:vAlign w:val="center"/>
          </w:tcPr>
          <w:p w14:paraId="64C820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7" w:type="dxa"/>
            <w:tcBorders>
              <w:top w:val="nil"/>
              <w:left w:val="nil"/>
              <w:bottom w:val="nil"/>
              <w:right w:val="nil"/>
            </w:tcBorders>
            <w:shd w:val="clear" w:color="000000" w:fill="FFFFFF"/>
            <w:noWrap/>
            <w:vAlign w:val="center"/>
          </w:tcPr>
          <w:p w14:paraId="11B39D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5F9A37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0" w:type="dxa"/>
            <w:tcBorders>
              <w:top w:val="nil"/>
              <w:left w:val="nil"/>
              <w:bottom w:val="nil"/>
              <w:right w:val="nil"/>
            </w:tcBorders>
            <w:shd w:val="clear" w:color="000000" w:fill="FFFFFF"/>
            <w:noWrap/>
            <w:vAlign w:val="center"/>
          </w:tcPr>
          <w:p w14:paraId="485E393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F6866DC">
        <w:tblPrEx>
          <w:tblCellMar>
            <w:top w:w="0" w:type="dxa"/>
            <w:left w:w="108" w:type="dxa"/>
            <w:bottom w:w="0" w:type="dxa"/>
            <w:right w:w="108" w:type="dxa"/>
          </w:tblCellMar>
        </w:tblPrEx>
        <w:trPr>
          <w:trHeight w:val="400" w:hRule="atLeast"/>
        </w:trPr>
        <w:tc>
          <w:tcPr>
            <w:tcW w:w="5561" w:type="dxa"/>
            <w:gridSpan w:val="3"/>
            <w:tcBorders>
              <w:top w:val="nil"/>
              <w:left w:val="nil"/>
              <w:bottom w:val="nil"/>
              <w:right w:val="nil"/>
            </w:tcBorders>
            <w:shd w:val="clear" w:color="000000" w:fill="FFFFFF"/>
            <w:noWrap/>
            <w:vAlign w:val="center"/>
          </w:tcPr>
          <w:p w14:paraId="07FF4AA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部门：益阳市大通湖区应急管理局</w:t>
            </w:r>
            <w:r>
              <w:rPr>
                <w:rFonts w:hint="eastAsia" w:ascii="宋体" w:hAnsi="宋体" w:eastAsia="宋体" w:cs="宋体"/>
                <w:kern w:val="0"/>
                <w:sz w:val="24"/>
                <w:szCs w:val="24"/>
              </w:rPr>
              <w:t>　　</w:t>
            </w:r>
          </w:p>
        </w:tc>
        <w:tc>
          <w:tcPr>
            <w:tcW w:w="1386" w:type="dxa"/>
            <w:tcBorders>
              <w:top w:val="nil"/>
              <w:left w:val="nil"/>
              <w:bottom w:val="nil"/>
              <w:right w:val="nil"/>
            </w:tcBorders>
            <w:shd w:val="clear" w:color="000000" w:fill="FFFFFF"/>
            <w:noWrap/>
            <w:vAlign w:val="center"/>
          </w:tcPr>
          <w:p w14:paraId="3748A1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14:paraId="5DC0A8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3" w:type="dxa"/>
            <w:tcBorders>
              <w:top w:val="nil"/>
              <w:left w:val="nil"/>
              <w:bottom w:val="nil"/>
              <w:right w:val="nil"/>
            </w:tcBorders>
            <w:shd w:val="clear" w:color="000000" w:fill="FFFFFF"/>
            <w:noWrap/>
            <w:vAlign w:val="center"/>
          </w:tcPr>
          <w:p w14:paraId="52F7F1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7" w:type="dxa"/>
            <w:tcBorders>
              <w:top w:val="nil"/>
              <w:left w:val="nil"/>
              <w:bottom w:val="nil"/>
              <w:right w:val="nil"/>
            </w:tcBorders>
            <w:shd w:val="clear" w:color="000000" w:fill="FFFFFF"/>
            <w:noWrap/>
            <w:vAlign w:val="center"/>
          </w:tcPr>
          <w:p w14:paraId="663F70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7A1490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0" w:type="dxa"/>
            <w:tcBorders>
              <w:top w:val="nil"/>
              <w:left w:val="nil"/>
              <w:bottom w:val="nil"/>
              <w:right w:val="nil"/>
            </w:tcBorders>
            <w:shd w:val="clear" w:color="000000" w:fill="FFFFFF"/>
            <w:noWrap/>
            <w:vAlign w:val="center"/>
          </w:tcPr>
          <w:p w14:paraId="04F2DF5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127A0C0">
        <w:tblPrEx>
          <w:tblCellMar>
            <w:top w:w="0" w:type="dxa"/>
            <w:left w:w="108" w:type="dxa"/>
            <w:bottom w:w="0" w:type="dxa"/>
            <w:right w:w="108" w:type="dxa"/>
          </w:tblCellMar>
        </w:tblPrEx>
        <w:trPr>
          <w:trHeight w:val="5121" w:hRule="atLeast"/>
        </w:trPr>
        <w:tc>
          <w:tcPr>
            <w:tcW w:w="15121" w:type="dxa"/>
            <w:gridSpan w:val="9"/>
            <w:tcBorders>
              <w:top w:val="nil"/>
              <w:left w:val="nil"/>
              <w:bottom w:val="nil"/>
              <w:right w:val="nil"/>
            </w:tcBorders>
            <w:shd w:val="clear" w:color="auto" w:fill="auto"/>
            <w:vAlign w:val="center"/>
          </w:tcPr>
          <w:tbl>
            <w:tblPr>
              <w:tblStyle w:val="13"/>
              <w:tblW w:w="14804"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774"/>
              <w:gridCol w:w="927"/>
              <w:gridCol w:w="3242"/>
              <w:gridCol w:w="1617"/>
              <w:gridCol w:w="1401"/>
              <w:gridCol w:w="1516"/>
              <w:gridCol w:w="1516"/>
              <w:gridCol w:w="1516"/>
              <w:gridCol w:w="1516"/>
            </w:tblGrid>
            <w:tr w14:paraId="2B22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C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F1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DF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F6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EB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25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6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682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212">
                  <w:pPr>
                    <w:jc w:val="center"/>
                    <w:rPr>
                      <w:rFonts w:hint="eastAsia" w:ascii="宋体" w:hAnsi="宋体" w:eastAsia="宋体" w:cs="宋体"/>
                      <w:i w:val="0"/>
                      <w:iCs w:val="0"/>
                      <w:color w:val="000000"/>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4973">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D335">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2B52">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DD82">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9D40">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00C4">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EB7ED">
                  <w:pPr>
                    <w:jc w:val="center"/>
                    <w:rPr>
                      <w:rFonts w:hint="eastAsia" w:ascii="宋体" w:hAnsi="宋体" w:eastAsia="宋体" w:cs="宋体"/>
                      <w:i w:val="0"/>
                      <w:iCs w:val="0"/>
                      <w:color w:val="000000"/>
                      <w:sz w:val="22"/>
                      <w:szCs w:val="22"/>
                      <w:u w:val="none"/>
                    </w:rPr>
                  </w:pPr>
                </w:p>
              </w:tc>
            </w:tr>
            <w:tr w14:paraId="1405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3F21">
                  <w:pPr>
                    <w:jc w:val="center"/>
                    <w:rPr>
                      <w:rFonts w:hint="eastAsia" w:ascii="宋体" w:hAnsi="宋体" w:eastAsia="宋体" w:cs="宋体"/>
                      <w:i w:val="0"/>
                      <w:iCs w:val="0"/>
                      <w:color w:val="000000"/>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8181">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04F8">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9EE0">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77AF">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346F">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045D0">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0EEF">
                  <w:pPr>
                    <w:jc w:val="center"/>
                    <w:rPr>
                      <w:rFonts w:hint="eastAsia" w:ascii="宋体" w:hAnsi="宋体" w:eastAsia="宋体" w:cs="宋体"/>
                      <w:i w:val="0"/>
                      <w:iCs w:val="0"/>
                      <w:color w:val="000000"/>
                      <w:sz w:val="22"/>
                      <w:szCs w:val="22"/>
                      <w:u w:val="none"/>
                    </w:rPr>
                  </w:pPr>
                </w:p>
              </w:tc>
            </w:tr>
            <w:tr w14:paraId="4DEE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459B">
                  <w:pPr>
                    <w:jc w:val="center"/>
                    <w:rPr>
                      <w:rFonts w:hint="eastAsia" w:ascii="宋体" w:hAnsi="宋体" w:eastAsia="宋体" w:cs="宋体"/>
                      <w:i w:val="0"/>
                      <w:iCs w:val="0"/>
                      <w:color w:val="000000"/>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8B63">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9F891">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A5E2C">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E9BD">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78AD">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9B79">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1CED">
                  <w:pPr>
                    <w:jc w:val="center"/>
                    <w:rPr>
                      <w:rFonts w:hint="eastAsia" w:ascii="宋体" w:hAnsi="宋体" w:eastAsia="宋体" w:cs="宋体"/>
                      <w:i w:val="0"/>
                      <w:iCs w:val="0"/>
                      <w:color w:val="000000"/>
                      <w:sz w:val="22"/>
                      <w:szCs w:val="22"/>
                      <w:u w:val="none"/>
                    </w:rPr>
                  </w:pPr>
                </w:p>
              </w:tc>
            </w:tr>
            <w:tr w14:paraId="5CC0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3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1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B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3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5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5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732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153F">
                  <w:pPr>
                    <w:jc w:val="center"/>
                    <w:rPr>
                      <w:rFonts w:hint="eastAsia" w:ascii="宋体" w:hAnsi="宋体" w:eastAsia="宋体" w:cs="宋体"/>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9B41">
                  <w:pPr>
                    <w:jc w:val="center"/>
                    <w:rPr>
                      <w:rFonts w:hint="eastAsia" w:ascii="宋体" w:hAnsi="宋体" w:eastAsia="宋体" w:cs="宋体"/>
                      <w:i w:val="0"/>
                      <w:iCs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A68C">
                  <w:pPr>
                    <w:jc w:val="center"/>
                    <w:rPr>
                      <w:rFonts w:hint="eastAsia" w:ascii="宋体" w:hAnsi="宋体" w:eastAsia="宋体" w:cs="宋体"/>
                      <w:i w:val="0"/>
                      <w:iCs w:val="0"/>
                      <w:color w:val="000000"/>
                      <w:sz w:val="22"/>
                      <w:szCs w:val="22"/>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D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D2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1,110.73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45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281.18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08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829.56</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57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7C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26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F58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A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7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9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E7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3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1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C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2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23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A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2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C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552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9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1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4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0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97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A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4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D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42A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D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C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E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3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68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9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F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8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5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E9A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2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B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B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8C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2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E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2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F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9B6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2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A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1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D9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3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E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5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E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25B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F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F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B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F8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E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5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3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6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43D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6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4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D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66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1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2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5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0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5BA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9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C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E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1E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E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E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8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F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D51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1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F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0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E4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D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B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7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4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CBE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7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D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8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0D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A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0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6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53D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6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C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04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C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7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D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C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521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E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0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8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BE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3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0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F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D39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B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6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7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54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3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7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A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FFD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D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D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1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B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F7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8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3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6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FC3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6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9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8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9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45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9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8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A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208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7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3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8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0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8A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6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B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气象事务</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D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DCC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7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B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6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A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7E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0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2200599</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F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其他气象事务支出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D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C2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3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9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6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D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5B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3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C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E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A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A4E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0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E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3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97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4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B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8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FE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5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F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EE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8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4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F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2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F4F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8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F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D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48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F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8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9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893.61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F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2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666.84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5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5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9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4A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A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A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7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702.41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81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226.28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6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476.14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F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4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CA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A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6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A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C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374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B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4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0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C3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5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C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7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8DE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F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2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7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9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9C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D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F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194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D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0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A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CD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04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B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F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E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543.44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F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5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465.24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0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E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7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6F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E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A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7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883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8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2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6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F4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3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2240201</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7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C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BC1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4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C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4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48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0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7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地震事务</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1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3EC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A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1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3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F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CE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3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2240504</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0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地震监测</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E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410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B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D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1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1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A9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C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D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B3B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9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3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E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F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0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5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F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195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C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9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C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A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68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7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0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C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E99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8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B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F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9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243B5AE3">
            <w:pPr>
              <w:widowControl/>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D0C7967">
      <w:pPr>
        <w:widowControl/>
        <w:jc w:val="both"/>
        <w:rPr>
          <w:rFonts w:ascii="Times New Roman" w:hAnsi="Times New Roman" w:eastAsia="方正小标宋_GBK" w:cs="Times New Roman"/>
          <w:color w:val="000000"/>
          <w:kern w:val="0"/>
          <w:sz w:val="36"/>
          <w:szCs w:val="21"/>
        </w:rPr>
      </w:pPr>
    </w:p>
    <w:p w14:paraId="794EDF99">
      <w:pPr>
        <w:widowControl/>
        <w:jc w:val="both"/>
        <w:rPr>
          <w:rFonts w:ascii="Times New Roman" w:hAnsi="Times New Roman" w:eastAsia="方正小标宋_GBK" w:cs="Times New Roman"/>
          <w:color w:val="000000"/>
          <w:kern w:val="0"/>
          <w:sz w:val="36"/>
          <w:szCs w:val="21"/>
        </w:rPr>
      </w:pPr>
    </w:p>
    <w:p w14:paraId="06DC543F">
      <w:pPr>
        <w:widowControl/>
        <w:jc w:val="both"/>
        <w:rPr>
          <w:rFonts w:ascii="Times New Roman" w:hAnsi="Times New Roman" w:eastAsia="方正小标宋_GBK" w:cs="Times New Roman"/>
          <w:color w:val="000000"/>
          <w:kern w:val="0"/>
          <w:sz w:val="36"/>
          <w:szCs w:val="21"/>
        </w:rPr>
      </w:pPr>
    </w:p>
    <w:p w14:paraId="3660771A">
      <w:pPr>
        <w:pStyle w:val="2"/>
        <w:rPr>
          <w:rFonts w:ascii="Times New Roman" w:hAnsi="Times New Roman" w:eastAsia="方正小标宋_GBK" w:cs="Times New Roman"/>
          <w:color w:val="000000"/>
          <w:kern w:val="0"/>
          <w:sz w:val="36"/>
          <w:szCs w:val="21"/>
        </w:rPr>
      </w:pPr>
    </w:p>
    <w:p w14:paraId="7DC9D2C5">
      <w:pPr>
        <w:rPr>
          <w:rFonts w:ascii="Times New Roman" w:hAnsi="Times New Roman" w:eastAsia="方正小标宋_GBK" w:cs="Times New Roman"/>
          <w:color w:val="000000"/>
          <w:kern w:val="0"/>
          <w:sz w:val="36"/>
          <w:szCs w:val="21"/>
        </w:rPr>
      </w:pPr>
    </w:p>
    <w:p w14:paraId="3AF7E3F2">
      <w:pPr>
        <w:rPr>
          <w:rFonts w:ascii="Times New Roman" w:hAnsi="Times New Roman" w:eastAsia="方正小标宋_GBK" w:cs="Times New Roman"/>
          <w:color w:val="000000"/>
          <w:kern w:val="0"/>
          <w:sz w:val="36"/>
          <w:szCs w:val="21"/>
        </w:rPr>
      </w:pPr>
    </w:p>
    <w:p w14:paraId="3EDD3834">
      <w:pPr>
        <w:pStyle w:val="2"/>
      </w:pPr>
    </w:p>
    <w:tbl>
      <w:tblPr>
        <w:tblStyle w:val="13"/>
        <w:tblW w:w="14748" w:type="dxa"/>
        <w:tblInd w:w="458" w:type="dxa"/>
        <w:tblLayout w:type="fixed"/>
        <w:tblCellMar>
          <w:top w:w="0" w:type="dxa"/>
          <w:left w:w="108" w:type="dxa"/>
          <w:bottom w:w="0" w:type="dxa"/>
          <w:right w:w="108" w:type="dxa"/>
        </w:tblCellMar>
      </w:tblPr>
      <w:tblGrid>
        <w:gridCol w:w="2283"/>
        <w:gridCol w:w="576"/>
        <w:gridCol w:w="988"/>
        <w:gridCol w:w="402"/>
        <w:gridCol w:w="2901"/>
        <w:gridCol w:w="377"/>
        <w:gridCol w:w="1298"/>
        <w:gridCol w:w="1153"/>
        <w:gridCol w:w="1153"/>
        <w:gridCol w:w="3617"/>
      </w:tblGrid>
      <w:tr w14:paraId="36E25FEF">
        <w:tblPrEx>
          <w:tblCellMar>
            <w:top w:w="0" w:type="dxa"/>
            <w:left w:w="108" w:type="dxa"/>
            <w:bottom w:w="0" w:type="dxa"/>
            <w:right w:w="108" w:type="dxa"/>
          </w:tblCellMar>
        </w:tblPrEx>
        <w:trPr>
          <w:trHeight w:val="294" w:hRule="atLeast"/>
        </w:trPr>
        <w:tc>
          <w:tcPr>
            <w:tcW w:w="2283" w:type="dxa"/>
            <w:tcBorders>
              <w:top w:val="nil"/>
              <w:left w:val="nil"/>
              <w:bottom w:val="nil"/>
              <w:right w:val="nil"/>
            </w:tcBorders>
            <w:shd w:val="clear" w:color="auto" w:fill="auto"/>
            <w:noWrap/>
            <w:vAlign w:val="center"/>
          </w:tcPr>
          <w:p w14:paraId="4F0763CA">
            <w:pPr>
              <w:widowControl/>
              <w:jc w:val="left"/>
              <w:rPr>
                <w:rFonts w:ascii="黑体" w:hAnsi="黑体" w:eastAsia="黑体" w:cs="宋体"/>
                <w:kern w:val="0"/>
                <w:sz w:val="24"/>
                <w:szCs w:val="24"/>
              </w:rPr>
            </w:pPr>
            <w:bookmarkStart w:id="0" w:name="RANGE!A1:I22"/>
            <w:bookmarkEnd w:id="0"/>
            <w:bookmarkStart w:id="1" w:name="RANGE!A1:F16"/>
          </w:p>
        </w:tc>
        <w:tc>
          <w:tcPr>
            <w:tcW w:w="576" w:type="dxa"/>
            <w:tcBorders>
              <w:top w:val="nil"/>
              <w:left w:val="nil"/>
              <w:bottom w:val="nil"/>
              <w:right w:val="nil"/>
            </w:tcBorders>
            <w:shd w:val="clear" w:color="auto" w:fill="auto"/>
            <w:noWrap/>
            <w:vAlign w:val="center"/>
          </w:tcPr>
          <w:p w14:paraId="2838A6F9">
            <w:pPr>
              <w:widowControl/>
              <w:jc w:val="right"/>
              <w:rPr>
                <w:rFonts w:ascii="宋体" w:hAnsi="宋体" w:eastAsia="宋体" w:cs="宋体"/>
                <w:kern w:val="0"/>
                <w:sz w:val="24"/>
                <w:szCs w:val="24"/>
              </w:rPr>
            </w:pPr>
          </w:p>
        </w:tc>
        <w:tc>
          <w:tcPr>
            <w:tcW w:w="1390" w:type="dxa"/>
            <w:gridSpan w:val="2"/>
            <w:tcBorders>
              <w:top w:val="nil"/>
              <w:left w:val="nil"/>
              <w:bottom w:val="nil"/>
              <w:right w:val="nil"/>
            </w:tcBorders>
            <w:shd w:val="clear" w:color="auto" w:fill="auto"/>
            <w:noWrap/>
            <w:vAlign w:val="center"/>
          </w:tcPr>
          <w:p w14:paraId="5FE45CDB">
            <w:pPr>
              <w:widowControl/>
              <w:jc w:val="right"/>
              <w:rPr>
                <w:rFonts w:ascii="宋体" w:hAnsi="宋体" w:eastAsia="宋体" w:cs="宋体"/>
                <w:kern w:val="0"/>
                <w:sz w:val="24"/>
                <w:szCs w:val="24"/>
              </w:rPr>
            </w:pPr>
          </w:p>
        </w:tc>
        <w:tc>
          <w:tcPr>
            <w:tcW w:w="2901" w:type="dxa"/>
            <w:tcBorders>
              <w:top w:val="nil"/>
              <w:left w:val="nil"/>
              <w:bottom w:val="nil"/>
              <w:right w:val="nil"/>
            </w:tcBorders>
            <w:shd w:val="clear" w:color="auto" w:fill="auto"/>
            <w:noWrap/>
            <w:vAlign w:val="center"/>
          </w:tcPr>
          <w:p w14:paraId="7CBBBE02">
            <w:pPr>
              <w:widowControl/>
              <w:jc w:val="right"/>
              <w:rPr>
                <w:rFonts w:ascii="宋体" w:hAnsi="宋体" w:eastAsia="宋体" w:cs="宋体"/>
                <w:kern w:val="0"/>
                <w:sz w:val="24"/>
                <w:szCs w:val="24"/>
              </w:rPr>
            </w:pPr>
          </w:p>
        </w:tc>
        <w:tc>
          <w:tcPr>
            <w:tcW w:w="377" w:type="dxa"/>
            <w:tcBorders>
              <w:top w:val="nil"/>
              <w:left w:val="nil"/>
              <w:bottom w:val="nil"/>
              <w:right w:val="nil"/>
            </w:tcBorders>
            <w:shd w:val="clear" w:color="auto" w:fill="auto"/>
            <w:noWrap/>
            <w:vAlign w:val="center"/>
          </w:tcPr>
          <w:p w14:paraId="6DB5FA8A">
            <w:pPr>
              <w:widowControl/>
              <w:jc w:val="right"/>
              <w:rPr>
                <w:rFonts w:ascii="宋体" w:hAnsi="宋体" w:eastAsia="宋体" w:cs="宋体"/>
                <w:kern w:val="0"/>
                <w:sz w:val="24"/>
                <w:szCs w:val="24"/>
              </w:rPr>
            </w:pPr>
          </w:p>
        </w:tc>
        <w:tc>
          <w:tcPr>
            <w:tcW w:w="1298" w:type="dxa"/>
            <w:tcBorders>
              <w:top w:val="nil"/>
              <w:left w:val="nil"/>
              <w:bottom w:val="nil"/>
              <w:right w:val="nil"/>
            </w:tcBorders>
            <w:shd w:val="clear" w:color="auto" w:fill="auto"/>
            <w:noWrap/>
            <w:vAlign w:val="center"/>
          </w:tcPr>
          <w:p w14:paraId="1BE3F015">
            <w:pPr>
              <w:widowControl/>
              <w:jc w:val="right"/>
              <w:rPr>
                <w:rFonts w:ascii="宋体" w:hAnsi="宋体" w:eastAsia="宋体" w:cs="宋体"/>
                <w:kern w:val="0"/>
                <w:sz w:val="24"/>
                <w:szCs w:val="24"/>
              </w:rPr>
            </w:pPr>
          </w:p>
        </w:tc>
        <w:tc>
          <w:tcPr>
            <w:tcW w:w="1153" w:type="dxa"/>
            <w:tcBorders>
              <w:top w:val="nil"/>
              <w:left w:val="nil"/>
              <w:bottom w:val="nil"/>
              <w:right w:val="nil"/>
            </w:tcBorders>
            <w:shd w:val="clear" w:color="auto" w:fill="auto"/>
            <w:noWrap/>
            <w:vAlign w:val="center"/>
          </w:tcPr>
          <w:p w14:paraId="4432638B">
            <w:pPr>
              <w:widowControl/>
              <w:jc w:val="right"/>
              <w:rPr>
                <w:rFonts w:ascii="宋体" w:hAnsi="宋体" w:eastAsia="宋体" w:cs="宋体"/>
                <w:kern w:val="0"/>
                <w:sz w:val="24"/>
                <w:szCs w:val="24"/>
              </w:rPr>
            </w:pPr>
          </w:p>
        </w:tc>
        <w:tc>
          <w:tcPr>
            <w:tcW w:w="1153" w:type="dxa"/>
            <w:tcBorders>
              <w:top w:val="nil"/>
              <w:left w:val="nil"/>
              <w:bottom w:val="nil"/>
              <w:right w:val="nil"/>
            </w:tcBorders>
            <w:shd w:val="clear" w:color="auto" w:fill="auto"/>
            <w:noWrap/>
            <w:vAlign w:val="center"/>
          </w:tcPr>
          <w:p w14:paraId="5C0072D1">
            <w:pPr>
              <w:widowControl/>
              <w:jc w:val="right"/>
              <w:rPr>
                <w:rFonts w:ascii="宋体" w:hAnsi="宋体" w:eastAsia="宋体" w:cs="宋体"/>
                <w:kern w:val="0"/>
                <w:sz w:val="24"/>
                <w:szCs w:val="24"/>
              </w:rPr>
            </w:pPr>
          </w:p>
        </w:tc>
        <w:tc>
          <w:tcPr>
            <w:tcW w:w="3617" w:type="dxa"/>
            <w:tcBorders>
              <w:top w:val="nil"/>
              <w:left w:val="nil"/>
              <w:bottom w:val="nil"/>
              <w:right w:val="nil"/>
            </w:tcBorders>
            <w:shd w:val="clear" w:color="auto" w:fill="auto"/>
            <w:noWrap/>
            <w:vAlign w:val="center"/>
          </w:tcPr>
          <w:p w14:paraId="001B07B3">
            <w:pPr>
              <w:widowControl/>
              <w:jc w:val="right"/>
              <w:rPr>
                <w:rFonts w:ascii="宋体" w:hAnsi="宋体" w:eastAsia="宋体" w:cs="宋体"/>
                <w:kern w:val="0"/>
                <w:sz w:val="24"/>
                <w:szCs w:val="24"/>
              </w:rPr>
            </w:pPr>
          </w:p>
        </w:tc>
      </w:tr>
      <w:tr w14:paraId="6A408897">
        <w:tblPrEx>
          <w:tblCellMar>
            <w:top w:w="0" w:type="dxa"/>
            <w:left w:w="108" w:type="dxa"/>
            <w:bottom w:w="0" w:type="dxa"/>
            <w:right w:w="108" w:type="dxa"/>
          </w:tblCellMar>
        </w:tblPrEx>
        <w:trPr>
          <w:trHeight w:val="587" w:hRule="atLeast"/>
        </w:trPr>
        <w:tc>
          <w:tcPr>
            <w:tcW w:w="14748" w:type="dxa"/>
            <w:gridSpan w:val="10"/>
            <w:tcBorders>
              <w:top w:val="nil"/>
              <w:left w:val="nil"/>
              <w:bottom w:val="nil"/>
              <w:right w:val="nil"/>
            </w:tcBorders>
            <w:shd w:val="clear" w:color="auto" w:fill="auto"/>
            <w:noWrap/>
            <w:vAlign w:val="center"/>
          </w:tcPr>
          <w:p w14:paraId="5122E0C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7C9A79C">
        <w:tblPrEx>
          <w:tblCellMar>
            <w:top w:w="0" w:type="dxa"/>
            <w:left w:w="108" w:type="dxa"/>
            <w:bottom w:w="0" w:type="dxa"/>
            <w:right w:w="108" w:type="dxa"/>
          </w:tblCellMar>
        </w:tblPrEx>
        <w:trPr>
          <w:trHeight w:val="528" w:hRule="atLeast"/>
        </w:trPr>
        <w:tc>
          <w:tcPr>
            <w:tcW w:w="3847" w:type="dxa"/>
            <w:gridSpan w:val="3"/>
            <w:tcBorders>
              <w:top w:val="nil"/>
              <w:left w:val="nil"/>
              <w:bottom w:val="nil"/>
              <w:right w:val="nil"/>
            </w:tcBorders>
            <w:shd w:val="clear" w:color="000000" w:fill="FFFFFF"/>
            <w:noWrap/>
            <w:vAlign w:val="center"/>
          </w:tcPr>
          <w:p w14:paraId="22832E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016381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3A9170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303" w:type="dxa"/>
            <w:gridSpan w:val="2"/>
            <w:tcBorders>
              <w:top w:val="nil"/>
              <w:left w:val="nil"/>
              <w:bottom w:val="nil"/>
              <w:right w:val="nil"/>
            </w:tcBorders>
            <w:shd w:val="clear" w:color="000000" w:fill="FFFFFF"/>
            <w:noWrap/>
            <w:vAlign w:val="center"/>
          </w:tcPr>
          <w:p w14:paraId="4D3E415B">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377" w:type="dxa"/>
            <w:tcBorders>
              <w:top w:val="nil"/>
              <w:left w:val="nil"/>
              <w:bottom w:val="nil"/>
              <w:right w:val="nil"/>
            </w:tcBorders>
            <w:shd w:val="clear" w:color="000000" w:fill="FFFFFF"/>
            <w:noWrap/>
            <w:vAlign w:val="center"/>
          </w:tcPr>
          <w:p w14:paraId="0943F7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8" w:type="dxa"/>
            <w:tcBorders>
              <w:top w:val="nil"/>
              <w:left w:val="nil"/>
              <w:bottom w:val="nil"/>
              <w:right w:val="nil"/>
            </w:tcBorders>
            <w:shd w:val="clear" w:color="000000" w:fill="FFFFFF"/>
            <w:noWrap/>
            <w:vAlign w:val="center"/>
          </w:tcPr>
          <w:p w14:paraId="4AC865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3" w:type="dxa"/>
            <w:tcBorders>
              <w:top w:val="nil"/>
              <w:left w:val="nil"/>
              <w:bottom w:val="nil"/>
              <w:right w:val="nil"/>
            </w:tcBorders>
            <w:shd w:val="clear" w:color="000000" w:fill="FFFFFF"/>
            <w:noWrap/>
            <w:vAlign w:val="center"/>
          </w:tcPr>
          <w:p w14:paraId="292406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3" w:type="dxa"/>
            <w:tcBorders>
              <w:top w:val="nil"/>
              <w:left w:val="nil"/>
              <w:bottom w:val="nil"/>
              <w:right w:val="nil"/>
            </w:tcBorders>
            <w:shd w:val="clear" w:color="000000" w:fill="FFFFFF"/>
            <w:noWrap/>
            <w:vAlign w:val="center"/>
          </w:tcPr>
          <w:p w14:paraId="351759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17" w:type="dxa"/>
            <w:tcBorders>
              <w:top w:val="nil"/>
              <w:left w:val="nil"/>
              <w:bottom w:val="nil"/>
              <w:right w:val="nil"/>
            </w:tcBorders>
            <w:shd w:val="clear" w:color="000000" w:fill="FFFFFF"/>
            <w:noWrap/>
            <w:vAlign w:val="center"/>
          </w:tcPr>
          <w:p w14:paraId="570B0CE9">
            <w:pPr>
              <w:widowControl/>
              <w:jc w:val="right"/>
              <w:rPr>
                <w:rFonts w:hint="eastAsia" w:ascii="宋体" w:hAnsi="宋体" w:eastAsia="宋体" w:cs="宋体"/>
                <w:color w:val="000000"/>
                <w:kern w:val="0"/>
                <w:sz w:val="20"/>
                <w:szCs w:val="20"/>
              </w:rPr>
            </w:pPr>
          </w:p>
          <w:p w14:paraId="3518E60F">
            <w:pPr>
              <w:widowControl/>
              <w:jc w:val="right"/>
              <w:rPr>
                <w:rFonts w:hint="eastAsia" w:ascii="宋体" w:hAnsi="宋体" w:eastAsia="宋体" w:cs="宋体"/>
                <w:color w:val="000000"/>
                <w:kern w:val="0"/>
                <w:sz w:val="20"/>
                <w:szCs w:val="20"/>
              </w:rPr>
            </w:pPr>
          </w:p>
          <w:p w14:paraId="4B7D94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公开04表</w:t>
            </w:r>
          </w:p>
        </w:tc>
      </w:tr>
      <w:tr w14:paraId="142B62DC">
        <w:tblPrEx>
          <w:tblCellMar>
            <w:top w:w="0" w:type="dxa"/>
            <w:left w:w="108" w:type="dxa"/>
            <w:bottom w:w="0" w:type="dxa"/>
            <w:right w:w="108" w:type="dxa"/>
          </w:tblCellMar>
        </w:tblPrEx>
        <w:trPr>
          <w:trHeight w:val="587" w:hRule="atLeast"/>
        </w:trPr>
        <w:tc>
          <w:tcPr>
            <w:tcW w:w="3847" w:type="dxa"/>
            <w:gridSpan w:val="3"/>
            <w:tcBorders>
              <w:top w:val="nil"/>
              <w:left w:val="nil"/>
              <w:bottom w:val="nil"/>
              <w:right w:val="nil"/>
            </w:tcBorders>
            <w:shd w:val="clear" w:color="000000" w:fill="FFFFFF"/>
            <w:noWrap/>
            <w:vAlign w:val="center"/>
          </w:tcPr>
          <w:p w14:paraId="5852C803">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部门：益阳市大通湖区应急管理局</w:t>
            </w:r>
            <w:r>
              <w:rPr>
                <w:rFonts w:hint="eastAsia" w:ascii="宋体" w:hAnsi="宋体" w:eastAsia="宋体" w:cs="宋体"/>
                <w:kern w:val="0"/>
                <w:sz w:val="24"/>
                <w:szCs w:val="24"/>
              </w:rPr>
              <w:t>　　</w:t>
            </w:r>
          </w:p>
        </w:tc>
        <w:tc>
          <w:tcPr>
            <w:tcW w:w="3303" w:type="dxa"/>
            <w:gridSpan w:val="2"/>
            <w:tcBorders>
              <w:top w:val="nil"/>
              <w:left w:val="nil"/>
              <w:bottom w:val="nil"/>
              <w:right w:val="nil"/>
            </w:tcBorders>
            <w:shd w:val="clear" w:color="000000" w:fill="FFFFFF"/>
            <w:noWrap/>
            <w:vAlign w:val="center"/>
          </w:tcPr>
          <w:p w14:paraId="460138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7" w:type="dxa"/>
            <w:tcBorders>
              <w:top w:val="nil"/>
              <w:left w:val="nil"/>
              <w:bottom w:val="nil"/>
              <w:right w:val="nil"/>
            </w:tcBorders>
            <w:shd w:val="clear" w:color="000000" w:fill="FFFFFF"/>
            <w:noWrap/>
            <w:vAlign w:val="center"/>
          </w:tcPr>
          <w:p w14:paraId="47CA42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8" w:type="dxa"/>
            <w:tcBorders>
              <w:top w:val="nil"/>
              <w:left w:val="nil"/>
              <w:bottom w:val="nil"/>
              <w:right w:val="nil"/>
            </w:tcBorders>
            <w:shd w:val="clear" w:color="000000" w:fill="FFFFFF"/>
            <w:noWrap/>
            <w:vAlign w:val="center"/>
          </w:tcPr>
          <w:p w14:paraId="747D94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3" w:type="dxa"/>
            <w:tcBorders>
              <w:top w:val="nil"/>
              <w:left w:val="nil"/>
              <w:bottom w:val="nil"/>
              <w:right w:val="nil"/>
            </w:tcBorders>
            <w:shd w:val="clear" w:color="000000" w:fill="FFFFFF"/>
            <w:noWrap/>
            <w:vAlign w:val="center"/>
          </w:tcPr>
          <w:p w14:paraId="2D7E2E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3" w:type="dxa"/>
            <w:tcBorders>
              <w:top w:val="nil"/>
              <w:left w:val="nil"/>
              <w:bottom w:val="nil"/>
              <w:right w:val="nil"/>
            </w:tcBorders>
            <w:shd w:val="clear" w:color="000000" w:fill="FFFFFF"/>
            <w:noWrap/>
            <w:vAlign w:val="center"/>
          </w:tcPr>
          <w:p w14:paraId="435695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17" w:type="dxa"/>
            <w:tcBorders>
              <w:top w:val="nil"/>
              <w:left w:val="nil"/>
              <w:bottom w:val="nil"/>
              <w:right w:val="nil"/>
            </w:tcBorders>
            <w:shd w:val="clear" w:color="000000" w:fill="FFFFFF"/>
            <w:noWrap/>
            <w:vAlign w:val="center"/>
          </w:tcPr>
          <w:p w14:paraId="57537F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p>
        </w:tc>
      </w:tr>
      <w:tr w14:paraId="0AB41CC1">
        <w:tblPrEx>
          <w:tblCellMar>
            <w:top w:w="0" w:type="dxa"/>
            <w:left w:w="108" w:type="dxa"/>
            <w:bottom w:w="0" w:type="dxa"/>
            <w:right w:w="108" w:type="dxa"/>
          </w:tblCellMar>
        </w:tblPrEx>
        <w:trPr>
          <w:trHeight w:val="7805" w:hRule="atLeast"/>
        </w:trPr>
        <w:tc>
          <w:tcPr>
            <w:tcW w:w="14748" w:type="dxa"/>
            <w:gridSpan w:val="10"/>
            <w:tcBorders>
              <w:top w:val="nil"/>
              <w:left w:val="nil"/>
              <w:bottom w:val="nil"/>
              <w:right w:val="nil"/>
            </w:tcBorders>
            <w:shd w:val="clear" w:color="auto" w:fill="auto"/>
            <w:vAlign w:val="center"/>
          </w:tcPr>
          <w:tbl>
            <w:tblPr>
              <w:tblStyle w:val="13"/>
              <w:tblW w:w="1444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03"/>
              <w:gridCol w:w="1080"/>
              <w:gridCol w:w="1260"/>
              <w:gridCol w:w="2952"/>
              <w:gridCol w:w="1080"/>
              <w:gridCol w:w="1104"/>
              <w:gridCol w:w="1452"/>
              <w:gridCol w:w="1356"/>
              <w:gridCol w:w="1356"/>
            </w:tblGrid>
            <w:tr w14:paraId="51F4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C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1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491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E4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8C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A0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9C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84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4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0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95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08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9DD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E506">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5E8D">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8F85">
                  <w:pPr>
                    <w:jc w:val="center"/>
                    <w:rPr>
                      <w:rFonts w:hint="eastAsia" w:ascii="宋体" w:hAnsi="宋体" w:eastAsia="宋体" w:cs="宋体"/>
                      <w:i w:val="0"/>
                      <w:iCs w:val="0"/>
                      <w:color w:val="000000"/>
                      <w:sz w:val="22"/>
                      <w:szCs w:val="22"/>
                      <w:u w:val="none"/>
                    </w:rPr>
                  </w:pPr>
                </w:p>
              </w:tc>
              <w:tc>
                <w:tcPr>
                  <w:tcW w:w="2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0C6B">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41F1">
                  <w:pPr>
                    <w:jc w:val="center"/>
                    <w:rPr>
                      <w:rFonts w:hint="eastAsia" w:ascii="宋体" w:hAnsi="宋体" w:eastAsia="宋体" w:cs="宋体"/>
                      <w:i w:val="0"/>
                      <w:iCs w:val="0"/>
                      <w:color w:val="000000"/>
                      <w:sz w:val="22"/>
                      <w:szCs w:val="22"/>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FF57">
                  <w:pPr>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EAFC">
                  <w:pPr>
                    <w:jc w:val="center"/>
                    <w:rPr>
                      <w:rFonts w:hint="eastAsia" w:ascii="宋体" w:hAnsi="宋体" w:eastAsia="宋体" w:cs="宋体"/>
                      <w:i w:val="0"/>
                      <w:iCs w:val="0"/>
                      <w:color w:val="000000"/>
                      <w:sz w:val="22"/>
                      <w:szCs w:val="22"/>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78A2">
                  <w:pPr>
                    <w:jc w:val="center"/>
                    <w:rPr>
                      <w:rFonts w:hint="eastAsia" w:ascii="宋体" w:hAnsi="宋体" w:eastAsia="宋体" w:cs="宋体"/>
                      <w:i w:val="0"/>
                      <w:iCs w:val="0"/>
                      <w:color w:val="000000"/>
                      <w:sz w:val="22"/>
                      <w:szCs w:val="22"/>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BBD1">
                  <w:pPr>
                    <w:jc w:val="center"/>
                    <w:rPr>
                      <w:rFonts w:hint="eastAsia" w:ascii="宋体" w:hAnsi="宋体" w:eastAsia="宋体" w:cs="宋体"/>
                      <w:i w:val="0"/>
                      <w:iCs w:val="0"/>
                      <w:color w:val="000000"/>
                      <w:sz w:val="22"/>
                      <w:szCs w:val="22"/>
                      <w:u w:val="none"/>
                    </w:rPr>
                  </w:pPr>
                </w:p>
              </w:tc>
            </w:tr>
            <w:tr w14:paraId="3943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0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B23A">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0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1E6A">
                  <w:pPr>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3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D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D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CA1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7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A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1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4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4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8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9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FB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E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E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F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9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1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238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39F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A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9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A8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B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D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B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B2C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8FC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7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7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4B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D82A">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50F8">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0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9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CFF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403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E4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22A3">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6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42AC">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6A8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C85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9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3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86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BDA1">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B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2308">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5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9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385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A8A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6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2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4B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C19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6A04">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1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2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4D0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794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B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1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44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0BA7">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6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8D76">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D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3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A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D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E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3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A8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9BF0">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9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18E7">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F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F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D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E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4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4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FB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78E7">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A37E">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D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D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7AB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B69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C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3E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E3B2">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0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2059">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A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0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BF9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C3D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2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7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DC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95D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420F">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9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4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C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F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C2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3B2">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3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7242">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5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1DD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403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6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8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C8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F3B3">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5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AC29">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F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7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612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597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7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E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A0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5D53">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3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BBBE">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F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D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1F2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B06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9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1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93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0675">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9110">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B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8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634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75F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58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F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2A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2532">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3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B8F2">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3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B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33EA">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A0F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7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A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D4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6F9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ED6C">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D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C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3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BC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D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B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45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C096">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A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42D">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5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C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3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C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3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0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4C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718A">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DF26">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1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5D5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C76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A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5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26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9F9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F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4F5">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6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0B1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C04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0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F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33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CC79">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A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81CC">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6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B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4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885.36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7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885.36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3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6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84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4D2F">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2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776F">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8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5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AA3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112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7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D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D3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BAE3">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D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E4ED">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4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B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4E5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46D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0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1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67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F855">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4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C411">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4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4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C61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E84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F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0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8E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0D55">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F915">
                  <w:pPr>
                    <w:jc w:val="right"/>
                    <w:rPr>
                      <w:rFonts w:hint="eastAsia" w:ascii="宋体" w:hAnsi="宋体" w:eastAsia="宋体" w:cs="宋体"/>
                      <w:i w:val="0"/>
                      <w:iCs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7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1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FB0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A24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7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A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E8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F1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C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3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3F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4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F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B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1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8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2B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D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B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3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9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5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F0D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134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1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C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83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2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3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A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60EB">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B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41CB">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988">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FB90">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C93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E7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C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8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A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1505">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F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449C">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9E0F">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D84C">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24B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1B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D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2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D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362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23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59F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43D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36D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E2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51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6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9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4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B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C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7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D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50D38ED2">
            <w:pPr>
              <w:widowControl/>
              <w:jc w:val="left"/>
              <w:rPr>
                <w:rFonts w:hint="eastAsia" w:ascii="宋体" w:hAnsi="宋体" w:eastAsia="宋体" w:cs="宋体"/>
                <w:kern w:val="0"/>
                <w:sz w:val="24"/>
                <w:szCs w:val="24"/>
              </w:rPr>
            </w:pPr>
          </w:p>
          <w:p w14:paraId="05C2713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1855F6E">
      <w:pPr>
        <w:widowControl/>
        <w:jc w:val="center"/>
        <w:rPr>
          <w:rFonts w:ascii="Times New Roman" w:hAnsi="Times New Roman" w:eastAsia="方正小标宋_GBK" w:cs="Times New Roman"/>
          <w:kern w:val="0"/>
          <w:sz w:val="36"/>
          <w:szCs w:val="36"/>
        </w:rPr>
      </w:pPr>
    </w:p>
    <w:p w14:paraId="695BB375">
      <w:pPr>
        <w:widowControl/>
        <w:jc w:val="center"/>
        <w:rPr>
          <w:rFonts w:ascii="Times New Roman" w:hAnsi="Times New Roman" w:eastAsia="方正小标宋_GBK" w:cs="Times New Roman"/>
          <w:kern w:val="0"/>
          <w:sz w:val="36"/>
          <w:szCs w:val="36"/>
        </w:rPr>
      </w:pPr>
    </w:p>
    <w:p w14:paraId="49A532FE">
      <w:pPr>
        <w:widowControl/>
        <w:jc w:val="both"/>
        <w:rPr>
          <w:rFonts w:ascii="Times New Roman" w:hAnsi="Times New Roman" w:eastAsia="方正小标宋_GBK" w:cs="Times New Roman"/>
          <w:kern w:val="0"/>
          <w:sz w:val="36"/>
          <w:szCs w:val="36"/>
        </w:rPr>
      </w:pPr>
    </w:p>
    <w:p w14:paraId="3375424F">
      <w:pPr>
        <w:widowControl/>
        <w:jc w:val="both"/>
        <w:rPr>
          <w:rFonts w:ascii="Times New Roman" w:hAnsi="Times New Roman" w:eastAsia="方正小标宋_GBK" w:cs="Times New Roman"/>
          <w:kern w:val="0"/>
          <w:sz w:val="36"/>
          <w:szCs w:val="36"/>
        </w:rPr>
      </w:pPr>
    </w:p>
    <w:p w14:paraId="4DD63E6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49FEAD6">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76356BA5">
      <w:pPr>
        <w:widowControl/>
        <w:ind w:left="13440" w:hanging="13440" w:hanging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益阳市大通湖区应急管理局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3"/>
        <w:tblW w:w="14805" w:type="dxa"/>
        <w:jc w:val="center"/>
        <w:tblLayout w:type="fixed"/>
        <w:tblCellMar>
          <w:top w:w="0" w:type="dxa"/>
          <w:left w:w="108" w:type="dxa"/>
          <w:bottom w:w="0" w:type="dxa"/>
          <w:right w:w="108" w:type="dxa"/>
        </w:tblCellMar>
      </w:tblPr>
      <w:tblGrid>
        <w:gridCol w:w="14805"/>
      </w:tblGrid>
      <w:tr w14:paraId="46A878F3">
        <w:tblPrEx>
          <w:tblCellMar>
            <w:top w:w="0" w:type="dxa"/>
            <w:left w:w="108" w:type="dxa"/>
            <w:bottom w:w="0" w:type="dxa"/>
            <w:right w:w="108" w:type="dxa"/>
          </w:tblCellMar>
        </w:tblPrEx>
        <w:trPr>
          <w:trHeight w:val="645" w:hRule="atLeast"/>
          <w:jc w:val="center"/>
        </w:trPr>
        <w:tc>
          <w:tcPr>
            <w:tcW w:w="14805" w:type="dxa"/>
            <w:tcBorders>
              <w:top w:val="nil"/>
              <w:left w:val="nil"/>
              <w:bottom w:val="nil"/>
              <w:right w:val="nil"/>
            </w:tcBorders>
            <w:shd w:val="clear" w:color="auto" w:fill="auto"/>
            <w:vAlign w:val="center"/>
          </w:tcPr>
          <w:tbl>
            <w:tblPr>
              <w:tblStyle w:val="13"/>
              <w:tblW w:w="14282"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5"/>
              <w:gridCol w:w="1213"/>
              <w:gridCol w:w="1164"/>
              <w:gridCol w:w="3703"/>
              <w:gridCol w:w="2187"/>
              <w:gridCol w:w="2266"/>
              <w:gridCol w:w="2614"/>
            </w:tblGrid>
            <w:tr w14:paraId="118E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4EA3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F3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439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112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4DB9F">
                  <w:pPr>
                    <w:jc w:val="center"/>
                    <w:rPr>
                      <w:rFonts w:hint="eastAsia" w:ascii="宋体" w:hAnsi="宋体" w:eastAsia="宋体" w:cs="宋体"/>
                      <w:i w:val="0"/>
                      <w:iCs w:val="0"/>
                      <w:color w:val="000000"/>
                      <w:sz w:val="22"/>
                      <w:szCs w:val="22"/>
                      <w:u w:val="none"/>
                    </w:rPr>
                  </w:pPr>
                </w:p>
              </w:tc>
              <w:tc>
                <w:tcPr>
                  <w:tcW w:w="3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8AF21">
                  <w:pPr>
                    <w:jc w:val="center"/>
                    <w:rPr>
                      <w:rFonts w:hint="eastAsia" w:ascii="宋体" w:hAnsi="宋体" w:eastAsia="宋体" w:cs="宋体"/>
                      <w:i w:val="0"/>
                      <w:iCs w:val="0"/>
                      <w:color w:val="000000"/>
                      <w:sz w:val="22"/>
                      <w:szCs w:val="22"/>
                      <w:u w:val="none"/>
                    </w:rPr>
                  </w:pPr>
                </w:p>
              </w:tc>
              <w:tc>
                <w:tcPr>
                  <w:tcW w:w="2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745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C1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E9D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D9B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1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56423">
                  <w:pPr>
                    <w:jc w:val="center"/>
                    <w:rPr>
                      <w:rFonts w:hint="eastAsia" w:ascii="宋体" w:hAnsi="宋体" w:eastAsia="宋体" w:cs="宋体"/>
                      <w:i w:val="0"/>
                      <w:iCs w:val="0"/>
                      <w:color w:val="000000"/>
                      <w:sz w:val="22"/>
                      <w:szCs w:val="22"/>
                      <w:u w:val="none"/>
                    </w:rPr>
                  </w:pPr>
                </w:p>
              </w:tc>
              <w:tc>
                <w:tcPr>
                  <w:tcW w:w="3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915B2">
                  <w:pPr>
                    <w:jc w:val="center"/>
                    <w:rPr>
                      <w:rFonts w:hint="eastAsia" w:ascii="宋体" w:hAnsi="宋体" w:eastAsia="宋体" w:cs="宋体"/>
                      <w:i w:val="0"/>
                      <w:iCs w:val="0"/>
                      <w:color w:val="000000"/>
                      <w:sz w:val="22"/>
                      <w:szCs w:val="22"/>
                      <w:u w:val="none"/>
                    </w:rPr>
                  </w:pPr>
                </w:p>
              </w:tc>
              <w:tc>
                <w:tcPr>
                  <w:tcW w:w="2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96EA0">
                  <w:pPr>
                    <w:jc w:val="center"/>
                    <w:rPr>
                      <w:rFonts w:hint="eastAsia" w:ascii="宋体" w:hAnsi="宋体" w:eastAsia="宋体" w:cs="宋体"/>
                      <w:i w:val="0"/>
                      <w:iCs w:val="0"/>
                      <w:color w:val="000000"/>
                      <w:sz w:val="22"/>
                      <w:szCs w:val="22"/>
                      <w:u w:val="none"/>
                    </w:rPr>
                  </w:pPr>
                </w:p>
              </w:tc>
              <w:tc>
                <w:tcPr>
                  <w:tcW w:w="2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B563D">
                  <w:pPr>
                    <w:jc w:val="center"/>
                    <w:rPr>
                      <w:rFonts w:hint="eastAsia" w:ascii="宋体" w:hAnsi="宋体" w:eastAsia="宋体" w:cs="宋体"/>
                      <w:i w:val="0"/>
                      <w:iCs w:val="0"/>
                      <w:color w:val="000000"/>
                      <w:sz w:val="22"/>
                      <w:szCs w:val="22"/>
                      <w:u w:val="none"/>
                    </w:rPr>
                  </w:pPr>
                </w:p>
              </w:tc>
              <w:tc>
                <w:tcPr>
                  <w:tcW w:w="2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F0E97">
                  <w:pPr>
                    <w:jc w:val="center"/>
                    <w:rPr>
                      <w:rFonts w:hint="eastAsia" w:ascii="宋体" w:hAnsi="宋体" w:eastAsia="宋体" w:cs="宋体"/>
                      <w:i w:val="0"/>
                      <w:iCs w:val="0"/>
                      <w:color w:val="000000"/>
                      <w:sz w:val="22"/>
                      <w:szCs w:val="22"/>
                      <w:u w:val="none"/>
                    </w:rPr>
                  </w:pPr>
                </w:p>
              </w:tc>
            </w:tr>
            <w:tr w14:paraId="106D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3D5F2">
                  <w:pPr>
                    <w:jc w:val="center"/>
                    <w:rPr>
                      <w:rFonts w:hint="eastAsia" w:ascii="宋体" w:hAnsi="宋体" w:eastAsia="宋体" w:cs="宋体"/>
                      <w:i w:val="0"/>
                      <w:iCs w:val="0"/>
                      <w:color w:val="000000"/>
                      <w:sz w:val="22"/>
                      <w:szCs w:val="22"/>
                      <w:u w:val="none"/>
                    </w:rPr>
                  </w:pPr>
                </w:p>
              </w:tc>
              <w:tc>
                <w:tcPr>
                  <w:tcW w:w="3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3D444">
                  <w:pPr>
                    <w:jc w:val="center"/>
                    <w:rPr>
                      <w:rFonts w:hint="eastAsia" w:ascii="宋体" w:hAnsi="宋体" w:eastAsia="宋体" w:cs="宋体"/>
                      <w:i w:val="0"/>
                      <w:iCs w:val="0"/>
                      <w:color w:val="000000"/>
                      <w:sz w:val="22"/>
                      <w:szCs w:val="22"/>
                      <w:u w:val="none"/>
                    </w:rPr>
                  </w:pPr>
                </w:p>
              </w:tc>
              <w:tc>
                <w:tcPr>
                  <w:tcW w:w="2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C38C3">
                  <w:pPr>
                    <w:jc w:val="center"/>
                    <w:rPr>
                      <w:rFonts w:hint="eastAsia" w:ascii="宋体" w:hAnsi="宋体" w:eastAsia="宋体" w:cs="宋体"/>
                      <w:i w:val="0"/>
                      <w:iCs w:val="0"/>
                      <w:color w:val="000000"/>
                      <w:sz w:val="22"/>
                      <w:szCs w:val="22"/>
                      <w:u w:val="none"/>
                    </w:rPr>
                  </w:pPr>
                </w:p>
              </w:tc>
              <w:tc>
                <w:tcPr>
                  <w:tcW w:w="2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80D7C">
                  <w:pPr>
                    <w:jc w:val="center"/>
                    <w:rPr>
                      <w:rFonts w:hint="eastAsia" w:ascii="宋体" w:hAnsi="宋体" w:eastAsia="宋体" w:cs="宋体"/>
                      <w:i w:val="0"/>
                      <w:iCs w:val="0"/>
                      <w:color w:val="000000"/>
                      <w:sz w:val="22"/>
                      <w:szCs w:val="22"/>
                      <w:u w:val="none"/>
                    </w:rPr>
                  </w:pPr>
                </w:p>
              </w:tc>
              <w:tc>
                <w:tcPr>
                  <w:tcW w:w="2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CA5B4">
                  <w:pPr>
                    <w:jc w:val="center"/>
                    <w:rPr>
                      <w:rFonts w:hint="eastAsia" w:ascii="宋体" w:hAnsi="宋体" w:eastAsia="宋体" w:cs="宋体"/>
                      <w:i w:val="0"/>
                      <w:iCs w:val="0"/>
                      <w:color w:val="000000"/>
                      <w:sz w:val="22"/>
                      <w:szCs w:val="22"/>
                      <w:u w:val="none"/>
                    </w:rPr>
                  </w:pPr>
                </w:p>
              </w:tc>
            </w:tr>
            <w:tr w14:paraId="1BCB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BE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2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FA7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C92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6CEA7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B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6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E7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57A2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3A5F6">
                  <w:pPr>
                    <w:jc w:val="center"/>
                    <w:rPr>
                      <w:rFonts w:hint="eastAsia" w:ascii="宋体" w:hAnsi="宋体" w:eastAsia="宋体" w:cs="宋体"/>
                      <w:i w:val="0"/>
                      <w:iCs w:val="0"/>
                      <w:color w:val="000000"/>
                      <w:sz w:val="22"/>
                      <w:szCs w:val="22"/>
                      <w:u w:val="none"/>
                    </w:rPr>
                  </w:pPr>
                </w:p>
              </w:tc>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DC27E">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B5616">
                  <w:pPr>
                    <w:jc w:val="center"/>
                    <w:rPr>
                      <w:rFonts w:hint="eastAsia" w:ascii="宋体" w:hAnsi="宋体" w:eastAsia="宋体" w:cs="宋体"/>
                      <w:i w:val="0"/>
                      <w:iCs w:val="0"/>
                      <w:color w:val="000000"/>
                      <w:sz w:val="22"/>
                      <w:szCs w:val="22"/>
                      <w:u w:val="none"/>
                    </w:rPr>
                  </w:pP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1CA6F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0A4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1,102.48</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F74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281.18</w:t>
                  </w:r>
                </w:p>
              </w:tc>
              <w:tc>
                <w:tcPr>
                  <w:tcW w:w="2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4B2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821.30</w:t>
                  </w:r>
                </w:p>
              </w:tc>
            </w:tr>
            <w:tr w14:paraId="7DA3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E1E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F4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7C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2839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CC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CDC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7EB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FF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56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91A4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47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13C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9D2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08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42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22E1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A8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085A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33C5D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550B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8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715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22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0A8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261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6F2C80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58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B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7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1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9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F32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2E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1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E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E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B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318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69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8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4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7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0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41B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E6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2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C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0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8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91F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8E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3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0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8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BE5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22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F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B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9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7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64F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B5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7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E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F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9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9CB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33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A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A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815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2B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3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C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E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28F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8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r>
            <w:tr w14:paraId="2CEB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F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F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6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C3C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3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r>
            <w:tr w14:paraId="728B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4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C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9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D49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8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132.22</w:t>
                  </w:r>
                </w:p>
              </w:tc>
            </w:tr>
            <w:tr w14:paraId="692F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C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E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1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48B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E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r>
            <w:tr w14:paraId="50D3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E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5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气象事务</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A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DC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4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r>
            <w:tr w14:paraId="2DBE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3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C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其他气象事务支出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359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3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r>
            <w:tr w14:paraId="5F72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E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6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4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1E6A">
                  <w:pPr>
                    <w:jc w:val="right"/>
                    <w:rPr>
                      <w:rFonts w:hint="eastAsia" w:ascii="宋体" w:hAnsi="宋体" w:eastAsia="宋体" w:cs="宋体"/>
                      <w:i w:val="0"/>
                      <w:iCs w:val="0"/>
                      <w:color w:val="000000"/>
                      <w:sz w:val="22"/>
                      <w:szCs w:val="22"/>
                      <w:u w:val="none"/>
                    </w:rPr>
                  </w:pPr>
                </w:p>
              </w:tc>
            </w:tr>
            <w:tr w14:paraId="3B0E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9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A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C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3A4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62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3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1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4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6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6C6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2C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0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E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F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885.36</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8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226.78</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7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658.58</w:t>
                  </w:r>
                </w:p>
              </w:tc>
            </w:tr>
            <w:tr w14:paraId="0DB6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3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0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D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694.16</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E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226.28</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5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467.88</w:t>
                  </w:r>
                </w:p>
              </w:tc>
            </w:tr>
            <w:tr w14:paraId="4714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3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9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7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148.07</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1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148.07</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B95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08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5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9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A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067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1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r>
            <w:tr w14:paraId="55D9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4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2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43B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8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B5F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D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C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535.19</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8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A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456.98</w:t>
                  </w:r>
                </w:p>
              </w:tc>
            </w:tr>
            <w:tr w14:paraId="304A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9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2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F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E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D8C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D2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7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B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1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9EA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06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6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A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地震事务</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F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8BD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4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14:paraId="40F6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1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2240504</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地震监测</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5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C74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0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14:paraId="7D98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7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6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9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80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D7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r>
            <w:tr w14:paraId="6E9B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4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B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3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C44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E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18E6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7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6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B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1DE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6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bl>
          <w:p w14:paraId="254CF0FC">
            <w:pPr>
              <w:widowControl/>
              <w:jc w:val="left"/>
              <w:rPr>
                <w:rFonts w:ascii="Times New Roman" w:hAnsi="Times New Roman" w:eastAsia="仿宋_GB2312" w:cs="Times New Roman"/>
                <w:kern w:val="0"/>
                <w:szCs w:val="21"/>
              </w:rPr>
            </w:pPr>
          </w:p>
          <w:p w14:paraId="09FCD11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3417FF5">
      <w:pPr>
        <w:widowControl/>
        <w:jc w:val="left"/>
        <w:rPr>
          <w:rFonts w:ascii="Times New Roman" w:hAnsi="Times New Roman" w:eastAsia="仿宋_GB2312" w:cs="Times New Roman"/>
          <w:bCs/>
          <w:kern w:val="0"/>
          <w:szCs w:val="21"/>
        </w:rPr>
      </w:pPr>
    </w:p>
    <w:p w14:paraId="177EDC8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17202" w:type="dxa"/>
        <w:tblInd w:w="0" w:type="dxa"/>
        <w:tblLayout w:type="fixed"/>
        <w:tblCellMar>
          <w:top w:w="0" w:type="dxa"/>
          <w:left w:w="108" w:type="dxa"/>
          <w:bottom w:w="0" w:type="dxa"/>
          <w:right w:w="108" w:type="dxa"/>
        </w:tblCellMar>
      </w:tblPr>
      <w:tblGrid>
        <w:gridCol w:w="1015"/>
        <w:gridCol w:w="248"/>
        <w:gridCol w:w="1426"/>
        <w:gridCol w:w="1352"/>
        <w:gridCol w:w="236"/>
        <w:gridCol w:w="517"/>
        <w:gridCol w:w="1588"/>
        <w:gridCol w:w="554"/>
        <w:gridCol w:w="1588"/>
        <w:gridCol w:w="745"/>
        <w:gridCol w:w="506"/>
        <w:gridCol w:w="1401"/>
        <w:gridCol w:w="187"/>
        <w:gridCol w:w="239"/>
        <w:gridCol w:w="1162"/>
        <w:gridCol w:w="1171"/>
        <w:gridCol w:w="1553"/>
        <w:gridCol w:w="35"/>
        <w:gridCol w:w="1679"/>
      </w:tblGrid>
      <w:tr w14:paraId="32E866CF">
        <w:tblPrEx>
          <w:tblCellMar>
            <w:top w:w="0" w:type="dxa"/>
            <w:left w:w="108" w:type="dxa"/>
            <w:bottom w:w="0" w:type="dxa"/>
            <w:right w:w="108" w:type="dxa"/>
          </w:tblCellMar>
        </w:tblPrEx>
        <w:trPr>
          <w:gridAfter w:val="2"/>
          <w:wAfter w:w="1714" w:type="dxa"/>
          <w:trHeight w:val="113" w:hRule="atLeast"/>
        </w:trPr>
        <w:tc>
          <w:tcPr>
            <w:tcW w:w="15488" w:type="dxa"/>
            <w:gridSpan w:val="17"/>
            <w:tcBorders>
              <w:top w:val="nil"/>
              <w:left w:val="nil"/>
              <w:bottom w:val="nil"/>
              <w:right w:val="nil"/>
            </w:tcBorders>
            <w:shd w:val="clear" w:color="auto" w:fill="auto"/>
            <w:noWrap/>
            <w:vAlign w:val="center"/>
          </w:tcPr>
          <w:p w14:paraId="5C4A320D">
            <w:pPr>
              <w:widowControl/>
              <w:jc w:val="center"/>
              <w:rPr>
                <w:rFonts w:hint="eastAsia" w:ascii="Times New Roman" w:hAnsi="Times New Roman" w:eastAsia="方正小标宋_GBK" w:cs="Times New Roman"/>
                <w:kern w:val="0"/>
                <w:sz w:val="36"/>
                <w:szCs w:val="36"/>
              </w:rPr>
            </w:pPr>
            <w:bookmarkStart w:id="2" w:name="RANGE!A1:I34"/>
            <w:r>
              <w:rPr>
                <w:rFonts w:hint="eastAsia" w:ascii="Times New Roman" w:hAnsi="Times New Roman" w:eastAsia="方正小标宋_GBK" w:cs="Times New Roman"/>
                <w:kern w:val="0"/>
                <w:sz w:val="36"/>
                <w:szCs w:val="36"/>
              </w:rPr>
              <w:t>一般公共预算财政拨款基本支出决算明细表</w:t>
            </w:r>
            <w:bookmarkEnd w:id="2"/>
          </w:p>
          <w:p w14:paraId="03DC8DBC">
            <w:pPr>
              <w:widowControl/>
              <w:jc w:val="center"/>
              <w:rPr>
                <w:rFonts w:hint="eastAsia" w:ascii="Times New Roman" w:hAnsi="Times New Roman" w:eastAsia="方正小标宋_GBK" w:cs="Times New Roman"/>
                <w:kern w:val="0"/>
                <w:sz w:val="36"/>
                <w:szCs w:val="36"/>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公开06表</w:t>
            </w:r>
          </w:p>
          <w:p w14:paraId="6599E04E">
            <w:pPr>
              <w:widowControl/>
              <w:wordWrap/>
              <w:jc w:val="lef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益阳市大通湖区应急管理局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单位：万元</w:t>
            </w:r>
          </w:p>
        </w:tc>
      </w:tr>
      <w:tr w14:paraId="395B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690" w:hRule="atLeast"/>
        </w:trPr>
        <w:tc>
          <w:tcPr>
            <w:tcW w:w="15488" w:type="dxa"/>
            <w:gridSpan w:val="17"/>
            <w:tcBorders>
              <w:top w:val="nil"/>
              <w:left w:val="nil"/>
              <w:bottom w:val="nil"/>
              <w:right w:val="nil"/>
            </w:tcBorders>
            <w:shd w:val="clear" w:color="auto" w:fill="FFFFFF"/>
            <w:vAlign w:val="center"/>
          </w:tcPr>
          <w:tbl>
            <w:tblPr>
              <w:tblStyle w:val="13"/>
              <w:tblW w:w="15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2787"/>
              <w:gridCol w:w="1266"/>
              <w:gridCol w:w="1240"/>
              <w:gridCol w:w="2227"/>
              <w:gridCol w:w="1080"/>
              <w:gridCol w:w="1507"/>
              <w:gridCol w:w="2720"/>
              <w:gridCol w:w="1342"/>
            </w:tblGrid>
            <w:tr w14:paraId="0541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1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1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5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46C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F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DD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7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11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9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0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1E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87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EB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3D6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EE6A">
                  <w:pPr>
                    <w:jc w:val="center"/>
                    <w:rPr>
                      <w:rFonts w:hint="eastAsia" w:ascii="宋体" w:hAnsi="宋体" w:eastAsia="宋体" w:cs="宋体"/>
                      <w:i w:val="0"/>
                      <w:iCs w:val="0"/>
                      <w:color w:val="000000"/>
                      <w:sz w:val="22"/>
                      <w:szCs w:val="22"/>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C65D">
                  <w:pPr>
                    <w:jc w:val="center"/>
                    <w:rPr>
                      <w:rFonts w:hint="eastAsia" w:ascii="宋体" w:hAnsi="宋体" w:eastAsia="宋体" w:cs="宋体"/>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9560">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78EE">
                  <w:pPr>
                    <w:jc w:val="center"/>
                    <w:rPr>
                      <w:rFonts w:hint="eastAsia" w:ascii="宋体" w:hAnsi="宋体" w:eastAsia="宋体" w:cs="宋体"/>
                      <w:i w:val="0"/>
                      <w:iCs w:val="0"/>
                      <w:color w:val="000000"/>
                      <w:sz w:val="22"/>
                      <w:szCs w:val="22"/>
                      <w:u w:val="none"/>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215E">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A599">
                  <w:pPr>
                    <w:jc w:val="center"/>
                    <w:rPr>
                      <w:rFonts w:hint="eastAsia" w:ascii="宋体" w:hAnsi="宋体" w:eastAsia="宋体" w:cs="宋体"/>
                      <w:i w:val="0"/>
                      <w:iCs w:val="0"/>
                      <w:color w:val="000000"/>
                      <w:sz w:val="22"/>
                      <w:szCs w:val="22"/>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FFE1">
                  <w:pPr>
                    <w:jc w:val="center"/>
                    <w:rPr>
                      <w:rFonts w:hint="eastAsia" w:ascii="宋体" w:hAnsi="宋体" w:eastAsia="宋体" w:cs="宋体"/>
                      <w:i w:val="0"/>
                      <w:iCs w:val="0"/>
                      <w:color w:val="000000"/>
                      <w:sz w:val="22"/>
                      <w:szCs w:val="22"/>
                      <w:u w:val="none"/>
                    </w:rPr>
                  </w:pPr>
                </w:p>
              </w:tc>
              <w:tc>
                <w:tcPr>
                  <w:tcW w:w="2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E3CD">
                  <w:pPr>
                    <w:jc w:val="center"/>
                    <w:rPr>
                      <w:rFonts w:hint="eastAsia" w:ascii="宋体" w:hAnsi="宋体" w:eastAsia="宋体" w:cs="宋体"/>
                      <w:i w:val="0"/>
                      <w:iCs w:val="0"/>
                      <w:color w:val="000000"/>
                      <w:sz w:val="22"/>
                      <w:szCs w:val="22"/>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F595">
                  <w:pPr>
                    <w:jc w:val="center"/>
                    <w:rPr>
                      <w:rFonts w:hint="eastAsia" w:ascii="宋体" w:hAnsi="宋体" w:eastAsia="宋体" w:cs="宋体"/>
                      <w:i w:val="0"/>
                      <w:iCs w:val="0"/>
                      <w:color w:val="000000"/>
                      <w:sz w:val="22"/>
                      <w:szCs w:val="22"/>
                      <w:u w:val="none"/>
                    </w:rPr>
                  </w:pPr>
                </w:p>
              </w:tc>
            </w:tr>
            <w:tr w14:paraId="59B7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8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2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B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202.47</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C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2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A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0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9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8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37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D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2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86.74</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3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9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C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3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2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国内债务付息</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7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1D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8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1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B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6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0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0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9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1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国外债务付息</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E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5D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A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1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9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3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68C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咨询费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93E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3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1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1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D5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7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E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CB3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3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66E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手续费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D9D7">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F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1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7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5A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D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B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B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1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9B2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5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6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3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9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E5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3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6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F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22.65</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2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5F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1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3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D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2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22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5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0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3A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B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4C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邮电费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2C9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C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2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3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5A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7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0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0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7AA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4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4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D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4C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9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F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E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E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7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12E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F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E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5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5E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4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3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8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0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8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D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1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7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3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D6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6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1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4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0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5E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B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9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土地补偿</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1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5B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A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4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195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C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4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5C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9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4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安置补助</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9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4B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2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F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076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D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142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0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7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3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25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3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F90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5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6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2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9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4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拆迁补偿</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0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CD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3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3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F02E">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A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3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C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6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B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5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7D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A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6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8E8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3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8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B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C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2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5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6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0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4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3EF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3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C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19D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1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6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E7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71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6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5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5FC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2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48D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C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D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2A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9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E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E50D">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E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1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0D7B">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6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8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4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85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7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7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51E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8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B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1D1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F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F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2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95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3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A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74AC">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2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D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573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5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2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C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0F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3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F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6900">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1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9C7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5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F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0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46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4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9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7D88">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0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B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B59F">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B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9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经常性赠与</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0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BB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6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E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235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7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6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C25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6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C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资本性赠与</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F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54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2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D2A1">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0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E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F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2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6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43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D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0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5D03">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C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4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B70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D973">
                  <w:pPr>
                    <w:jc w:val="left"/>
                    <w:rPr>
                      <w:rFonts w:hint="eastAsia" w:ascii="宋体" w:hAnsi="宋体" w:eastAsia="宋体" w:cs="宋体"/>
                      <w:i w:val="0"/>
                      <w:iCs w:val="0"/>
                      <w:color w:val="000000"/>
                      <w:sz w:val="22"/>
                      <w:szCs w:val="22"/>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6343">
                  <w:pPr>
                    <w:jc w:val="left"/>
                    <w:rPr>
                      <w:rFonts w:hint="eastAsia" w:ascii="宋体" w:hAnsi="宋体" w:eastAsia="宋体" w:cs="宋体"/>
                      <w:i w:val="0"/>
                      <w:iCs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C9A9">
                  <w:pPr>
                    <w:jc w:val="right"/>
                    <w:rPr>
                      <w:rFonts w:hint="eastAsia" w:ascii="宋体" w:hAnsi="宋体" w:eastAsia="宋体" w:cs="宋体"/>
                      <w:i w:val="0"/>
                      <w:iCs w:val="0"/>
                      <w:color w:val="000000"/>
                      <w:sz w:val="22"/>
                      <w:szCs w:val="22"/>
                      <w:u w:val="none"/>
                    </w:rPr>
                  </w:pPr>
                </w:p>
              </w:tc>
            </w:tr>
            <w:tr w14:paraId="387A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ADC">
                  <w:pPr>
                    <w:jc w:val="left"/>
                    <w:rPr>
                      <w:rFonts w:hint="eastAsia" w:ascii="宋体" w:hAnsi="宋体" w:eastAsia="宋体" w:cs="宋体"/>
                      <w:i w:val="0"/>
                      <w:iCs w:val="0"/>
                      <w:color w:val="000000"/>
                      <w:sz w:val="22"/>
                      <w:szCs w:val="22"/>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7D00">
                  <w:pPr>
                    <w:jc w:val="left"/>
                    <w:rPr>
                      <w:rFonts w:hint="eastAsia" w:ascii="宋体" w:hAnsi="宋体" w:eastAsia="宋体" w:cs="宋体"/>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1B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7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2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C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D65">
                  <w:pPr>
                    <w:jc w:val="left"/>
                    <w:rPr>
                      <w:rFonts w:hint="eastAsia" w:ascii="宋体" w:hAnsi="宋体" w:eastAsia="宋体" w:cs="宋体"/>
                      <w:i w:val="0"/>
                      <w:iCs w:val="0"/>
                      <w:color w:val="000000"/>
                      <w:sz w:val="22"/>
                      <w:szCs w:val="22"/>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1968">
                  <w:pPr>
                    <w:jc w:val="left"/>
                    <w:rPr>
                      <w:rFonts w:hint="eastAsia" w:ascii="宋体" w:hAnsi="宋体" w:eastAsia="宋体" w:cs="宋体"/>
                      <w:i w:val="0"/>
                      <w:iCs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02E2">
                  <w:pPr>
                    <w:jc w:val="right"/>
                    <w:rPr>
                      <w:rFonts w:hint="eastAsia" w:ascii="宋体" w:hAnsi="宋体" w:eastAsia="宋体" w:cs="宋体"/>
                      <w:i w:val="0"/>
                      <w:iCs w:val="0"/>
                      <w:color w:val="000000"/>
                      <w:sz w:val="22"/>
                      <w:szCs w:val="22"/>
                      <w:u w:val="none"/>
                    </w:rPr>
                  </w:pPr>
                </w:p>
              </w:tc>
            </w:tr>
            <w:tr w14:paraId="5F1B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1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0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202.47</w:t>
                  </w:r>
                </w:p>
              </w:tc>
              <w:tc>
                <w:tcPr>
                  <w:tcW w:w="87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F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A58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78.70</w:t>
                  </w:r>
                </w:p>
              </w:tc>
            </w:tr>
          </w:tbl>
          <w:p w14:paraId="6AC4126E">
            <w:pPr>
              <w:keepNext w:val="0"/>
              <w:keepLines w:val="0"/>
              <w:widowControl/>
              <w:suppressLineNumbers w:val="0"/>
              <w:jc w:val="left"/>
              <w:textAlignment w:val="center"/>
              <w:rPr>
                <w:rFonts w:hint="eastAsia" w:ascii="宋体" w:hAnsi="宋体" w:eastAsia="宋体" w:cs="宋体"/>
                <w:color w:val="000000"/>
                <w:kern w:val="0"/>
                <w:szCs w:val="24"/>
              </w:rPr>
            </w:pPr>
          </w:p>
          <w:p w14:paraId="5604F4EA">
            <w:pPr>
              <w:keepNext w:val="0"/>
              <w:keepLines w:val="0"/>
              <w:widowControl/>
              <w:suppressLineNumbers w:val="0"/>
              <w:jc w:val="left"/>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宋体" w:hAnsi="宋体" w:eastAsia="宋体" w:cs="宋体"/>
                <w:color w:val="000000"/>
                <w:kern w:val="0"/>
                <w:szCs w:val="24"/>
              </w:rPr>
              <w:t>注：本表反映部门本年度一般公共预算财政拨款基本支出明细情况。</w:t>
            </w:r>
          </w:p>
          <w:p w14:paraId="62D3AD3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63FD6E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29C7C19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3ECA713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1210B23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163F176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547EA4C3">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2D380497">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31814C4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6DA6C5F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4A9CE9F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3A1966B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highlight w:val="yellow"/>
                <w:u w:val="none"/>
                <w:lang w:val="en-US" w:eastAsia="zh-CN" w:bidi="ar"/>
              </w:rPr>
            </w:pPr>
          </w:p>
          <w:p w14:paraId="2F3458D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highlight w:val="none"/>
                <w:u w:val="none"/>
                <w:lang w:val="en-US" w:eastAsia="zh-CN" w:bidi="ar"/>
              </w:rPr>
              <w:t>政府性基金预算财政拨款收入支出决算表</w:t>
            </w:r>
          </w:p>
        </w:tc>
      </w:tr>
      <w:tr w14:paraId="7474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15" w:type="dxa"/>
            <w:tcBorders>
              <w:top w:val="nil"/>
              <w:left w:val="nil"/>
              <w:bottom w:val="nil"/>
              <w:right w:val="nil"/>
            </w:tcBorders>
            <w:shd w:val="clear" w:color="auto" w:fill="FFFFFF"/>
            <w:vAlign w:val="center"/>
          </w:tcPr>
          <w:p w14:paraId="67F85B87">
            <w:pPr>
              <w:jc w:val="center"/>
              <w:rPr>
                <w:rFonts w:hint="eastAsia" w:ascii="宋体" w:hAnsi="宋体" w:eastAsia="宋体" w:cs="宋体"/>
                <w:i w:val="0"/>
                <w:color w:val="000000"/>
                <w:sz w:val="20"/>
                <w:szCs w:val="20"/>
                <w:u w:val="none"/>
              </w:rPr>
            </w:pPr>
          </w:p>
        </w:tc>
        <w:tc>
          <w:tcPr>
            <w:tcW w:w="3026" w:type="dxa"/>
            <w:gridSpan w:val="3"/>
            <w:tcBorders>
              <w:top w:val="nil"/>
              <w:left w:val="nil"/>
              <w:bottom w:val="nil"/>
              <w:right w:val="nil"/>
            </w:tcBorders>
            <w:shd w:val="clear" w:color="auto" w:fill="FFFFFF"/>
            <w:vAlign w:val="center"/>
          </w:tcPr>
          <w:p w14:paraId="2DB3828D">
            <w:pPr>
              <w:jc w:val="center"/>
              <w:rPr>
                <w:rFonts w:hint="eastAsia" w:ascii="宋体" w:hAnsi="宋体" w:eastAsia="宋体" w:cs="宋体"/>
                <w:i w:val="0"/>
                <w:color w:val="000000"/>
                <w:sz w:val="20"/>
                <w:szCs w:val="20"/>
                <w:u w:val="none"/>
              </w:rPr>
            </w:pPr>
          </w:p>
        </w:tc>
        <w:tc>
          <w:tcPr>
            <w:tcW w:w="236" w:type="dxa"/>
            <w:tcBorders>
              <w:top w:val="nil"/>
              <w:left w:val="nil"/>
              <w:bottom w:val="nil"/>
              <w:right w:val="nil"/>
            </w:tcBorders>
            <w:shd w:val="clear" w:color="auto" w:fill="FFFFFF"/>
            <w:vAlign w:val="center"/>
          </w:tcPr>
          <w:p w14:paraId="4ABD6D49">
            <w:pPr>
              <w:jc w:val="cente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3D78ACE5">
            <w:pPr>
              <w:rPr>
                <w:rFonts w:hint="eastAsia" w:ascii="宋体" w:hAnsi="宋体" w:eastAsia="宋体" w:cs="宋体"/>
                <w:i w:val="0"/>
                <w:color w:val="000000"/>
                <w:sz w:val="20"/>
                <w:szCs w:val="20"/>
                <w:u w:val="none"/>
              </w:rPr>
            </w:pPr>
          </w:p>
        </w:tc>
        <w:tc>
          <w:tcPr>
            <w:tcW w:w="2142" w:type="dxa"/>
            <w:gridSpan w:val="2"/>
            <w:tcBorders>
              <w:top w:val="nil"/>
              <w:left w:val="nil"/>
              <w:bottom w:val="nil"/>
              <w:right w:val="nil"/>
            </w:tcBorders>
            <w:shd w:val="clear" w:color="auto" w:fill="FFFFFF"/>
            <w:vAlign w:val="center"/>
          </w:tcPr>
          <w:p w14:paraId="57171FCA">
            <w:pPr>
              <w:rPr>
                <w:rFonts w:hint="eastAsia" w:ascii="宋体" w:hAnsi="宋体" w:eastAsia="宋体" w:cs="宋体"/>
                <w:i w:val="0"/>
                <w:color w:val="000000"/>
                <w:sz w:val="20"/>
                <w:szCs w:val="20"/>
                <w:u w:val="none"/>
              </w:rPr>
            </w:pPr>
          </w:p>
        </w:tc>
        <w:tc>
          <w:tcPr>
            <w:tcW w:w="2839" w:type="dxa"/>
            <w:gridSpan w:val="4"/>
            <w:tcBorders>
              <w:top w:val="nil"/>
              <w:left w:val="nil"/>
              <w:bottom w:val="nil"/>
              <w:right w:val="nil"/>
            </w:tcBorders>
            <w:shd w:val="clear" w:color="auto" w:fill="FFFFFF"/>
            <w:vAlign w:val="center"/>
          </w:tcPr>
          <w:p w14:paraId="3E072EA0">
            <w:pPr>
              <w:rPr>
                <w:rFonts w:hint="eastAsia" w:ascii="宋体" w:hAnsi="宋体" w:eastAsia="宋体" w:cs="宋体"/>
                <w:i w:val="0"/>
                <w:color w:val="000000"/>
                <w:sz w:val="20"/>
                <w:szCs w:val="20"/>
                <w:u w:val="none"/>
              </w:rPr>
            </w:pPr>
          </w:p>
        </w:tc>
        <w:tc>
          <w:tcPr>
            <w:tcW w:w="1401" w:type="dxa"/>
            <w:gridSpan w:val="2"/>
            <w:tcBorders>
              <w:top w:val="nil"/>
              <w:left w:val="nil"/>
              <w:bottom w:val="nil"/>
              <w:right w:val="nil"/>
            </w:tcBorders>
            <w:shd w:val="clear" w:color="auto" w:fill="FFFFFF"/>
            <w:vAlign w:val="center"/>
          </w:tcPr>
          <w:p w14:paraId="4C21573F">
            <w:pPr>
              <w:rPr>
                <w:rFonts w:hint="eastAsia" w:ascii="宋体" w:hAnsi="宋体" w:eastAsia="宋体" w:cs="宋体"/>
                <w:i w:val="0"/>
                <w:color w:val="000000"/>
                <w:sz w:val="20"/>
                <w:szCs w:val="20"/>
                <w:u w:val="none"/>
              </w:rPr>
            </w:pPr>
          </w:p>
        </w:tc>
        <w:tc>
          <w:tcPr>
            <w:tcW w:w="2759" w:type="dxa"/>
            <w:gridSpan w:val="3"/>
            <w:tcBorders>
              <w:top w:val="nil"/>
              <w:left w:val="nil"/>
              <w:bottom w:val="nil"/>
              <w:right w:val="nil"/>
            </w:tcBorders>
            <w:shd w:val="clear" w:color="auto" w:fill="FFFFFF"/>
            <w:vAlign w:val="center"/>
          </w:tcPr>
          <w:p w14:paraId="12DAD387">
            <w:pPr>
              <w:ind w:firstLine="1600" w:firstLineChars="80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c>
          <w:tcPr>
            <w:tcW w:w="1679" w:type="dxa"/>
            <w:tcBorders>
              <w:top w:val="nil"/>
              <w:left w:val="nil"/>
              <w:bottom w:val="nil"/>
              <w:right w:val="nil"/>
            </w:tcBorders>
            <w:shd w:val="clear" w:color="auto" w:fill="FFFFFF"/>
            <w:noWrap/>
            <w:vAlign w:val="center"/>
          </w:tcPr>
          <w:p w14:paraId="1176A7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DEC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690" w:hRule="atLeast"/>
        </w:trPr>
        <w:tc>
          <w:tcPr>
            <w:tcW w:w="4794" w:type="dxa"/>
            <w:gridSpan w:val="6"/>
            <w:tcBorders>
              <w:top w:val="nil"/>
              <w:left w:val="nil"/>
              <w:bottom w:val="nil"/>
              <w:right w:val="nil"/>
            </w:tcBorders>
            <w:shd w:val="clear" w:color="auto" w:fill="FFFFFF"/>
            <w:noWrap/>
            <w:vAlign w:val="center"/>
          </w:tcPr>
          <w:p w14:paraId="14E374B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部门：益阳市大通湖区应急管理局</w:t>
            </w:r>
          </w:p>
        </w:tc>
        <w:tc>
          <w:tcPr>
            <w:tcW w:w="2142" w:type="dxa"/>
            <w:gridSpan w:val="2"/>
            <w:tcBorders>
              <w:top w:val="nil"/>
              <w:left w:val="nil"/>
              <w:bottom w:val="nil"/>
              <w:right w:val="nil"/>
            </w:tcBorders>
            <w:shd w:val="clear" w:color="auto" w:fill="FFFFFF"/>
            <w:vAlign w:val="center"/>
          </w:tcPr>
          <w:p w14:paraId="17DC2702">
            <w:pPr>
              <w:rPr>
                <w:rFonts w:hint="eastAsia" w:ascii="宋体" w:hAnsi="宋体" w:eastAsia="宋体" w:cs="宋体"/>
                <w:i w:val="0"/>
                <w:color w:val="000000"/>
                <w:sz w:val="20"/>
                <w:szCs w:val="20"/>
                <w:u w:val="none"/>
              </w:rPr>
            </w:pPr>
          </w:p>
        </w:tc>
        <w:tc>
          <w:tcPr>
            <w:tcW w:w="2839" w:type="dxa"/>
            <w:gridSpan w:val="3"/>
            <w:tcBorders>
              <w:top w:val="nil"/>
              <w:left w:val="nil"/>
              <w:bottom w:val="nil"/>
              <w:right w:val="nil"/>
            </w:tcBorders>
            <w:shd w:val="clear" w:color="auto" w:fill="FFFFFF"/>
            <w:vAlign w:val="center"/>
          </w:tcPr>
          <w:p w14:paraId="371D58A4">
            <w:pPr>
              <w:rPr>
                <w:rFonts w:hint="eastAsia" w:ascii="宋体" w:hAnsi="宋体" w:eastAsia="宋体" w:cs="宋体"/>
                <w:i w:val="0"/>
                <w:color w:val="000000"/>
                <w:sz w:val="20"/>
                <w:szCs w:val="20"/>
                <w:u w:val="none"/>
              </w:rPr>
            </w:pPr>
          </w:p>
        </w:tc>
        <w:tc>
          <w:tcPr>
            <w:tcW w:w="1401" w:type="dxa"/>
            <w:tcBorders>
              <w:top w:val="nil"/>
              <w:left w:val="nil"/>
              <w:bottom w:val="nil"/>
              <w:right w:val="nil"/>
            </w:tcBorders>
            <w:shd w:val="clear" w:color="auto" w:fill="FFFFFF"/>
            <w:vAlign w:val="center"/>
          </w:tcPr>
          <w:p w14:paraId="49AF440A">
            <w:pPr>
              <w:rPr>
                <w:rFonts w:hint="eastAsia" w:ascii="宋体" w:hAnsi="宋体" w:eastAsia="宋体" w:cs="宋体"/>
                <w:i w:val="0"/>
                <w:color w:val="000000"/>
                <w:sz w:val="20"/>
                <w:szCs w:val="20"/>
                <w:u w:val="none"/>
              </w:rPr>
            </w:pPr>
          </w:p>
        </w:tc>
        <w:tc>
          <w:tcPr>
            <w:tcW w:w="2759" w:type="dxa"/>
            <w:gridSpan w:val="4"/>
            <w:tcBorders>
              <w:top w:val="nil"/>
              <w:left w:val="nil"/>
              <w:bottom w:val="nil"/>
              <w:right w:val="nil"/>
            </w:tcBorders>
            <w:shd w:val="clear" w:color="auto" w:fill="FFFFFF"/>
            <w:vAlign w:val="center"/>
          </w:tcPr>
          <w:p w14:paraId="3ADD9BF9">
            <w:pPr>
              <w:rPr>
                <w:rFonts w:hint="eastAsia" w:ascii="宋体" w:hAnsi="宋体" w:eastAsia="宋体" w:cs="宋体"/>
                <w:i w:val="0"/>
                <w:color w:val="000000"/>
                <w:sz w:val="20"/>
                <w:szCs w:val="20"/>
                <w:u w:val="none"/>
              </w:rPr>
            </w:pPr>
          </w:p>
        </w:tc>
        <w:tc>
          <w:tcPr>
            <w:tcW w:w="1553" w:type="dxa"/>
            <w:tcBorders>
              <w:top w:val="nil"/>
              <w:left w:val="nil"/>
              <w:bottom w:val="nil"/>
              <w:right w:val="nil"/>
            </w:tcBorders>
            <w:shd w:val="clear" w:color="auto" w:fill="FFFFFF"/>
            <w:noWrap/>
            <w:vAlign w:val="center"/>
          </w:tcPr>
          <w:p w14:paraId="6BD4D7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5FB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459"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11F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3"/>
                <w:lang w:val="en-US" w:eastAsia="zh-CN" w:bidi="ar"/>
              </w:rPr>
              <w:t xml:space="preserve">   </w:t>
            </w:r>
            <w:r>
              <w:rPr>
                <w:rStyle w:val="24"/>
                <w:lang w:val="en-US" w:eastAsia="zh-CN" w:bidi="ar"/>
              </w:rPr>
              <w:t>目</w:t>
            </w:r>
          </w:p>
        </w:tc>
        <w:tc>
          <w:tcPr>
            <w:tcW w:w="21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0B2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CCE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9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239B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A02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CFD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609"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132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8CF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B6B7">
            <w:pPr>
              <w:jc w:val="center"/>
              <w:rPr>
                <w:rFonts w:hint="eastAsia" w:ascii="宋体" w:hAnsi="宋体" w:eastAsia="宋体" w:cs="宋体"/>
                <w:i w:val="0"/>
                <w:color w:val="000000"/>
                <w:sz w:val="24"/>
                <w:szCs w:val="24"/>
                <w:u w:val="none"/>
              </w:rPr>
            </w:pPr>
          </w:p>
        </w:tc>
        <w:tc>
          <w:tcPr>
            <w:tcW w:w="2142" w:type="dxa"/>
            <w:gridSpan w:val="2"/>
            <w:vMerge w:val="continue"/>
            <w:tcBorders>
              <w:top w:val="single" w:color="000000" w:sz="4" w:space="0"/>
              <w:left w:val="single" w:color="000000" w:sz="4" w:space="0"/>
              <w:right w:val="single" w:color="000000" w:sz="4" w:space="0"/>
            </w:tcBorders>
            <w:shd w:val="clear" w:color="auto" w:fill="auto"/>
            <w:vAlign w:val="center"/>
          </w:tcPr>
          <w:p w14:paraId="61AB55F5">
            <w:pPr>
              <w:jc w:val="cente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right w:val="single" w:color="000000" w:sz="4" w:space="0"/>
            </w:tcBorders>
            <w:shd w:val="clear" w:color="auto" w:fill="auto"/>
            <w:vAlign w:val="center"/>
          </w:tcPr>
          <w:p w14:paraId="683223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1C7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0B1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588D">
            <w:pPr>
              <w:jc w:val="center"/>
              <w:rPr>
                <w:rFonts w:hint="eastAsia" w:ascii="宋体" w:hAnsi="宋体" w:eastAsia="宋体" w:cs="宋体"/>
                <w:i w:val="0"/>
                <w:color w:val="000000"/>
                <w:sz w:val="24"/>
                <w:szCs w:val="24"/>
                <w:u w:val="none"/>
              </w:rPr>
            </w:pPr>
          </w:p>
        </w:tc>
      </w:tr>
      <w:tr w14:paraId="7612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409" w:hRule="atLeast"/>
        </w:trPr>
        <w:tc>
          <w:tcPr>
            <w:tcW w:w="26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366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50B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FE7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30D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3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060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3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825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BFD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0C3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2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D01B8">
            <w:pPr>
              <w:jc w:val="center"/>
              <w:rPr>
                <w:rFonts w:hint="eastAsia" w:ascii="宋体" w:hAnsi="宋体" w:eastAsia="宋体" w:cs="宋体"/>
                <w:i w:val="0"/>
                <w:color w:val="000000"/>
                <w:sz w:val="24"/>
                <w:szCs w:val="24"/>
                <w:u w:val="none"/>
              </w:rPr>
            </w:pP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E1A3">
            <w:pPr>
              <w:jc w:val="center"/>
              <w:rPr>
                <w:rFonts w:hint="eastAsia" w:ascii="宋体" w:hAnsi="宋体" w:eastAsia="宋体" w:cs="宋体"/>
                <w:i w:val="0"/>
                <w:color w:val="000000"/>
                <w:sz w:val="24"/>
                <w:szCs w:val="24"/>
                <w:u w:val="none"/>
              </w:rPr>
            </w:pPr>
          </w:p>
        </w:tc>
        <w:tc>
          <w:tcPr>
            <w:tcW w:w="21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9B73">
            <w:pPr>
              <w:jc w:val="center"/>
              <w:rPr>
                <w:rFonts w:hint="eastAsia" w:ascii="宋体" w:hAnsi="宋体" w:eastAsia="宋体" w:cs="宋体"/>
                <w:i w:val="0"/>
                <w:color w:val="000000"/>
                <w:sz w:val="24"/>
                <w:szCs w:val="24"/>
                <w:u w:val="none"/>
              </w:rPr>
            </w:pPr>
          </w:p>
        </w:tc>
        <w:tc>
          <w:tcPr>
            <w:tcW w:w="2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4838">
            <w:pPr>
              <w:jc w:val="center"/>
              <w:rPr>
                <w:rFonts w:hint="eastAsia" w:ascii="宋体" w:hAnsi="宋体" w:eastAsia="宋体" w:cs="宋体"/>
                <w:i w:val="0"/>
                <w:color w:val="000000"/>
                <w:sz w:val="24"/>
                <w:szCs w:val="24"/>
                <w:u w:val="none"/>
              </w:rPr>
            </w:pPr>
          </w:p>
        </w:tc>
        <w:tc>
          <w:tcPr>
            <w:tcW w:w="233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3D52">
            <w:pPr>
              <w:jc w:val="center"/>
              <w:rPr>
                <w:rFonts w:hint="eastAsia" w:ascii="宋体" w:hAnsi="宋体" w:eastAsia="宋体" w:cs="宋体"/>
                <w:i w:val="0"/>
                <w:color w:val="000000"/>
                <w:sz w:val="24"/>
                <w:szCs w:val="24"/>
                <w:u w:val="none"/>
              </w:rPr>
            </w:pPr>
          </w:p>
        </w:tc>
        <w:tc>
          <w:tcPr>
            <w:tcW w:w="23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1CDA">
            <w:pPr>
              <w:jc w:val="center"/>
              <w:rPr>
                <w:rFonts w:hint="eastAsia" w:ascii="宋体" w:hAnsi="宋体" w:eastAsia="宋体" w:cs="宋体"/>
                <w:i w:val="0"/>
                <w:color w:val="000000"/>
                <w:sz w:val="24"/>
                <w:szCs w:val="24"/>
                <w:u w:val="none"/>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4008">
            <w:pPr>
              <w:jc w:val="center"/>
              <w:rPr>
                <w:rFonts w:hint="eastAsia" w:ascii="宋体" w:hAnsi="宋体" w:eastAsia="宋体" w:cs="宋体"/>
                <w:i w:val="0"/>
                <w:color w:val="000000"/>
                <w:sz w:val="24"/>
                <w:szCs w:val="24"/>
                <w:u w:val="none"/>
              </w:rPr>
            </w:pPr>
          </w:p>
        </w:tc>
      </w:tr>
      <w:tr w14:paraId="0DD3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677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D90D4">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9CC44">
            <w:pPr>
              <w:jc w:val="cente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3BD4A">
            <w:pPr>
              <w:jc w:val="center"/>
              <w:rPr>
                <w:rFonts w:hint="eastAsia" w:ascii="宋体" w:hAnsi="宋体" w:eastAsia="宋体" w:cs="宋体"/>
                <w:i w:val="0"/>
                <w:color w:val="000000"/>
                <w:sz w:val="24"/>
                <w:szCs w:val="24"/>
                <w:u w:val="none"/>
              </w:rPr>
            </w:pPr>
          </w:p>
        </w:tc>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A5CD7">
            <w:pPr>
              <w:jc w:val="cente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6B76">
            <w:pPr>
              <w:jc w:val="center"/>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E1BF">
            <w:pPr>
              <w:jc w:val="center"/>
              <w:rPr>
                <w:rFonts w:hint="eastAsia" w:ascii="宋体" w:hAnsi="宋体" w:eastAsia="宋体" w:cs="宋体"/>
                <w:i w:val="0"/>
                <w:color w:val="000000"/>
                <w:sz w:val="24"/>
                <w:szCs w:val="24"/>
                <w:u w:val="none"/>
              </w:rPr>
            </w:pPr>
          </w:p>
        </w:tc>
      </w:tr>
      <w:tr w14:paraId="0204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410C">
            <w:pPr>
              <w:jc w:val="center"/>
              <w:rPr>
                <w:rFonts w:hint="eastAsia" w:ascii="宋体" w:hAnsi="宋体" w:eastAsia="宋体" w:cs="宋体"/>
                <w:i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6329"/>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AB176">
            <w:pPr>
              <w:rPr>
                <w:rFonts w:hint="eastAsia" w:ascii="宋体" w:hAnsi="宋体" w:eastAsia="宋体" w:cs="宋体"/>
                <w:i w:val="0"/>
                <w:color w:val="000000"/>
                <w:sz w:val="24"/>
                <w:szCs w:val="24"/>
                <w:u w:val="none"/>
                <w:lang w:val="en-US" w:eastAsia="zh-CN"/>
              </w:rPr>
            </w:pP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18644">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15997">
            <w:pPr>
              <w:rPr>
                <w:rFonts w:hint="eastAsia" w:ascii="宋体" w:hAnsi="宋体" w:eastAsia="宋体" w:cs="宋体"/>
                <w:i w:val="0"/>
                <w:color w:val="000000"/>
                <w:sz w:val="24"/>
                <w:szCs w:val="24"/>
                <w:u w:val="none"/>
              </w:rPr>
            </w:pPr>
          </w:p>
        </w:tc>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D9E9EA">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7BE34">
            <w:pPr>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372F">
            <w:pPr>
              <w:rPr>
                <w:rFonts w:hint="eastAsia" w:ascii="宋体" w:hAnsi="宋体" w:eastAsia="宋体" w:cs="宋体"/>
                <w:i w:val="0"/>
                <w:color w:val="000000"/>
                <w:sz w:val="24"/>
                <w:szCs w:val="24"/>
                <w:u w:val="none"/>
              </w:rPr>
            </w:pPr>
          </w:p>
        </w:tc>
      </w:tr>
      <w:tr w14:paraId="2BA9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A7A18">
            <w:pPr>
              <w:jc w:val="center"/>
              <w:rPr>
                <w:rFonts w:hint="eastAsia" w:ascii="宋体" w:hAnsi="宋体" w:eastAsia="宋体" w:cs="宋体"/>
                <w:i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D5A"/>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162B5">
            <w:pPr>
              <w:rPr>
                <w:rFonts w:hint="eastAsia" w:ascii="宋体" w:hAnsi="宋体" w:eastAsia="宋体" w:cs="宋体"/>
                <w:i w:val="0"/>
                <w:color w:val="000000"/>
                <w:sz w:val="20"/>
                <w:szCs w:val="20"/>
                <w:u w:val="none"/>
              </w:rPr>
            </w:pP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BA229">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11415">
            <w:pPr>
              <w:rPr>
                <w:rFonts w:hint="eastAsia" w:ascii="宋体" w:hAnsi="宋体" w:eastAsia="宋体" w:cs="宋体"/>
                <w:i w:val="0"/>
                <w:color w:val="000000"/>
                <w:sz w:val="24"/>
                <w:szCs w:val="24"/>
                <w:u w:val="none"/>
              </w:rPr>
            </w:pPr>
          </w:p>
        </w:tc>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8FDFB">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2CAEE">
            <w:pPr>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0E82">
            <w:pPr>
              <w:rPr>
                <w:rFonts w:hint="eastAsia" w:ascii="宋体" w:hAnsi="宋体" w:eastAsia="宋体" w:cs="宋体"/>
                <w:i w:val="0"/>
                <w:color w:val="000000"/>
                <w:sz w:val="24"/>
                <w:szCs w:val="24"/>
                <w:u w:val="none"/>
              </w:rPr>
            </w:pPr>
          </w:p>
        </w:tc>
      </w:tr>
      <w:tr w14:paraId="30B7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DF691">
            <w:pPr>
              <w:jc w:val="center"/>
              <w:rPr>
                <w:rFonts w:hint="eastAsia" w:ascii="宋体" w:hAnsi="宋体" w:eastAsia="宋体" w:cs="宋体"/>
                <w:i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1EF0"/>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65584">
            <w:pPr>
              <w:rPr>
                <w:rFonts w:hint="eastAsia" w:ascii="宋体" w:hAnsi="宋体" w:eastAsia="宋体" w:cs="宋体"/>
                <w:i w:val="0"/>
                <w:color w:val="000000"/>
                <w:sz w:val="24"/>
                <w:szCs w:val="24"/>
                <w:u w:val="none"/>
              </w:rPr>
            </w:pP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3067">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89623">
            <w:pPr>
              <w:rPr>
                <w:rFonts w:hint="eastAsia" w:ascii="宋体" w:hAnsi="宋体" w:eastAsia="宋体" w:cs="宋体"/>
                <w:i w:val="0"/>
                <w:color w:val="000000"/>
                <w:sz w:val="24"/>
                <w:szCs w:val="24"/>
                <w:u w:val="none"/>
              </w:rPr>
            </w:pPr>
          </w:p>
        </w:tc>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4A090">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AD6BC">
            <w:pPr>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5D41">
            <w:pPr>
              <w:rPr>
                <w:rFonts w:hint="eastAsia" w:ascii="宋体" w:hAnsi="宋体" w:eastAsia="宋体" w:cs="宋体"/>
                <w:i w:val="0"/>
                <w:color w:val="000000"/>
                <w:sz w:val="24"/>
                <w:szCs w:val="24"/>
                <w:u w:val="none"/>
              </w:rPr>
            </w:pPr>
          </w:p>
        </w:tc>
      </w:tr>
      <w:tr w14:paraId="794B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126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E9ED883">
            <w:pPr>
              <w:jc w:val="center"/>
              <w:rPr>
                <w:rFonts w:hint="eastAsia" w:ascii="宋体" w:hAnsi="宋体" w:eastAsia="宋体" w:cs="宋体"/>
                <w:i w:val="0"/>
                <w:color w:val="000000"/>
                <w:sz w:val="24"/>
                <w:szCs w:val="24"/>
                <w:u w:val="none"/>
              </w:rPr>
            </w:pPr>
          </w:p>
        </w:tc>
        <w:tc>
          <w:tcPr>
            <w:tcW w:w="1426" w:type="dxa"/>
            <w:tcBorders>
              <w:top w:val="single" w:color="000000" w:sz="4" w:space="0"/>
              <w:left w:val="single" w:color="000000" w:sz="4" w:space="0"/>
              <w:bottom w:val="single" w:color="auto" w:sz="4" w:space="0"/>
              <w:right w:val="single" w:color="000000" w:sz="4" w:space="0"/>
            </w:tcBorders>
            <w:shd w:val="clear" w:color="auto" w:fill="auto"/>
            <w:vAlign w:val="center"/>
          </w:tcPr>
          <w:p w14:paraId="1734854A"/>
        </w:tc>
        <w:tc>
          <w:tcPr>
            <w:tcW w:w="210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097DE42">
            <w:pPr>
              <w:rPr>
                <w:rFonts w:hint="eastAsia" w:ascii="宋体" w:hAnsi="宋体" w:eastAsia="宋体" w:cs="宋体"/>
                <w:i w:val="0"/>
                <w:color w:val="000000"/>
                <w:sz w:val="20"/>
                <w:szCs w:val="20"/>
                <w:u w:val="none"/>
              </w:rPr>
            </w:pPr>
          </w:p>
        </w:tc>
        <w:tc>
          <w:tcPr>
            <w:tcW w:w="21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105B821">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0E2D1BF">
            <w:pPr>
              <w:rPr>
                <w:rFonts w:hint="eastAsia" w:ascii="宋体" w:hAnsi="宋体" w:eastAsia="宋体" w:cs="宋体"/>
                <w:i w:val="0"/>
                <w:color w:val="000000"/>
                <w:sz w:val="24"/>
                <w:szCs w:val="24"/>
                <w:u w:val="none"/>
              </w:rPr>
            </w:pPr>
          </w:p>
        </w:tc>
        <w:tc>
          <w:tcPr>
            <w:tcW w:w="2333"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AC3E626">
            <w:pPr>
              <w:rPr>
                <w:rFonts w:hint="eastAsia" w:ascii="宋体" w:hAnsi="宋体" w:eastAsia="宋体" w:cs="宋体"/>
                <w:i w:val="0"/>
                <w:color w:val="000000"/>
                <w:sz w:val="24"/>
                <w:szCs w:val="24"/>
                <w:u w:val="none"/>
              </w:rPr>
            </w:pPr>
          </w:p>
        </w:tc>
        <w:tc>
          <w:tcPr>
            <w:tcW w:w="233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29EB5EC">
            <w:pPr>
              <w:rPr>
                <w:rFonts w:hint="eastAsia" w:ascii="宋体" w:hAnsi="宋体" w:eastAsia="宋体" w:cs="宋体"/>
                <w:i w:val="0"/>
                <w:color w:val="000000"/>
                <w:sz w:val="24"/>
                <w:szCs w:val="24"/>
                <w:u w:val="none"/>
              </w:rPr>
            </w:pPr>
          </w:p>
        </w:tc>
        <w:tc>
          <w:tcPr>
            <w:tcW w:w="1553"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90AFB">
            <w:pPr>
              <w:rPr>
                <w:rFonts w:hint="eastAsia" w:ascii="宋体" w:hAnsi="宋体" w:eastAsia="宋体" w:cs="宋体"/>
                <w:i w:val="0"/>
                <w:color w:val="000000"/>
                <w:sz w:val="24"/>
                <w:szCs w:val="24"/>
                <w:u w:val="none"/>
              </w:rPr>
            </w:pPr>
          </w:p>
        </w:tc>
      </w:tr>
      <w:tr w14:paraId="0C58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266085">
            <w:pPr>
              <w:jc w:val="center"/>
              <w:rPr>
                <w:rFonts w:hint="eastAsia" w:ascii="宋体" w:hAnsi="宋体" w:eastAsia="宋体" w:cs="宋体"/>
                <w:i w:val="0"/>
                <w:color w:val="000000"/>
                <w:sz w:val="24"/>
                <w:szCs w:val="24"/>
                <w:u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726CACC"/>
        </w:tc>
        <w:tc>
          <w:tcPr>
            <w:tcW w:w="2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886793">
            <w:pPr>
              <w:rPr>
                <w:rFonts w:hint="eastAsia" w:ascii="宋体" w:hAnsi="宋体" w:eastAsia="宋体" w:cs="宋体"/>
                <w:i w:val="0"/>
                <w:color w:val="000000"/>
                <w:sz w:val="24"/>
                <w:szCs w:val="24"/>
                <w:u w:val="none"/>
              </w:rPr>
            </w:pPr>
          </w:p>
        </w:tc>
        <w:tc>
          <w:tcPr>
            <w:tcW w:w="21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D17F08">
            <w:pPr>
              <w:rPr>
                <w:rFonts w:hint="eastAsia" w:ascii="宋体" w:hAnsi="宋体" w:eastAsia="宋体" w:cs="宋体"/>
                <w:i w:val="0"/>
                <w:color w:val="000000"/>
                <w:sz w:val="24"/>
                <w:szCs w:val="24"/>
                <w:u w:val="none"/>
              </w:rPr>
            </w:pPr>
          </w:p>
        </w:tc>
        <w:tc>
          <w:tcPr>
            <w:tcW w:w="23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B119E2">
            <w:pPr>
              <w:rPr>
                <w:rFonts w:hint="eastAsia" w:ascii="宋体" w:hAnsi="宋体" w:eastAsia="宋体" w:cs="宋体"/>
                <w:i w:val="0"/>
                <w:color w:val="000000"/>
                <w:sz w:val="24"/>
                <w:szCs w:val="24"/>
                <w:u w:val="none"/>
              </w:rPr>
            </w:pPr>
          </w:p>
        </w:tc>
        <w:tc>
          <w:tcPr>
            <w:tcW w:w="23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B90C83">
            <w:pPr>
              <w:rPr>
                <w:rFonts w:hint="eastAsia" w:ascii="宋体" w:hAnsi="宋体" w:eastAsia="宋体" w:cs="宋体"/>
                <w:i w:val="0"/>
                <w:color w:val="000000"/>
                <w:sz w:val="24"/>
                <w:szCs w:val="24"/>
                <w:u w:val="none"/>
              </w:rPr>
            </w:pPr>
          </w:p>
        </w:tc>
        <w:tc>
          <w:tcPr>
            <w:tcW w:w="23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F1681">
            <w:pPr>
              <w:rPr>
                <w:rFonts w:hint="eastAsia" w:ascii="宋体" w:hAnsi="宋体" w:eastAsia="宋体" w:cs="宋体"/>
                <w:i w:val="0"/>
                <w:color w:val="000000"/>
                <w:sz w:val="24"/>
                <w:szCs w:val="24"/>
                <w:u w:val="none"/>
              </w:rPr>
            </w:pPr>
          </w:p>
        </w:tc>
        <w:tc>
          <w:tcPr>
            <w:tcW w:w="1553" w:type="dxa"/>
            <w:tcBorders>
              <w:top w:val="single" w:color="auto" w:sz="4" w:space="0"/>
              <w:left w:val="single" w:color="auto" w:sz="4" w:space="0"/>
              <w:bottom w:val="single" w:color="auto" w:sz="4" w:space="0"/>
              <w:right w:val="single" w:color="auto" w:sz="4" w:space="0"/>
            </w:tcBorders>
            <w:shd w:val="clear" w:color="auto" w:fill="auto"/>
            <w:vAlign w:val="center"/>
          </w:tcPr>
          <w:p w14:paraId="6E799E0C">
            <w:pPr>
              <w:rPr>
                <w:rFonts w:hint="eastAsia" w:ascii="宋体" w:hAnsi="宋体" w:eastAsia="宋体" w:cs="宋体"/>
                <w:i w:val="0"/>
                <w:color w:val="000000"/>
                <w:sz w:val="24"/>
                <w:szCs w:val="24"/>
                <w:u w:val="none"/>
              </w:rPr>
            </w:pPr>
          </w:p>
        </w:tc>
      </w:tr>
      <w:tr w14:paraId="6349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1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6A2BD">
            <w:pPr>
              <w:jc w:val="center"/>
              <w:rPr>
                <w:rFonts w:hint="eastAsia" w:ascii="宋体" w:hAnsi="宋体" w:eastAsia="宋体" w:cs="宋体"/>
                <w:i w:val="0"/>
                <w:color w:val="000000"/>
                <w:sz w:val="24"/>
                <w:szCs w:val="24"/>
                <w:u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1B2BF2BD"/>
        </w:tc>
        <w:tc>
          <w:tcPr>
            <w:tcW w:w="2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1A8AA4">
            <w:pPr>
              <w:rPr>
                <w:rFonts w:hint="eastAsia" w:ascii="宋体" w:hAnsi="宋体" w:eastAsia="宋体" w:cs="宋体"/>
                <w:i w:val="0"/>
                <w:color w:val="000000"/>
                <w:sz w:val="24"/>
                <w:szCs w:val="24"/>
                <w:u w:val="none"/>
              </w:rPr>
            </w:pPr>
          </w:p>
        </w:tc>
        <w:tc>
          <w:tcPr>
            <w:tcW w:w="21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1D1A61">
            <w:pPr>
              <w:rPr>
                <w:rFonts w:hint="eastAsia" w:ascii="宋体" w:hAnsi="宋体" w:eastAsia="宋体" w:cs="宋体"/>
                <w:i w:val="0"/>
                <w:color w:val="000000"/>
                <w:sz w:val="24"/>
                <w:szCs w:val="24"/>
                <w:u w:val="none"/>
              </w:rPr>
            </w:pPr>
          </w:p>
        </w:tc>
        <w:tc>
          <w:tcPr>
            <w:tcW w:w="23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FBA2">
            <w:pPr>
              <w:rPr>
                <w:rFonts w:hint="eastAsia" w:ascii="宋体" w:hAnsi="宋体" w:eastAsia="宋体" w:cs="宋体"/>
                <w:i w:val="0"/>
                <w:color w:val="000000"/>
                <w:sz w:val="24"/>
                <w:szCs w:val="24"/>
                <w:u w:val="none"/>
              </w:rPr>
            </w:pPr>
          </w:p>
        </w:tc>
        <w:tc>
          <w:tcPr>
            <w:tcW w:w="23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B57AA8">
            <w:pPr>
              <w:rPr>
                <w:rFonts w:hint="eastAsia" w:ascii="宋体" w:hAnsi="宋体" w:eastAsia="宋体" w:cs="宋体"/>
                <w:i w:val="0"/>
                <w:color w:val="000000"/>
                <w:sz w:val="24"/>
                <w:szCs w:val="24"/>
                <w:u w:val="none"/>
              </w:rPr>
            </w:pPr>
          </w:p>
        </w:tc>
        <w:tc>
          <w:tcPr>
            <w:tcW w:w="23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AE7AB8">
            <w:pPr>
              <w:rPr>
                <w:rFonts w:hint="eastAsia" w:ascii="宋体" w:hAnsi="宋体" w:eastAsia="宋体" w:cs="宋体"/>
                <w:i w:val="0"/>
                <w:color w:val="000000"/>
                <w:sz w:val="24"/>
                <w:szCs w:val="24"/>
                <w:u w:val="none"/>
              </w:rPr>
            </w:pPr>
          </w:p>
        </w:tc>
        <w:tc>
          <w:tcPr>
            <w:tcW w:w="1553" w:type="dxa"/>
            <w:tcBorders>
              <w:top w:val="single" w:color="auto" w:sz="4" w:space="0"/>
              <w:left w:val="single" w:color="auto" w:sz="4" w:space="0"/>
              <w:bottom w:val="single" w:color="auto" w:sz="4" w:space="0"/>
              <w:right w:val="single" w:color="auto" w:sz="4" w:space="0"/>
            </w:tcBorders>
            <w:shd w:val="clear" w:color="auto" w:fill="auto"/>
            <w:vAlign w:val="center"/>
          </w:tcPr>
          <w:p w14:paraId="56FF7C06">
            <w:pPr>
              <w:rPr>
                <w:rFonts w:hint="eastAsia" w:ascii="宋体" w:hAnsi="宋体" w:eastAsia="宋体" w:cs="宋体"/>
                <w:i w:val="0"/>
                <w:color w:val="000000"/>
                <w:sz w:val="24"/>
                <w:szCs w:val="24"/>
                <w:u w:val="none"/>
              </w:rPr>
            </w:pPr>
          </w:p>
        </w:tc>
      </w:tr>
      <w:tr w14:paraId="3D5F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14" w:type="dxa"/>
          <w:trHeight w:val="509" w:hRule="atLeast"/>
        </w:trPr>
        <w:tc>
          <w:tcPr>
            <w:tcW w:w="15488" w:type="dxa"/>
            <w:gridSpan w:val="17"/>
            <w:tcBorders>
              <w:top w:val="single" w:color="auto" w:sz="4" w:space="0"/>
              <w:left w:val="nil"/>
              <w:bottom w:val="nil"/>
              <w:right w:val="nil"/>
            </w:tcBorders>
            <w:shd w:val="clear" w:color="auto" w:fill="auto"/>
            <w:vAlign w:val="center"/>
          </w:tcPr>
          <w:p w14:paraId="6821BEF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C45C7D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284A6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D0B834C">
      <w:pPr>
        <w:widowControl/>
        <w:jc w:val="both"/>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47E7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5B83FF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1EE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EC973C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493621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E928D7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77DF3F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595B280">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6B42D7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5CB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05F8BE32">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部门：益阳市大通湖区应急管理局</w:t>
            </w:r>
          </w:p>
        </w:tc>
        <w:tc>
          <w:tcPr>
            <w:tcW w:w="3315" w:type="dxa"/>
            <w:tcBorders>
              <w:top w:val="nil"/>
              <w:left w:val="nil"/>
              <w:bottom w:val="nil"/>
              <w:right w:val="nil"/>
            </w:tcBorders>
            <w:shd w:val="clear" w:color="auto" w:fill="FFFFFF"/>
            <w:vAlign w:val="center"/>
          </w:tcPr>
          <w:p w14:paraId="311DEE5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75F9F18">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6CE777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A1B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9F6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570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DE5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CC6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C93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BBE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F69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57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06F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6E0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C0E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1BA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5EB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B32F">
            <w:pPr>
              <w:jc w:val="center"/>
              <w:rPr>
                <w:rFonts w:hint="eastAsia" w:ascii="宋体" w:hAnsi="宋体" w:eastAsia="宋体" w:cs="宋体"/>
                <w:i w:val="0"/>
                <w:color w:val="000000"/>
                <w:sz w:val="24"/>
                <w:szCs w:val="24"/>
                <w:u w:val="none"/>
              </w:rPr>
            </w:pPr>
          </w:p>
        </w:tc>
      </w:tr>
      <w:tr w14:paraId="567E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D12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9D8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679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32C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E4C0">
            <w:pPr>
              <w:jc w:val="center"/>
              <w:rPr>
                <w:rFonts w:hint="eastAsia" w:ascii="宋体" w:hAnsi="宋体" w:eastAsia="宋体" w:cs="宋体"/>
                <w:i w:val="0"/>
                <w:color w:val="000000"/>
                <w:sz w:val="24"/>
                <w:szCs w:val="24"/>
                <w:u w:val="none"/>
              </w:rPr>
            </w:pPr>
          </w:p>
        </w:tc>
      </w:tr>
      <w:tr w14:paraId="6B7E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149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33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F1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7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063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F06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9811">
            <w:pPr>
              <w:jc w:val="center"/>
              <w:rPr>
                <w:rFonts w:hint="eastAsia" w:ascii="宋体" w:hAnsi="宋体" w:eastAsia="宋体" w:cs="宋体"/>
                <w:i w:val="0"/>
                <w:color w:val="000000"/>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4FB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CA8">
            <w:pPr>
              <w:jc w:val="center"/>
              <w:rPr>
                <w:rFonts w:hint="eastAsia" w:ascii="宋体" w:hAnsi="宋体" w:eastAsia="宋体" w:cs="宋体"/>
                <w:i w:val="0"/>
                <w:color w:val="000000"/>
                <w:sz w:val="24"/>
                <w:szCs w:val="24"/>
                <w:u w:val="none"/>
              </w:rPr>
            </w:pPr>
          </w:p>
        </w:tc>
      </w:tr>
      <w:tr w14:paraId="1702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D0C4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55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1C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6ED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193F">
            <w:pPr>
              <w:rPr>
                <w:rFonts w:hint="eastAsia" w:ascii="宋体" w:hAnsi="宋体" w:eastAsia="宋体" w:cs="宋体"/>
                <w:i w:val="0"/>
                <w:color w:val="000000"/>
                <w:sz w:val="24"/>
                <w:szCs w:val="24"/>
                <w:u w:val="none"/>
              </w:rPr>
            </w:pPr>
          </w:p>
        </w:tc>
      </w:tr>
      <w:tr w14:paraId="64A6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9378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6B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C9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791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86E">
            <w:pPr>
              <w:rPr>
                <w:rFonts w:hint="eastAsia" w:ascii="宋体" w:hAnsi="宋体" w:eastAsia="宋体" w:cs="宋体"/>
                <w:i w:val="0"/>
                <w:color w:val="000000"/>
                <w:sz w:val="24"/>
                <w:szCs w:val="24"/>
                <w:u w:val="none"/>
              </w:rPr>
            </w:pPr>
          </w:p>
        </w:tc>
      </w:tr>
      <w:tr w14:paraId="59F8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525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78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46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84F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481A">
            <w:pPr>
              <w:rPr>
                <w:rFonts w:hint="eastAsia" w:ascii="宋体" w:hAnsi="宋体" w:eastAsia="宋体" w:cs="宋体"/>
                <w:i w:val="0"/>
                <w:color w:val="000000"/>
                <w:sz w:val="24"/>
                <w:szCs w:val="24"/>
                <w:u w:val="none"/>
              </w:rPr>
            </w:pPr>
          </w:p>
        </w:tc>
      </w:tr>
      <w:tr w14:paraId="4ED9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531C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18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28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75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BEAC">
            <w:pPr>
              <w:rPr>
                <w:rFonts w:hint="eastAsia" w:ascii="宋体" w:hAnsi="宋体" w:eastAsia="宋体" w:cs="宋体"/>
                <w:i w:val="0"/>
                <w:color w:val="000000"/>
                <w:sz w:val="24"/>
                <w:szCs w:val="24"/>
                <w:u w:val="none"/>
              </w:rPr>
            </w:pPr>
          </w:p>
        </w:tc>
      </w:tr>
      <w:tr w14:paraId="3F76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2968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D9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FE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ADD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F94">
            <w:pPr>
              <w:rPr>
                <w:rFonts w:hint="eastAsia" w:ascii="宋体" w:hAnsi="宋体" w:eastAsia="宋体" w:cs="宋体"/>
                <w:i w:val="0"/>
                <w:color w:val="000000"/>
                <w:sz w:val="24"/>
                <w:szCs w:val="24"/>
                <w:u w:val="none"/>
              </w:rPr>
            </w:pPr>
          </w:p>
        </w:tc>
      </w:tr>
      <w:tr w14:paraId="7CF9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96D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FD8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F3D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9B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41EA">
            <w:pPr>
              <w:rPr>
                <w:rFonts w:hint="eastAsia" w:ascii="宋体" w:hAnsi="宋体" w:eastAsia="宋体" w:cs="宋体"/>
                <w:i w:val="0"/>
                <w:color w:val="000000"/>
                <w:sz w:val="24"/>
                <w:szCs w:val="24"/>
                <w:u w:val="none"/>
              </w:rPr>
            </w:pPr>
          </w:p>
        </w:tc>
      </w:tr>
      <w:tr w14:paraId="64E2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19A06A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8700F6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68705B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4521FFC">
      <w:pPr>
        <w:widowControl/>
        <w:jc w:val="both"/>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C0A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3E0688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C66E17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51E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4473EE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DE5DC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0A3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7CD5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2D324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5D2D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868F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41FC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4141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9DA5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9A4755">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47859F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9EB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7A638312">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部门：益阳市大通湖区应急管理局</w:t>
            </w:r>
          </w:p>
        </w:tc>
        <w:tc>
          <w:tcPr>
            <w:tcW w:w="1261" w:type="dxa"/>
            <w:tcBorders>
              <w:top w:val="nil"/>
              <w:left w:val="nil"/>
              <w:bottom w:val="nil"/>
              <w:right w:val="nil"/>
            </w:tcBorders>
            <w:shd w:val="clear" w:color="auto" w:fill="FFFFFF"/>
            <w:vAlign w:val="center"/>
          </w:tcPr>
          <w:p w14:paraId="56A8AD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6C6FA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005F4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B6D0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C04E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2D594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5412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035A32">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018E264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82B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AC46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54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9E1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F02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2B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39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D23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795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2C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46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60E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E22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336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192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2B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6C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4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92A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9AE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C35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68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85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1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3575">
            <w:pPr>
              <w:jc w:val="center"/>
              <w:rPr>
                <w:rFonts w:hint="eastAsia" w:ascii="宋体" w:hAnsi="宋体" w:eastAsia="宋体" w:cs="宋体"/>
                <w:i w:val="0"/>
                <w:color w:val="000000"/>
                <w:sz w:val="22"/>
                <w:szCs w:val="22"/>
                <w:u w:val="none"/>
              </w:rPr>
            </w:pPr>
          </w:p>
        </w:tc>
      </w:tr>
      <w:tr w14:paraId="3B13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32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6A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9E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49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4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8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2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C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7F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2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5D7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582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7B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C96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44AE">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59D0">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00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20E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657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2FDD">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8C4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B1F3">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5C56">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5.99</w:t>
            </w:r>
          </w:p>
        </w:tc>
      </w:tr>
      <w:tr w14:paraId="3140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39F7D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D098EE">
      <w:pPr>
        <w:autoSpaceDE w:val="0"/>
        <w:autoSpaceDN w:val="0"/>
        <w:adjustRightInd w:val="0"/>
        <w:ind w:left="315" w:leftChars="150"/>
        <w:jc w:val="left"/>
        <w:rPr>
          <w:rFonts w:ascii="宋体" w:eastAsia="宋体" w:cs="宋体"/>
          <w:kern w:val="0"/>
          <w:sz w:val="24"/>
          <w:szCs w:val="24"/>
        </w:rPr>
      </w:pPr>
    </w:p>
    <w:p w14:paraId="69BF9441">
      <w:pPr>
        <w:widowControl/>
        <w:jc w:val="both"/>
        <w:rPr>
          <w:sz w:val="72"/>
          <w:szCs w:val="72"/>
        </w:rPr>
        <w:sectPr>
          <w:pgSz w:w="16838" w:h="11906" w:orient="landscape"/>
          <w:pgMar w:top="720" w:right="720" w:bottom="720" w:left="720" w:header="851" w:footer="992" w:gutter="0"/>
          <w:pgNumType w:fmt="decimal"/>
          <w:cols w:space="425" w:num="1"/>
          <w:docGrid w:type="lines" w:linePitch="312" w:charSpace="0"/>
        </w:sectPr>
      </w:pPr>
    </w:p>
    <w:p w14:paraId="1403B939">
      <w:pPr>
        <w:pStyle w:val="20"/>
        <w:jc w:val="both"/>
        <w:rPr>
          <w:rFonts w:hint="eastAsia" w:ascii="方正小标宋_GBK" w:hAnsi="方正小标宋_GBK" w:eastAsia="方正小标宋_GBK" w:cs="方正小标宋_GBK"/>
          <w:sz w:val="72"/>
          <w:szCs w:val="72"/>
        </w:rPr>
      </w:pPr>
    </w:p>
    <w:p w14:paraId="5D67274A">
      <w:pPr>
        <w:pStyle w:val="20"/>
        <w:jc w:val="both"/>
        <w:rPr>
          <w:rFonts w:hint="eastAsia" w:ascii="方正小标宋_GBK" w:hAnsi="方正小标宋_GBK" w:eastAsia="方正小标宋_GBK" w:cs="方正小标宋_GBK"/>
          <w:sz w:val="72"/>
          <w:szCs w:val="72"/>
        </w:rPr>
      </w:pPr>
    </w:p>
    <w:p w14:paraId="593EE2B7">
      <w:pPr>
        <w:pStyle w:val="20"/>
        <w:jc w:val="both"/>
        <w:rPr>
          <w:rFonts w:hint="eastAsia" w:ascii="方正小标宋_GBK" w:hAnsi="方正小标宋_GBK" w:eastAsia="方正小标宋_GBK" w:cs="方正小标宋_GBK"/>
          <w:sz w:val="72"/>
          <w:szCs w:val="72"/>
        </w:rPr>
      </w:pPr>
    </w:p>
    <w:p w14:paraId="3ED349DB">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3BA0737">
      <w:pPr>
        <w:pStyle w:val="20"/>
        <w:jc w:val="center"/>
        <w:rPr>
          <w:rFonts w:hint="eastAsia" w:ascii="方正小标宋_GBK" w:hAnsi="方正小标宋_GBK" w:eastAsia="方正小标宋_GBK" w:cs="方正小标宋_GBK"/>
          <w:sz w:val="70"/>
          <w:szCs w:val="70"/>
        </w:rPr>
      </w:pPr>
    </w:p>
    <w:p w14:paraId="767D53EF">
      <w:pPr>
        <w:pStyle w:val="2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04FF40D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96555B8">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608E298">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1,110.73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w:t>
      </w:r>
      <w:r>
        <w:rPr>
          <w:rFonts w:hint="eastAsia" w:ascii="Times New Roman" w:hAnsi="Times New Roman" w:eastAsia="仿宋_GB2312" w:cs="仿宋_GB2312"/>
          <w:bCs/>
          <w:kern w:val="0"/>
          <w:sz w:val="32"/>
          <w:szCs w:val="32"/>
          <w:lang w:val="en-US" w:eastAsia="zh-CN" w:bidi="ar-SA"/>
        </w:rPr>
        <w:t>61.49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减少5.54</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14:textFill>
            <w14:solidFill>
              <w14:schemeClr w14:val="tx1"/>
            </w14:solidFill>
          </w14:textFill>
        </w:rPr>
        <w:t>主要是因为</w:t>
      </w:r>
      <w:r>
        <w:rPr>
          <w:rFonts w:hint="eastAsia" w:ascii="Times New Roman" w:hAnsi="Times New Roman" w:eastAsia="仿宋_GB2312"/>
          <w:color w:val="000000" w:themeColor="text1"/>
          <w:sz w:val="32"/>
          <w:szCs w:val="32"/>
          <w:lang w:val="en-US" w:eastAsia="zh-CN"/>
          <w14:textFill>
            <w14:solidFill>
              <w14:schemeClr w14:val="tx1"/>
            </w14:solidFill>
          </w14:textFill>
        </w:rPr>
        <w:t>减少单位往来资金，厉行</w:t>
      </w:r>
      <w:r>
        <w:rPr>
          <w:rFonts w:hint="eastAsia" w:ascii="Times New Roman" w:hAnsi="Times New Roman" w:eastAsia="仿宋_GB2312"/>
          <w:sz w:val="32"/>
          <w:szCs w:val="32"/>
          <w:lang w:val="en-US" w:eastAsia="zh-CN"/>
        </w:rPr>
        <w:t>节约。</w:t>
      </w:r>
    </w:p>
    <w:p w14:paraId="056A8F97">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4FBD852">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1,110.73</w:t>
      </w:r>
      <w:r>
        <w:rPr>
          <w:rFonts w:hint="eastAsia" w:ascii="Times New Roman" w:hAnsi="Times New Roman" w:eastAsia="仿宋_GB2312"/>
          <w:sz w:val="32"/>
          <w:szCs w:val="32"/>
        </w:rPr>
        <w:t>万元，其中：财政拨款收入</w:t>
      </w:r>
      <w:r>
        <w:rPr>
          <w:rFonts w:hint="eastAsia" w:ascii="Times New Roman" w:hAnsi="Times New Roman" w:eastAsia="仿宋_GB2312" w:cs="仿宋_GB2312"/>
          <w:bCs/>
          <w:kern w:val="0"/>
          <w:sz w:val="32"/>
          <w:szCs w:val="32"/>
          <w:lang w:val="en-US" w:eastAsia="zh-CN" w:bidi="ar-SA"/>
        </w:rPr>
        <w:t>1,102.48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99.26</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8.26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0.74</w:t>
      </w:r>
      <w:r>
        <w:rPr>
          <w:rFonts w:hint="eastAsia" w:ascii="Times New Roman" w:hAnsi="Times New Roman" w:eastAsia="仿宋_GB2312"/>
          <w:sz w:val="32"/>
          <w:szCs w:val="32"/>
        </w:rPr>
        <w:t>%。</w:t>
      </w:r>
    </w:p>
    <w:p w14:paraId="0D9B1042">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7DC1839">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1，110.73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281.18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25.31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829.56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74.69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5D2E866">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C0C0B99">
      <w:pPr>
        <w:pStyle w:val="20"/>
        <w:keepNext w:val="0"/>
        <w:keepLines w:val="0"/>
        <w:pageBreakBefore w:val="0"/>
        <w:widowControl w:val="0"/>
        <w:kinsoku/>
        <w:wordWrap/>
        <w:overflowPunct/>
        <w:topLinePunct w:val="0"/>
        <w:bidi w:val="0"/>
        <w:snapToGrid/>
        <w:spacing w:line="592" w:lineRule="exact"/>
        <w:ind w:left="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1,102.48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减少33.72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3.06</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14:textFill>
            <w14:solidFill>
              <w14:schemeClr w14:val="tx1"/>
            </w14:solidFill>
          </w14:textFill>
        </w:rPr>
        <w:t>主要是因为</w:t>
      </w:r>
      <w:r>
        <w:rPr>
          <w:rFonts w:hint="eastAsia" w:ascii="Times New Roman" w:hAnsi="Times New Roman" w:eastAsia="仿宋_GB2312"/>
          <w:color w:val="000000" w:themeColor="text1"/>
          <w:sz w:val="32"/>
          <w:szCs w:val="32"/>
          <w:lang w:val="en-US" w:eastAsia="zh-CN"/>
          <w14:textFill>
            <w14:solidFill>
              <w14:schemeClr w14:val="tx1"/>
            </w14:solidFill>
          </w14:textFill>
        </w:rPr>
        <w:t>减少单位往来资金，厉行</w:t>
      </w:r>
      <w:r>
        <w:rPr>
          <w:rFonts w:hint="eastAsia" w:ascii="Times New Roman" w:hAnsi="Times New Roman" w:eastAsia="仿宋_GB2312"/>
          <w:sz w:val="32"/>
          <w:szCs w:val="32"/>
          <w:lang w:val="en-US" w:eastAsia="zh-CN"/>
        </w:rPr>
        <w:t>节约。</w:t>
      </w:r>
    </w:p>
    <w:p w14:paraId="71D4C6B5">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88B2263">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2F77FBE">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1,102.48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99.26</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减少33.72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减少3.06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厉行节约</w:t>
      </w:r>
      <w:r>
        <w:rPr>
          <w:rFonts w:hint="eastAsia" w:ascii="Times New Roman" w:hAnsi="Times New Roman" w:eastAsia="仿宋_GB2312" w:cs="仿宋_GB2312"/>
          <w:bCs/>
          <w:kern w:val="0"/>
          <w:sz w:val="32"/>
          <w:szCs w:val="32"/>
          <w:lang w:val="en-US" w:eastAsia="zh-CN" w:bidi="ar-SA"/>
        </w:rPr>
        <w:t>。</w:t>
      </w:r>
    </w:p>
    <w:p w14:paraId="352409A2">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D66C6B0">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1,102.48</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0.36</w:t>
      </w:r>
      <w:r>
        <w:rPr>
          <w:rFonts w:hint="eastAsia" w:ascii="Times New Roman" w:hAnsi="Times New Roman" w:eastAsia="仿宋_GB2312"/>
          <w:sz w:val="32"/>
          <w:szCs w:val="32"/>
        </w:rPr>
        <w:t>%；社会保障和就业支出21.74</w:t>
      </w:r>
      <w:r>
        <w:rPr>
          <w:rFonts w:hint="eastAsia" w:ascii="Times New Roman" w:hAnsi="Times New Roman" w:eastAsia="仿宋_GB2312"/>
          <w:sz w:val="32"/>
          <w:szCs w:val="32"/>
          <w:lang w:val="en-US" w:eastAsia="zh-CN"/>
        </w:rPr>
        <w:t>元，占</w:t>
      </w:r>
      <w:r>
        <w:rPr>
          <w:rFonts w:hint="eastAsia" w:ascii="Times New Roman" w:hAnsi="Times New Roman" w:eastAsia="仿宋_GB2312"/>
          <w:sz w:val="32"/>
          <w:szCs w:val="32"/>
        </w:rPr>
        <w:t>1.97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15.37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olor w:val="000000" w:themeColor="text1"/>
          <w:sz w:val="32"/>
          <w:szCs w:val="32"/>
          <w:lang w:eastAsia="zh-CN"/>
          <w14:textFill>
            <w14:solidFill>
              <w14:schemeClr w14:val="tx1"/>
            </w14:solidFill>
          </w14:textFill>
        </w:rPr>
        <w:t>农林水支出</w:t>
      </w:r>
      <w:r>
        <w:rPr>
          <w:rFonts w:hint="eastAsia" w:ascii="Times New Roman" w:hAnsi="Times New Roman" w:eastAsia="仿宋_GB2312"/>
          <w:color w:val="000000" w:themeColor="text1"/>
          <w:sz w:val="32"/>
          <w:szCs w:val="32"/>
          <w:lang w:val="en-US" w:eastAsia="zh-CN"/>
          <w14:textFill>
            <w14:solidFill>
              <w14:schemeClr w14:val="tx1"/>
            </w14:solidFill>
          </w14:textFill>
        </w:rPr>
        <w:t>132.22</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11.99</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自然资源海洋气象等支出26.5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2.40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17.29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；灾害防治及应急管理支出885.36</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占80.3</w:t>
      </w:r>
      <w:r>
        <w:rPr>
          <w:rFonts w:hint="eastAsia" w:ascii="Times New Roman" w:hAnsi="Times New Roman" w:eastAsia="仿宋_GB2312"/>
          <w:sz w:val="32"/>
          <w:szCs w:val="32"/>
          <w:lang w:val="en-US" w:eastAsia="zh-CN"/>
        </w:rPr>
        <w:t>1%。</w:t>
      </w:r>
    </w:p>
    <w:p w14:paraId="726B09B3">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color w:val="000000" w:themeColor="text1"/>
          <w:sz w:val="32"/>
          <w:szCs w:val="32"/>
          <w14:textFill>
            <w14:solidFill>
              <w14:schemeClr w14:val="tx1"/>
            </w14:solidFill>
          </w14:textFill>
        </w:rPr>
        <w:t>一般公共预算财政拨款支出决算具体情况</w:t>
      </w:r>
    </w:p>
    <w:p w14:paraId="00DFDA9A">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281.57</w:t>
      </w:r>
      <w:r>
        <w:rPr>
          <w:rFonts w:hint="eastAsia" w:ascii="Times New Roman" w:hAnsi="Times New Roman" w:eastAsia="仿宋_GB2312"/>
          <w:sz w:val="32"/>
          <w:szCs w:val="32"/>
        </w:rPr>
        <w:t>万元，支出决算数</w:t>
      </w:r>
      <w:r>
        <w:rPr>
          <w:rFonts w:hint="eastAsia" w:ascii="Times New Roman" w:hAnsi="Times New Roman" w:eastAsia="仿宋_GB2312"/>
          <w:sz w:val="32"/>
          <w:szCs w:val="32"/>
          <w:lang w:val="en-US" w:eastAsia="zh-CN"/>
        </w:rPr>
        <w:t>1,102.48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391.55</w:t>
      </w:r>
      <w:r>
        <w:rPr>
          <w:rFonts w:hint="eastAsia" w:ascii="Times New Roman" w:hAnsi="Times New Roman" w:eastAsia="仿宋_GB2312"/>
          <w:sz w:val="32"/>
          <w:szCs w:val="32"/>
        </w:rPr>
        <w:t>%，其中：</w:t>
      </w:r>
    </w:p>
    <w:p w14:paraId="4A16780C">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一般公共服务（类）其他一般公共服务支出。</w:t>
      </w:r>
    </w:p>
    <w:p w14:paraId="73E355E1">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年中增加预算</w:t>
      </w:r>
      <w:r>
        <w:rPr>
          <w:rFonts w:hint="eastAsia" w:ascii="Times New Roman" w:hAnsi="Times New Roman" w:eastAsia="仿宋_GB2312"/>
          <w:sz w:val="32"/>
          <w:szCs w:val="32"/>
          <w:lang w:eastAsia="zh-CN"/>
        </w:rPr>
        <w:t>；</w:t>
      </w:r>
    </w:p>
    <w:p w14:paraId="68E1AEF3">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社会保障和就业支出（类）行政事业单位养老支出。</w:t>
      </w:r>
    </w:p>
    <w:p w14:paraId="2540506D">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67.31</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的主要原因是：人员增减变动</w:t>
      </w:r>
      <w:r>
        <w:rPr>
          <w:rFonts w:hint="eastAsia" w:ascii="Times New Roman" w:hAnsi="Times New Roman" w:eastAsia="仿宋_GB2312"/>
          <w:sz w:val="32"/>
          <w:szCs w:val="32"/>
          <w:lang w:eastAsia="zh-CN"/>
        </w:rPr>
        <w:t>；</w:t>
      </w:r>
    </w:p>
    <w:p w14:paraId="1B40BE01">
      <w:pPr>
        <w:pStyle w:val="20"/>
        <w:keepNext w:val="0"/>
        <w:keepLines w:val="0"/>
        <w:pageBreakBefore w:val="0"/>
        <w:widowControl w:val="0"/>
        <w:numPr>
          <w:ilvl w:val="0"/>
          <w:numId w:val="0"/>
        </w:numPr>
        <w:kinsoku/>
        <w:wordWrap/>
        <w:overflowPunct/>
        <w:topLinePunct w:val="0"/>
        <w:bidi w:val="0"/>
        <w:snapToGrid/>
        <w:spacing w:line="592" w:lineRule="exact"/>
        <w:ind w:left="0" w:leftChars="0" w:firstLine="800" w:firstLineChars="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类）卫生健康管理事务。</w:t>
      </w:r>
    </w:p>
    <w:p w14:paraId="69AAF481">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93.10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人员增减变动；</w:t>
      </w:r>
    </w:p>
    <w:p w14:paraId="737EA421">
      <w:pPr>
        <w:pStyle w:val="20"/>
        <w:keepNext w:val="0"/>
        <w:keepLines w:val="0"/>
        <w:pageBreakBefore w:val="0"/>
        <w:widowControl w:val="0"/>
        <w:numPr>
          <w:ilvl w:val="0"/>
          <w:numId w:val="0"/>
        </w:numPr>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4.</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类）水利。</w:t>
      </w:r>
    </w:p>
    <w:p w14:paraId="2AF8EE3B">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132.22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的主要原因是：年中增加预算</w:t>
      </w:r>
      <w:r>
        <w:rPr>
          <w:rFonts w:hint="eastAsia" w:ascii="Times New Roman" w:hAnsi="Times New Roman" w:eastAsia="仿宋_GB2312"/>
          <w:sz w:val="32"/>
          <w:szCs w:val="32"/>
          <w:lang w:eastAsia="zh-CN"/>
        </w:rPr>
        <w:t>；</w:t>
      </w:r>
    </w:p>
    <w:p w14:paraId="3BFCBBC2">
      <w:pPr>
        <w:pStyle w:val="20"/>
        <w:keepNext w:val="0"/>
        <w:keepLines w:val="0"/>
        <w:pageBreakBefore w:val="0"/>
        <w:widowControl w:val="0"/>
        <w:numPr>
          <w:ilvl w:val="0"/>
          <w:numId w:val="0"/>
        </w:numPr>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5.</w:t>
      </w:r>
      <w:r>
        <w:rPr>
          <w:rFonts w:hint="eastAsia" w:ascii="Times New Roman" w:hAnsi="Times New Roman" w:eastAsia="仿宋_GB2312"/>
          <w:sz w:val="32"/>
          <w:szCs w:val="32"/>
          <w:lang w:eastAsia="zh-CN"/>
        </w:rPr>
        <w:t>自然资源海洋气象等支出（</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其他气象事务支出。</w:t>
      </w:r>
    </w:p>
    <w:p w14:paraId="77855BEF">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b/>
          <w:bCs/>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26.50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的主要原因是：年中增加预算</w:t>
      </w:r>
      <w:r>
        <w:rPr>
          <w:rFonts w:hint="eastAsia" w:ascii="Times New Roman" w:hAnsi="Times New Roman" w:eastAsia="仿宋_GB2312"/>
          <w:sz w:val="32"/>
          <w:szCs w:val="32"/>
          <w:lang w:eastAsia="zh-CN"/>
        </w:rPr>
        <w:t>；</w:t>
      </w:r>
    </w:p>
    <w:p w14:paraId="2E26D0A7">
      <w:pPr>
        <w:pStyle w:val="20"/>
        <w:keepNext w:val="0"/>
        <w:keepLines w:val="0"/>
        <w:pageBreakBefore w:val="0"/>
        <w:widowControl w:val="0"/>
        <w:numPr>
          <w:ilvl w:val="0"/>
          <w:numId w:val="0"/>
        </w:numPr>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6.</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应急管理事务。</w:t>
      </w:r>
    </w:p>
    <w:p w14:paraId="054BB2F0">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215.47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885.36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410.90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新增项目金额较大，费用同步增加</w:t>
      </w:r>
      <w:r>
        <w:rPr>
          <w:rFonts w:hint="eastAsia" w:ascii="Times New Roman" w:hAnsi="Times New Roman" w:eastAsia="仿宋_GB2312"/>
          <w:sz w:val="32"/>
          <w:szCs w:val="32"/>
          <w:lang w:eastAsia="zh-CN"/>
        </w:rPr>
        <w:t>；</w:t>
      </w:r>
    </w:p>
    <w:p w14:paraId="3B863CAB">
      <w:pPr>
        <w:pStyle w:val="20"/>
        <w:keepNext w:val="0"/>
        <w:keepLines w:val="0"/>
        <w:pageBreakBefore w:val="0"/>
        <w:widowControl w:val="0"/>
        <w:numPr>
          <w:ilvl w:val="0"/>
          <w:numId w:val="0"/>
        </w:numPr>
        <w:kinsoku/>
        <w:wordWrap/>
        <w:overflowPunct/>
        <w:topLinePunct w:val="0"/>
        <w:bidi w:val="0"/>
        <w:snapToGrid/>
        <w:spacing w:line="592" w:lineRule="exact"/>
        <w:ind w:left="0" w:leftChars="0" w:firstLine="800" w:firstLineChars="0"/>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黑体"/>
          <w:color w:val="000000"/>
          <w:kern w:val="0"/>
          <w:sz w:val="32"/>
          <w:szCs w:val="32"/>
          <w:lang w:val="en-US" w:eastAsia="zh-CN" w:bidi="ar-SA"/>
        </w:rPr>
        <w:t>7</w:t>
      </w:r>
      <w:r>
        <w:rPr>
          <w:rFonts w:hint="eastAsia"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sz w:val="32"/>
          <w:szCs w:val="32"/>
          <w:lang w:val="en-US" w:eastAsia="zh-CN"/>
        </w:rPr>
        <w:t>住房保障支出（类）住房公积金。</w:t>
      </w:r>
    </w:p>
    <w:p w14:paraId="332A2DA9">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41FAFCBF">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BCDB76A">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年度财政拨款基本支出281</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万元，其中：</w:t>
      </w:r>
    </w:p>
    <w:p w14:paraId="02B8E1CF">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72.01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主要包括基本工资、津贴补贴、奖金、</w:t>
      </w:r>
      <w:r>
        <w:rPr>
          <w:rFonts w:hint="eastAsia" w:ascii="Times New Roman" w:hAnsi="Times New Roman" w:eastAsia="仿宋_GB2312"/>
          <w:color w:val="000000" w:themeColor="text1"/>
          <w:sz w:val="32"/>
          <w:szCs w:val="32"/>
          <w:lang w:val="en-US" w:eastAsia="zh-CN"/>
          <w14:textFill>
            <w14:solidFill>
              <w14:schemeClr w14:val="tx1"/>
            </w14:solidFill>
          </w14:textFill>
        </w:rPr>
        <w:t>绩效工资</w:t>
      </w:r>
      <w:r>
        <w:rPr>
          <w:rFonts w:hint="eastAsia" w:ascii="Times New Roman" w:hAnsi="Times New Roman" w:eastAsia="仿宋_GB2312"/>
          <w:color w:val="000000" w:themeColor="text1"/>
          <w:sz w:val="32"/>
          <w:szCs w:val="32"/>
          <w14:textFill>
            <w14:solidFill>
              <w14:schemeClr w14:val="tx1"/>
            </w14:solidFill>
          </w14:textFill>
        </w:rPr>
        <w:t>、机关事业单位基本养老保险费、职工基本医疗保险缴费、公务员医疗补助缴费、</w:t>
      </w:r>
      <w:r>
        <w:rPr>
          <w:rFonts w:hint="eastAsia" w:ascii="Times New Roman" w:hAnsi="Times New Roman" w:eastAsia="仿宋_GB2312"/>
          <w:color w:val="000000" w:themeColor="text1"/>
          <w:sz w:val="32"/>
          <w:szCs w:val="32"/>
          <w:lang w:val="en-US" w:eastAsia="zh-CN"/>
          <w14:textFill>
            <w14:solidFill>
              <w14:schemeClr w14:val="tx1"/>
            </w14:solidFill>
          </w14:textFill>
        </w:rPr>
        <w:t>其他社会保障缴费、</w:t>
      </w:r>
      <w:r>
        <w:rPr>
          <w:rFonts w:hint="eastAsia" w:ascii="Times New Roman" w:hAnsi="Times New Roman" w:eastAsia="仿宋_GB2312"/>
          <w:color w:val="000000" w:themeColor="text1"/>
          <w:sz w:val="32"/>
          <w:szCs w:val="32"/>
          <w14:textFill>
            <w14:solidFill>
              <w14:schemeClr w14:val="tx1"/>
            </w14:solidFill>
          </w14:textFill>
        </w:rPr>
        <w:t>住房公积金</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15FAFE08">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78.70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27.99</w:t>
      </w:r>
      <w:r>
        <w:rPr>
          <w:rFonts w:hint="eastAsia" w:ascii="Times New Roman" w:hAnsi="Times New Roman" w:eastAsia="仿宋_GB2312"/>
          <w:sz w:val="32"/>
          <w:szCs w:val="32"/>
        </w:rPr>
        <w:t>%，主要包括办公费、印刷费、水费、电费、差旅费、会议费、培训费、公务接待费、</w:t>
      </w:r>
      <w:r>
        <w:rPr>
          <w:rFonts w:hint="eastAsia" w:ascii="Times New Roman" w:hAnsi="Times New Roman" w:eastAsia="仿宋_GB2312"/>
          <w:sz w:val="32"/>
          <w:szCs w:val="32"/>
          <w:lang w:val="en-US" w:eastAsia="zh-CN"/>
        </w:rPr>
        <w:t>其他交通费用、</w:t>
      </w:r>
      <w:r>
        <w:rPr>
          <w:rFonts w:hint="eastAsia" w:ascii="Times New Roman" w:hAnsi="Times New Roman" w:eastAsia="仿宋_GB2312"/>
          <w:sz w:val="32"/>
          <w:szCs w:val="32"/>
        </w:rPr>
        <w:t>其他商品和服务支出</w:t>
      </w:r>
      <w:r>
        <w:rPr>
          <w:rFonts w:hint="eastAsia" w:ascii="Times New Roman" w:hAnsi="Times New Roman" w:eastAsia="仿宋_GB2312"/>
          <w:sz w:val="32"/>
          <w:szCs w:val="32"/>
          <w:lang w:eastAsia="zh-CN"/>
        </w:rPr>
        <w:t>。</w:t>
      </w:r>
    </w:p>
    <w:p w14:paraId="579DF45F">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ascii="Times New Roman" w:hAnsi="Times New Roman" w:eastAsia="仿宋_GB2312"/>
          <w:b w:val="0"/>
          <w:bCs w:val="0"/>
          <w:i w:val="0"/>
          <w:iCs/>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val="0"/>
          <w:bCs w:val="0"/>
          <w:i w:val="0"/>
          <w:iCs/>
          <w:color w:val="auto"/>
          <w:sz w:val="32"/>
          <w:szCs w:val="32"/>
          <w:lang w:eastAsia="zh-CN"/>
        </w:rPr>
        <w:t>（注意：三公经费情况说明，往年为一般公共预算财政拨款口径，今年为财政拨款口径）</w:t>
      </w:r>
    </w:p>
    <w:p w14:paraId="42A7E310">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A666FEF">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99.83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highlight w:val="none"/>
        </w:rPr>
        <w:t>加强了公务接待管理，降低接待标准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减少10.41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减少173.79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highlight w:val="none"/>
        </w:rPr>
        <w:t>强了公务接待管理，降低接待标准</w:t>
      </w:r>
      <w:r>
        <w:rPr>
          <w:rFonts w:hint="eastAsia" w:ascii="Times New Roman" w:hAnsi="Times New Roman" w:eastAsia="仿宋_GB2312"/>
          <w:sz w:val="32"/>
          <w:szCs w:val="32"/>
        </w:rPr>
        <w:t>。其中：</w:t>
      </w:r>
    </w:p>
    <w:p w14:paraId="50D5E656">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0369426">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99.83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highlight w:val="none"/>
        </w:rPr>
        <w:t>加强了公务接待管理，降低接待标准</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减少10.41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减少173.79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的主要原因</w:t>
      </w:r>
      <w:r>
        <w:rPr>
          <w:rFonts w:hint="eastAsia" w:ascii="Times New Roman" w:hAnsi="Times New Roman" w:eastAsia="仿宋_GB2312"/>
          <w:sz w:val="32"/>
          <w:szCs w:val="32"/>
          <w:lang w:eastAsia="zh-CN"/>
        </w:rPr>
        <w:t>是加</w:t>
      </w:r>
      <w:r>
        <w:rPr>
          <w:rFonts w:hint="eastAsia" w:ascii="Times New Roman" w:hAnsi="Times New Roman" w:eastAsia="仿宋_GB2312"/>
          <w:sz w:val="32"/>
          <w:szCs w:val="32"/>
          <w:highlight w:val="none"/>
        </w:rPr>
        <w:t>强了公务接待管理，降低接待标准</w:t>
      </w:r>
      <w:r>
        <w:rPr>
          <w:rFonts w:hint="eastAsia" w:ascii="Times New Roman" w:hAnsi="Times New Roman" w:eastAsia="仿宋_GB2312"/>
          <w:sz w:val="32"/>
          <w:szCs w:val="32"/>
        </w:rPr>
        <w:t>。</w:t>
      </w:r>
    </w:p>
    <w:p w14:paraId="47D5DD06">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E8F0867">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540C01B">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B72EA1E">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7EF9FA5D">
      <w:pPr>
        <w:pStyle w:val="20"/>
        <w:keepNext w:val="0"/>
        <w:keepLines w:val="0"/>
        <w:pageBreakBefore w:val="0"/>
        <w:widowControl w:val="0"/>
        <w:numPr>
          <w:ilvl w:val="0"/>
          <w:numId w:val="0"/>
        </w:numPr>
        <w:kinsoku/>
        <w:wordWrap/>
        <w:overflowPunct/>
        <w:topLinePunct w:val="0"/>
        <w:bidi w:val="0"/>
        <w:snapToGrid/>
        <w:spacing w:line="592" w:lineRule="exact"/>
        <w:ind w:left="0"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eastAsia="zh-CN"/>
        </w:rPr>
        <w:t>。</w:t>
      </w:r>
    </w:p>
    <w:p w14:paraId="5FF42FD4">
      <w:pPr>
        <w:pStyle w:val="20"/>
        <w:keepNext w:val="0"/>
        <w:keepLines w:val="0"/>
        <w:pageBreakBefore w:val="0"/>
        <w:widowControl w:val="0"/>
        <w:kinsoku/>
        <w:wordWrap/>
        <w:overflowPunct/>
        <w:topLinePunct w:val="0"/>
        <w:bidi w:val="0"/>
        <w:snapToGrid/>
        <w:spacing w:line="592" w:lineRule="exact"/>
        <w:ind w:left="0" w:firstLine="800" w:firstLineChars="250"/>
        <w:textAlignment w:val="auto"/>
        <w:rPr>
          <w:rFonts w:ascii="Times New Roman" w:hAnsi="Times New Roman" w:eastAsia="仿宋_GB2312"/>
          <w:sz w:val="32"/>
          <w:szCs w:val="32"/>
        </w:rPr>
      </w:pPr>
      <w:r>
        <w:rPr>
          <w:rFonts w:hint="eastAsia" w:ascii="Times New Roman" w:hAnsi="Times New Roman" w:eastAsia="仿宋_GB2312"/>
          <w:color w:val="000000" w:themeColor="text1"/>
          <w:sz w:val="32"/>
          <w:szCs w:val="32"/>
          <w:lang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公务接待费支出决算为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5.99</w:t>
      </w:r>
      <w:r>
        <w:rPr>
          <w:rFonts w:hint="eastAsia" w:ascii="Times New Roman" w:hAnsi="Times New Roman" w:eastAsia="仿宋_GB2312"/>
          <w:color w:val="000000" w:themeColor="text1"/>
          <w:sz w:val="32"/>
          <w:szCs w:val="32"/>
          <w14:textFill>
            <w14:solidFill>
              <w14:schemeClr w14:val="tx1"/>
            </w14:solidFill>
          </w14:textFill>
        </w:rPr>
        <w:t>万元，全年共接待来访团组</w:t>
      </w:r>
      <w:r>
        <w:rPr>
          <w:rFonts w:hint="eastAsia" w:ascii="Times New Roman" w:hAnsi="Times New Roman" w:eastAsia="仿宋_GB2312"/>
          <w:color w:val="000000" w:themeColor="text1"/>
          <w:sz w:val="32"/>
          <w:szCs w:val="32"/>
          <w:lang w:val="en-US" w:eastAsia="zh-CN"/>
          <w14:textFill>
            <w14:solidFill>
              <w14:schemeClr w14:val="tx1"/>
            </w14:solidFill>
          </w14:textFill>
        </w:rPr>
        <w:t>49</w:t>
      </w:r>
      <w:r>
        <w:rPr>
          <w:rFonts w:hint="eastAsia" w:ascii="Times New Roman" w:hAnsi="Times New Roman" w:eastAsia="仿宋_GB2312"/>
          <w:color w:val="000000" w:themeColor="text1"/>
          <w:sz w:val="32"/>
          <w:szCs w:val="32"/>
          <w14:textFill>
            <w14:solidFill>
              <w14:schemeClr w14:val="tx1"/>
            </w14:solidFill>
          </w14:textFill>
        </w:rPr>
        <w:t>个、来宾</w:t>
      </w:r>
      <w:r>
        <w:rPr>
          <w:rFonts w:hint="eastAsia" w:ascii="Times New Roman" w:hAnsi="Times New Roman" w:eastAsia="仿宋_GB2312"/>
          <w:color w:val="000000" w:themeColor="text1"/>
          <w:sz w:val="32"/>
          <w:szCs w:val="32"/>
          <w:lang w:val="en-US" w:eastAsia="zh-CN"/>
          <w14:textFill>
            <w14:solidFill>
              <w14:schemeClr w14:val="tx1"/>
            </w14:solidFill>
          </w14:textFill>
        </w:rPr>
        <w:t>442</w:t>
      </w:r>
      <w:r>
        <w:rPr>
          <w:rFonts w:hint="eastAsia" w:ascii="Times New Roman" w:hAnsi="Times New Roman" w:eastAsia="仿宋_GB2312"/>
          <w:color w:val="000000" w:themeColor="text1"/>
          <w:sz w:val="32"/>
          <w:szCs w:val="32"/>
          <w14:textFill>
            <w14:solidFill>
              <w14:schemeClr w14:val="tx1"/>
            </w14:solidFill>
          </w14:textFill>
        </w:rPr>
        <w:t>人次，主要</w:t>
      </w:r>
      <w:r>
        <w:rPr>
          <w:rFonts w:hint="eastAsia" w:ascii="Times New Roman" w:hAnsi="Times New Roman" w:eastAsia="仿宋_GB2312"/>
          <w:sz w:val="32"/>
          <w:szCs w:val="32"/>
        </w:rPr>
        <w:t>是迎接上级安全生产、防汛抗旱、防灾减灾、森林防火等督查检查发生的接待支出。</w:t>
      </w:r>
    </w:p>
    <w:p w14:paraId="233FC348">
      <w:pPr>
        <w:keepNext w:val="0"/>
        <w:keepLines w:val="0"/>
        <w:pageBreakBefore w:val="0"/>
        <w:widowControl w:val="0"/>
        <w:kinsoku/>
        <w:wordWrap/>
        <w:overflowPunct/>
        <w:topLinePunct w:val="0"/>
        <w:bidi w:val="0"/>
        <w:snapToGrid/>
        <w:spacing w:line="592" w:lineRule="exact"/>
        <w:ind w:left="0"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3.</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2CAF868">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1499FDB">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本单位无政府性基金收支。</w:t>
      </w:r>
    </w:p>
    <w:p w14:paraId="69D9D930">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14:paraId="617E6F23">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78.70</w:t>
      </w:r>
      <w:r>
        <w:rPr>
          <w:rFonts w:hint="eastAsia" w:ascii="Times New Roman" w:hAnsi="Times New Roman" w:eastAsia="仿宋_GB2312"/>
          <w:sz w:val="32"/>
          <w:szCs w:val="32"/>
          <w:highlight w:val="none"/>
        </w:rPr>
        <w:t>万元，比</w:t>
      </w:r>
      <w:r>
        <w:rPr>
          <w:rFonts w:hint="eastAsia" w:ascii="Times New Roman" w:hAnsi="Times New Roman" w:eastAsia="仿宋_GB2312"/>
          <w:sz w:val="32"/>
          <w:szCs w:val="32"/>
          <w:highlight w:val="none"/>
          <w:lang w:val="en-US" w:eastAsia="zh-CN"/>
        </w:rPr>
        <w:t>上年决</w:t>
      </w:r>
      <w:r>
        <w:rPr>
          <w:rFonts w:hint="eastAsia" w:ascii="Times New Roman" w:hAnsi="Times New Roman" w:eastAsia="仿宋_GB2312"/>
          <w:sz w:val="32"/>
          <w:szCs w:val="32"/>
          <w:highlight w:val="none"/>
        </w:rPr>
        <w:t>算数</w:t>
      </w:r>
      <w:r>
        <w:rPr>
          <w:rFonts w:hint="eastAsia" w:ascii="Times New Roman" w:hAnsi="Times New Roman" w:eastAsia="仿宋_GB2312"/>
          <w:sz w:val="32"/>
          <w:szCs w:val="32"/>
          <w:highlight w:val="none"/>
          <w:lang w:val="en-US" w:eastAsia="zh-CN"/>
        </w:rPr>
        <w:t>增加21.50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增加</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27.32</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23年执法专项资金未使用，24年执法资金有使用。</w:t>
      </w:r>
    </w:p>
    <w:p w14:paraId="3E137E16">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十、一般性支出情况说明</w:t>
      </w:r>
    </w:p>
    <w:p w14:paraId="7F7477D0">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楷体" w:hAnsi="楷体" w:eastAsia="楷体" w:cs="楷体"/>
          <w:b/>
          <w:bCs/>
          <w:i/>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年本部门开支会议费</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万元，用于</w:t>
      </w:r>
      <w:r>
        <w:rPr>
          <w:rFonts w:hint="eastAsia" w:ascii="Times New Roman" w:hAnsi="Times New Roman" w:eastAsia="仿宋_GB2312"/>
          <w:color w:val="000000" w:themeColor="text1"/>
          <w:sz w:val="32"/>
          <w:szCs w:val="32"/>
          <w:lang w:val="en-US" w:eastAsia="zh-CN"/>
          <w14:textFill>
            <w14:solidFill>
              <w14:schemeClr w14:val="tx1"/>
            </w14:solidFill>
          </w14:textFill>
        </w:rPr>
        <w:t>举办</w:t>
      </w:r>
      <w:r>
        <w:rPr>
          <w:rFonts w:hint="eastAsia" w:ascii="Times New Roman" w:hAnsi="Times New Roman" w:eastAsia="仿宋_GB2312"/>
          <w:color w:val="000000" w:themeColor="text1"/>
          <w:sz w:val="32"/>
          <w:szCs w:val="32"/>
          <w14:textFill>
            <w14:solidFill>
              <w14:schemeClr w14:val="tx1"/>
            </w14:solidFill>
          </w14:textFill>
        </w:rPr>
        <w:t>党建活动</w:t>
      </w:r>
      <w:r>
        <w:rPr>
          <w:rFonts w:hint="eastAsia" w:ascii="Times New Roman" w:hAnsi="Times New Roman" w:eastAsia="仿宋_GB2312"/>
          <w:color w:val="000000" w:themeColor="text1"/>
          <w:sz w:val="32"/>
          <w:szCs w:val="32"/>
          <w:lang w:eastAsia="zh-CN"/>
          <w14:textFill>
            <w14:solidFill>
              <w14:schemeClr w14:val="tx1"/>
            </w14:solidFill>
          </w14:textFill>
        </w:rPr>
        <w:t>、公益活动</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开支</w:t>
      </w:r>
      <w:r>
        <w:rPr>
          <w:rFonts w:hint="eastAsia" w:ascii="Times New Roman" w:hAnsi="Times New Roman" w:eastAsia="仿宋_GB2312"/>
          <w:color w:val="000000" w:themeColor="text1"/>
          <w:sz w:val="32"/>
          <w:szCs w:val="32"/>
          <w14:textFill>
            <w14:solidFill>
              <w14:schemeClr w14:val="tx1"/>
            </w14:solidFill>
          </w14:textFill>
        </w:rPr>
        <w:t>费</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公益活动单位捐款。</w:t>
      </w:r>
    </w:p>
    <w:p w14:paraId="73818709">
      <w:pPr>
        <w:pStyle w:val="20"/>
        <w:keepNext w:val="0"/>
        <w:keepLines w:val="0"/>
        <w:pageBreakBefore w:val="0"/>
        <w:widowControl w:val="0"/>
        <w:kinsoku/>
        <w:wordWrap/>
        <w:overflowPunct/>
        <w:topLinePunct w:val="0"/>
        <w:bidi w:val="0"/>
        <w:snapToGrid/>
        <w:spacing w:line="592"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A9F9A25">
      <w:pPr>
        <w:pStyle w:val="20"/>
        <w:keepNext w:val="0"/>
        <w:keepLines w:val="0"/>
        <w:pageBreakBefore w:val="0"/>
        <w:widowControl w:val="0"/>
        <w:kinsoku/>
        <w:wordWrap/>
        <w:overflowPunct/>
        <w:topLinePunct w:val="0"/>
        <w:autoSpaceDE w:val="0"/>
        <w:autoSpaceDN w:val="0"/>
        <w:bidi w:val="0"/>
        <w:adjustRightInd w:val="0"/>
        <w:snapToGrid/>
        <w:spacing w:line="592" w:lineRule="exact"/>
        <w:ind w:left="0"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B068682">
      <w:pPr>
        <w:pStyle w:val="20"/>
        <w:keepNext w:val="0"/>
        <w:keepLines w:val="0"/>
        <w:pageBreakBefore w:val="0"/>
        <w:widowControl w:val="0"/>
        <w:kinsoku/>
        <w:wordWrap/>
        <w:overflowPunct/>
        <w:topLinePunct w:val="0"/>
        <w:autoSpaceDE w:val="0"/>
        <w:autoSpaceDN w:val="0"/>
        <w:bidi w:val="0"/>
        <w:adjustRightInd w:val="0"/>
        <w:snapToGrid/>
        <w:spacing w:line="592"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38E9AEC">
      <w:pPr>
        <w:pStyle w:val="20"/>
        <w:keepNext w:val="0"/>
        <w:keepLines w:val="0"/>
        <w:pageBreakBefore w:val="0"/>
        <w:widowControl w:val="0"/>
        <w:kinsoku/>
        <w:wordWrap/>
        <w:overflowPunct/>
        <w:topLinePunct w:val="0"/>
        <w:autoSpaceDE w:val="0"/>
        <w:autoSpaceDN w:val="0"/>
        <w:bidi w:val="0"/>
        <w:adjustRightInd w:val="0"/>
        <w:snapToGrid/>
        <w:spacing w:line="592" w:lineRule="exact"/>
        <w:ind w:left="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000000" w:themeColor="text1"/>
          <w:sz w:val="32"/>
          <w:szCs w:val="32"/>
          <w14:textFill>
            <w14:solidFill>
              <w14:schemeClr w14:val="tx1"/>
            </w14:solidFill>
          </w14:textFill>
        </w:rPr>
        <w:t>单位价值100万元以上设备</w:t>
      </w:r>
      <w:r>
        <w:rPr>
          <w:rFonts w:hint="eastAsia" w:ascii="Times New Roman" w:hAnsi="Times New Roman" w:eastAsia="仿宋_GB2312"/>
          <w:color w:val="000000" w:themeColor="text1"/>
          <w:sz w:val="32"/>
          <w:szCs w:val="32"/>
          <w:lang w:val="en-US" w:eastAsia="zh-CN"/>
          <w14:textFill>
            <w14:solidFill>
              <w14:schemeClr w14:val="tx1"/>
            </w14:solidFill>
          </w14:textFill>
        </w:rPr>
        <w:t>0台</w:t>
      </w:r>
      <w:r>
        <w:rPr>
          <w:rFonts w:hint="eastAsia" w:ascii="Times New Roman" w:hAnsi="Times New Roman" w:eastAsia="仿宋_GB2312"/>
          <w:color w:val="000000" w:themeColor="text1"/>
          <w:sz w:val="32"/>
          <w:szCs w:val="32"/>
          <w14:textFill>
            <w14:solidFill>
              <w14:schemeClr w14:val="tx1"/>
            </w14:solidFill>
          </w14:textFill>
        </w:rPr>
        <w:t>。</w:t>
      </w:r>
    </w:p>
    <w:p w14:paraId="7EF56A61">
      <w:pPr>
        <w:pStyle w:val="20"/>
        <w:keepNext w:val="0"/>
        <w:keepLines w:val="0"/>
        <w:pageBreakBefore w:val="0"/>
        <w:widowControl w:val="0"/>
        <w:kinsoku/>
        <w:wordWrap/>
        <w:overflowPunct/>
        <w:topLinePunct w:val="0"/>
        <w:autoSpaceDE w:val="0"/>
        <w:autoSpaceDN w:val="0"/>
        <w:bidi w:val="0"/>
        <w:adjustRightInd w:val="0"/>
        <w:snapToGrid/>
        <w:spacing w:line="592" w:lineRule="exact"/>
        <w:ind w:left="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9073701">
      <w:pPr>
        <w:pStyle w:val="20"/>
        <w:keepNext w:val="0"/>
        <w:keepLines w:val="0"/>
        <w:pageBreakBefore w:val="0"/>
        <w:widowControl w:val="0"/>
        <w:kinsoku/>
        <w:wordWrap/>
        <w:overflowPunct/>
        <w:topLinePunct w:val="0"/>
        <w:autoSpaceDE w:val="0"/>
        <w:autoSpaceDN w:val="0"/>
        <w:bidi w:val="0"/>
        <w:adjustRightInd w:val="0"/>
        <w:snapToGrid/>
        <w:spacing w:line="592" w:lineRule="exact"/>
        <w:ind w:left="0"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608C9880">
      <w:pPr>
        <w:keepNext w:val="0"/>
        <w:keepLines w:val="0"/>
        <w:pageBreakBefore w:val="0"/>
        <w:widowControl w:val="0"/>
        <w:kinsoku/>
        <w:wordWrap/>
        <w:overflowPunct/>
        <w:topLinePunct w:val="0"/>
        <w:bidi w:val="0"/>
        <w:snapToGrid w:val="0"/>
        <w:spacing w:line="592" w:lineRule="exact"/>
        <w:ind w:left="0" w:firstLine="640" w:firstLineChars="200"/>
        <w:textAlignment w:val="auto"/>
        <w:rPr>
          <w:rFonts w:hint="eastAsia" w:ascii="楷体" w:hAnsi="楷体" w:eastAsia="楷体" w:cs="楷体"/>
          <w:b/>
          <w:bCs/>
          <w:sz w:val="32"/>
          <w:szCs w:val="32"/>
          <w:highlight w:val="yellow"/>
          <w:lang w:eastAsia="zh-CN"/>
        </w:rPr>
      </w:pPr>
      <w:r>
        <w:rPr>
          <w:rFonts w:hint="eastAsia" w:ascii="Times New Roman" w:hAnsi="Times New Roman" w:eastAsia="仿宋_GB2312" w:cs="黑体"/>
          <w:color w:val="000000"/>
          <w:kern w:val="0"/>
          <w:sz w:val="32"/>
          <w:szCs w:val="32"/>
          <w:lang w:val="en-US" w:eastAsia="zh-CN" w:bidi="ar-SA"/>
        </w:rPr>
        <w:t>根据预算绩效管理要求，我部门组织对2024年度一般公共预算整体支出全面开展绩效自评，涉及一般公共预算支出1,102.48万元。从评价情况来看，通过加强预算收支管理、不断建立健全内部管理制度、理清内部管理流程，部门整体支出管理情况得到有效提升，自评结果良好。</w:t>
      </w:r>
    </w:p>
    <w:p w14:paraId="20DADA58">
      <w:pPr>
        <w:pStyle w:val="20"/>
        <w:keepNext w:val="0"/>
        <w:keepLines w:val="0"/>
        <w:pageBreakBefore w:val="0"/>
        <w:widowControl w:val="0"/>
        <w:kinsoku/>
        <w:wordWrap/>
        <w:overflowPunct/>
        <w:topLinePunct w:val="0"/>
        <w:autoSpaceDE w:val="0"/>
        <w:autoSpaceDN w:val="0"/>
        <w:bidi w:val="0"/>
        <w:adjustRightInd w:val="0"/>
        <w:snapToGrid/>
        <w:spacing w:line="592" w:lineRule="exact"/>
        <w:ind w:left="0"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rPr>
        <w:t>存在的问题及原因分析</w:t>
      </w:r>
    </w:p>
    <w:p w14:paraId="38E3E4CE">
      <w:pPr>
        <w:pStyle w:val="20"/>
        <w:keepNext w:val="0"/>
        <w:keepLines w:val="0"/>
        <w:pageBreakBefore w:val="0"/>
        <w:widowControl w:val="0"/>
        <w:kinsoku/>
        <w:wordWrap/>
        <w:overflowPunct/>
        <w:topLinePunct w:val="0"/>
        <w:autoSpaceDE w:val="0"/>
        <w:autoSpaceDN w:val="0"/>
        <w:bidi w:val="0"/>
        <w:adjustRightInd w:val="0"/>
        <w:snapToGrid/>
        <w:spacing w:line="592" w:lineRule="exact"/>
        <w:ind w:left="0"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35A33136">
      <w:pPr>
        <w:keepNext w:val="0"/>
        <w:keepLines w:val="0"/>
        <w:pageBreakBefore w:val="0"/>
        <w:widowControl w:val="0"/>
        <w:kinsoku/>
        <w:wordWrap/>
        <w:overflowPunct/>
        <w:topLinePunct w:val="0"/>
        <w:bidi w:val="0"/>
        <w:snapToGrid w:val="0"/>
        <w:spacing w:line="592" w:lineRule="exact"/>
        <w:ind w:left="0" w:firstLine="640" w:firstLineChars="200"/>
        <w:textAlignment w:val="auto"/>
        <w:rPr>
          <w:rFonts w:hint="eastAsia" w:ascii="Times New Roman" w:hAnsi="Times New Roman" w:eastAsia="仿宋_GB2312" w:cs="仿宋_GB2312"/>
          <w:bCs/>
          <w:kern w:val="0"/>
          <w:sz w:val="32"/>
          <w:szCs w:val="32"/>
          <w:lang w:val="en-US" w:eastAsia="zh-CN" w:bidi="ar-SA"/>
        </w:rPr>
      </w:pPr>
      <w:bookmarkStart w:id="3" w:name="YS060104"/>
      <w:r>
        <w:rPr>
          <w:rFonts w:hint="eastAsia" w:ascii="Times New Roman" w:hAnsi="Times New Roman" w:eastAsia="仿宋_GB2312" w:cs="仿宋_GB2312"/>
          <w:bCs/>
          <w:kern w:val="0"/>
          <w:sz w:val="32"/>
          <w:szCs w:val="32"/>
          <w:lang w:val="en-US" w:eastAsia="zh-CN" w:bidi="ar-SA"/>
        </w:rPr>
        <w:t>1.存在问题及原因</w:t>
      </w:r>
    </w:p>
    <w:p w14:paraId="2D056FFF">
      <w:pPr>
        <w:keepNext w:val="0"/>
        <w:keepLines w:val="0"/>
        <w:pageBreakBefore w:val="0"/>
        <w:widowControl w:val="0"/>
        <w:kinsoku/>
        <w:wordWrap/>
        <w:overflowPunct/>
        <w:topLinePunct w:val="0"/>
        <w:bidi w:val="0"/>
        <w:snapToGrid w:val="0"/>
        <w:spacing w:line="592" w:lineRule="exact"/>
        <w:ind w:left="0" w:firstLine="640" w:firstLineChars="20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（1）支出责任制度不完善</w:t>
      </w:r>
    </w:p>
    <w:p w14:paraId="4EDD382E">
      <w:pPr>
        <w:keepNext w:val="0"/>
        <w:keepLines w:val="0"/>
        <w:pageBreakBefore w:val="0"/>
        <w:widowControl w:val="0"/>
        <w:kinsoku/>
        <w:wordWrap/>
        <w:overflowPunct/>
        <w:topLinePunct w:val="0"/>
        <w:bidi w:val="0"/>
        <w:snapToGrid w:val="0"/>
        <w:spacing w:line="592" w:lineRule="exact"/>
        <w:ind w:left="0" w:firstLine="640" w:firstLineChars="20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（2）单位内部业务股室与财务配合衔接不够</w:t>
      </w:r>
    </w:p>
    <w:p w14:paraId="7C9910D1">
      <w:pPr>
        <w:keepNext w:val="0"/>
        <w:keepLines w:val="0"/>
        <w:pageBreakBefore w:val="0"/>
        <w:widowControl w:val="0"/>
        <w:kinsoku/>
        <w:wordWrap/>
        <w:overflowPunct/>
        <w:topLinePunct w:val="0"/>
        <w:bidi w:val="0"/>
        <w:snapToGrid w:val="0"/>
        <w:spacing w:line="592" w:lineRule="exact"/>
        <w:ind w:left="0" w:firstLine="640" w:firstLineChars="20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2.改进措施</w:t>
      </w:r>
    </w:p>
    <w:p w14:paraId="000F0A01">
      <w:pPr>
        <w:keepNext w:val="0"/>
        <w:keepLines w:val="0"/>
        <w:pageBreakBefore w:val="0"/>
        <w:widowControl w:val="0"/>
        <w:kinsoku/>
        <w:wordWrap/>
        <w:overflowPunct/>
        <w:topLinePunct w:val="0"/>
        <w:bidi w:val="0"/>
        <w:snapToGrid w:val="0"/>
        <w:spacing w:line="592" w:lineRule="exact"/>
        <w:ind w:left="0" w:firstLine="640" w:firstLineChars="20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（1）进一步完善预算支出责任制度。将责任落实到岗，任务落实到人。</w:t>
      </w:r>
    </w:p>
    <w:p w14:paraId="36E2F972">
      <w:pPr>
        <w:keepNext w:val="0"/>
        <w:keepLines w:val="0"/>
        <w:pageBreakBefore w:val="0"/>
        <w:widowControl w:val="0"/>
        <w:kinsoku/>
        <w:wordWrap/>
        <w:overflowPunct/>
        <w:topLinePunct w:val="0"/>
        <w:bidi w:val="0"/>
        <w:snapToGrid w:val="0"/>
        <w:spacing w:line="592" w:lineRule="exact"/>
        <w:ind w:left="0" w:firstLine="640" w:firstLineChars="200"/>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（2）业务处室应按照年初预算具体分解情况进行合理支出。定期对预算执行缓慢的股室进行通报，并要求其出具书面说明、及时提出改进措施。</w:t>
      </w:r>
    </w:p>
    <w:bookmarkEnd w:id="3"/>
    <w:p w14:paraId="33AC9C1B">
      <w:pPr>
        <w:pStyle w:val="20"/>
        <w:keepNext w:val="0"/>
        <w:keepLines w:val="0"/>
        <w:pageBreakBefore w:val="0"/>
        <w:widowControl w:val="0"/>
        <w:kinsoku/>
        <w:wordWrap/>
        <w:overflowPunct/>
        <w:topLinePunct w:val="0"/>
        <w:bidi w:val="0"/>
        <w:spacing w:line="592" w:lineRule="exact"/>
        <w:ind w:left="0"/>
        <w:jc w:val="both"/>
        <w:textAlignment w:val="auto"/>
        <w:rPr>
          <w:sz w:val="72"/>
          <w:szCs w:val="72"/>
        </w:rPr>
      </w:pPr>
    </w:p>
    <w:p w14:paraId="2E19130A">
      <w:pPr>
        <w:pStyle w:val="20"/>
        <w:keepNext w:val="0"/>
        <w:keepLines w:val="0"/>
        <w:pageBreakBefore w:val="0"/>
        <w:widowControl w:val="0"/>
        <w:kinsoku/>
        <w:wordWrap/>
        <w:overflowPunct/>
        <w:topLinePunct w:val="0"/>
        <w:bidi w:val="0"/>
        <w:spacing w:line="592" w:lineRule="exact"/>
        <w:ind w:left="0"/>
        <w:jc w:val="both"/>
        <w:textAlignment w:val="auto"/>
        <w:rPr>
          <w:sz w:val="72"/>
          <w:szCs w:val="72"/>
        </w:rPr>
      </w:pPr>
    </w:p>
    <w:p w14:paraId="501F8B44">
      <w:pPr>
        <w:pStyle w:val="3"/>
        <w:keepNext w:val="0"/>
        <w:keepLines w:val="0"/>
        <w:pageBreakBefore w:val="0"/>
        <w:widowControl w:val="0"/>
        <w:numPr>
          <w:ilvl w:val="0"/>
          <w:numId w:val="0"/>
        </w:numPr>
        <w:kinsoku/>
        <w:wordWrap/>
        <w:overflowPunct/>
        <w:topLinePunct w:val="0"/>
        <w:bidi w:val="0"/>
        <w:adjustRightInd/>
        <w:snapToGrid/>
        <w:spacing w:line="592" w:lineRule="exact"/>
        <w:ind w:left="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 益阳市</w:t>
      </w:r>
      <w:r>
        <w:rPr>
          <w:rFonts w:hint="eastAsia" w:ascii="仿宋_GB2312" w:hAnsi="仿宋_GB2312" w:eastAsia="仿宋_GB2312" w:cs="仿宋_GB2312"/>
          <w:color w:val="000000"/>
          <w:kern w:val="0"/>
          <w:sz w:val="32"/>
          <w:szCs w:val="32"/>
          <w:lang w:val="en" w:eastAsia="zh-CN" w:bidi="ar"/>
        </w:rPr>
        <w:t>大通湖区</w:t>
      </w:r>
      <w:r>
        <w:rPr>
          <w:rFonts w:hint="eastAsia" w:ascii="仿宋_GB2312" w:hAnsi="仿宋_GB2312" w:eastAsia="仿宋_GB2312" w:cs="仿宋_GB2312"/>
          <w:color w:val="000000"/>
          <w:kern w:val="0"/>
          <w:sz w:val="32"/>
          <w:szCs w:val="32"/>
          <w:lang w:val="en-US" w:eastAsia="zh-CN" w:bidi="ar"/>
        </w:rPr>
        <w:t>应急管理局</w:t>
      </w:r>
    </w:p>
    <w:p w14:paraId="0C0B42A3">
      <w:pPr>
        <w:pStyle w:val="3"/>
        <w:keepNext w:val="0"/>
        <w:keepLines w:val="0"/>
        <w:pageBreakBefore w:val="0"/>
        <w:widowControl w:val="0"/>
        <w:numPr>
          <w:ilvl w:val="0"/>
          <w:numId w:val="0"/>
        </w:numPr>
        <w:kinsoku/>
        <w:wordWrap/>
        <w:overflowPunct/>
        <w:topLinePunct w:val="0"/>
        <w:bidi w:val="0"/>
        <w:adjustRightInd/>
        <w:snapToGrid/>
        <w:spacing w:line="592" w:lineRule="exact"/>
        <w:ind w:lef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2025年9月25日</w:t>
      </w:r>
    </w:p>
    <w:p w14:paraId="0E419737">
      <w:pPr>
        <w:pStyle w:val="20"/>
        <w:keepNext w:val="0"/>
        <w:keepLines w:val="0"/>
        <w:pageBreakBefore w:val="0"/>
        <w:widowControl w:val="0"/>
        <w:kinsoku/>
        <w:wordWrap/>
        <w:overflowPunct/>
        <w:topLinePunct w:val="0"/>
        <w:bidi w:val="0"/>
        <w:spacing w:line="592" w:lineRule="exact"/>
        <w:ind w:left="0"/>
        <w:jc w:val="center"/>
        <w:textAlignment w:val="auto"/>
        <w:rPr>
          <w:rFonts w:hint="eastAsia" w:ascii="方正小标宋_GBK" w:hAnsi="方正小标宋_GBK" w:eastAsia="方正小标宋_GBK" w:cs="方正小标宋_GBK"/>
          <w:sz w:val="72"/>
          <w:szCs w:val="72"/>
        </w:rPr>
      </w:pPr>
    </w:p>
    <w:p w14:paraId="5F518788">
      <w:pPr>
        <w:pStyle w:val="20"/>
        <w:jc w:val="center"/>
        <w:rPr>
          <w:rFonts w:hint="eastAsia" w:ascii="方正小标宋_GBK" w:hAnsi="方正小标宋_GBK" w:eastAsia="方正小标宋_GBK" w:cs="方正小标宋_GBK"/>
          <w:sz w:val="72"/>
          <w:szCs w:val="72"/>
        </w:rPr>
      </w:pPr>
    </w:p>
    <w:p w14:paraId="5BFBE77C">
      <w:pPr>
        <w:pStyle w:val="20"/>
        <w:jc w:val="center"/>
        <w:rPr>
          <w:rFonts w:hint="eastAsia" w:ascii="方正小标宋_GBK" w:hAnsi="方正小标宋_GBK" w:eastAsia="方正小标宋_GBK" w:cs="方正小标宋_GBK"/>
          <w:sz w:val="72"/>
          <w:szCs w:val="72"/>
        </w:rPr>
      </w:pPr>
    </w:p>
    <w:p w14:paraId="43950E9C">
      <w:pPr>
        <w:pStyle w:val="20"/>
        <w:jc w:val="both"/>
        <w:rPr>
          <w:rFonts w:hint="eastAsia" w:ascii="方正小标宋_GBK" w:hAnsi="方正小标宋_GBK" w:eastAsia="方正小标宋_GBK" w:cs="方正小标宋_GBK"/>
          <w:sz w:val="72"/>
          <w:szCs w:val="72"/>
        </w:rPr>
        <w:sectPr>
          <w:pgSz w:w="11906" w:h="16838"/>
          <w:pgMar w:top="1928" w:right="1531" w:bottom="1928" w:left="1531" w:header="851" w:footer="992" w:gutter="0"/>
          <w:pgNumType w:fmt="decimal"/>
          <w:cols w:space="425" w:num="1"/>
          <w:docGrid w:type="linesAndChars" w:linePitch="312" w:charSpace="0"/>
        </w:sectPr>
      </w:pPr>
    </w:p>
    <w:p w14:paraId="065F87D9">
      <w:pPr>
        <w:pStyle w:val="20"/>
        <w:jc w:val="both"/>
        <w:rPr>
          <w:rFonts w:hint="eastAsia" w:ascii="方正小标宋_GBK" w:hAnsi="方正小标宋_GBK" w:eastAsia="方正小标宋_GBK" w:cs="方正小标宋_GBK"/>
          <w:sz w:val="72"/>
          <w:szCs w:val="72"/>
        </w:rPr>
      </w:pPr>
    </w:p>
    <w:p w14:paraId="758FD890">
      <w:pPr>
        <w:pStyle w:val="20"/>
        <w:jc w:val="both"/>
        <w:rPr>
          <w:rFonts w:hint="eastAsia" w:ascii="方正小标宋_GBK" w:hAnsi="方正小标宋_GBK" w:eastAsia="方正小标宋_GBK" w:cs="方正小标宋_GBK"/>
          <w:sz w:val="72"/>
          <w:szCs w:val="72"/>
        </w:rPr>
      </w:pPr>
    </w:p>
    <w:p w14:paraId="14D44EE0">
      <w:pPr>
        <w:pStyle w:val="20"/>
        <w:jc w:val="both"/>
        <w:rPr>
          <w:rFonts w:hint="eastAsia" w:ascii="方正小标宋_GBK" w:hAnsi="方正小标宋_GBK" w:eastAsia="方正小标宋_GBK" w:cs="方正小标宋_GBK"/>
          <w:sz w:val="72"/>
          <w:szCs w:val="72"/>
        </w:rPr>
      </w:pPr>
    </w:p>
    <w:p w14:paraId="36CD5351">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62F5B5A">
      <w:pPr>
        <w:jc w:val="center"/>
        <w:rPr>
          <w:rFonts w:hint="eastAsia" w:ascii="方正小标宋_GBK" w:hAnsi="方正小标宋_GBK" w:eastAsia="方正小标宋_GBK" w:cs="方正小标宋_GBK"/>
          <w:color w:val="000000"/>
          <w:kern w:val="0"/>
          <w:sz w:val="70"/>
          <w:szCs w:val="70"/>
        </w:rPr>
      </w:pPr>
    </w:p>
    <w:p w14:paraId="4D090B9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A4C5DC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29DEC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一、三公经费：</w:t>
      </w:r>
      <w:r>
        <w:rPr>
          <w:rFonts w:hint="eastAsia" w:ascii="仿宋_GB2312" w:hAnsi="仿宋_GB2312" w:eastAsia="仿宋_GB2312" w:cs="仿宋_GB2312"/>
          <w:sz w:val="32"/>
          <w:szCs w:val="32"/>
        </w:rPr>
        <w:t>因公出国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费、公务用车购置及运行费和公务接待费。其中，公出国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费反映单位公务出国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的住宿费、旅费、伙食补助费、杂费、培训费等支出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公务用车购置及运行费反映单位公务用车购置费及租用费、燃料费、维修费、过路过桥费等支出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公务接待费反映单位按规定开支的各类公务接待支出。</w:t>
      </w:r>
    </w:p>
    <w:p w14:paraId="3AF7820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04BA2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指为保障机构正常运转、完成日常工作任务而发生的人员支出和公用支出。</w:t>
      </w:r>
    </w:p>
    <w:p w14:paraId="7A17B81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指在基本支出之外为完成特定行政任务和事业发展目标所发生的支出。</w:t>
      </w:r>
    </w:p>
    <w:p w14:paraId="5E5EA24A">
      <w:pPr>
        <w:pStyle w:val="20"/>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五、政府性基金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是指各级人民政府及其所属部门根据法律、国家行政法规和中共中央、国务院有关文件的规定，为支持某项事业发展，按照国家规定程序批准，向公民、法人和其他组织征收的具有专项用途的资金。</w:t>
      </w:r>
    </w:p>
    <w:p w14:paraId="0F27B038">
      <w:pPr>
        <w:pStyle w:val="20"/>
        <w:jc w:val="both"/>
        <w:rPr>
          <w:rFonts w:hint="eastAsia" w:ascii="Times New Roman" w:hAnsi="Times New Roman" w:eastAsia="仿宋"/>
          <w:sz w:val="32"/>
          <w:szCs w:val="32"/>
        </w:rPr>
        <w:sectPr>
          <w:pgSz w:w="11906" w:h="16838"/>
          <w:pgMar w:top="1928" w:right="1531" w:bottom="1928" w:left="1531" w:header="851" w:footer="992" w:gutter="0"/>
          <w:pgNumType w:fmt="decimal"/>
          <w:cols w:space="425" w:num="1"/>
          <w:docGrid w:type="linesAndChars" w:linePitch="312" w:charSpace="0"/>
        </w:sectPr>
      </w:pPr>
    </w:p>
    <w:p w14:paraId="4C18D933">
      <w:pPr>
        <w:pStyle w:val="20"/>
        <w:jc w:val="both"/>
        <w:rPr>
          <w:rFonts w:hint="eastAsia" w:ascii="方正小标宋_GBK" w:hAnsi="方正小标宋_GBK" w:eastAsia="方正小标宋_GBK" w:cs="方正小标宋_GBK"/>
          <w:sz w:val="72"/>
          <w:szCs w:val="72"/>
        </w:rPr>
      </w:pPr>
    </w:p>
    <w:p w14:paraId="673A1491">
      <w:pPr>
        <w:pStyle w:val="20"/>
        <w:jc w:val="both"/>
        <w:rPr>
          <w:rFonts w:hint="eastAsia" w:ascii="方正小标宋_GBK" w:hAnsi="方正小标宋_GBK" w:eastAsia="方正小标宋_GBK" w:cs="方正小标宋_GBK"/>
          <w:sz w:val="72"/>
          <w:szCs w:val="72"/>
        </w:rPr>
      </w:pPr>
    </w:p>
    <w:p w14:paraId="0C248F49">
      <w:pPr>
        <w:pStyle w:val="20"/>
        <w:jc w:val="center"/>
        <w:rPr>
          <w:rFonts w:hint="eastAsia" w:ascii="方正小标宋_GBK" w:hAnsi="方正小标宋_GBK" w:eastAsia="方正小标宋_GBK" w:cs="方正小标宋_GBK"/>
          <w:sz w:val="72"/>
          <w:szCs w:val="72"/>
        </w:rPr>
      </w:pPr>
    </w:p>
    <w:p w14:paraId="2861957E">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38AB9A4">
      <w:pPr>
        <w:pStyle w:val="20"/>
        <w:jc w:val="center"/>
        <w:rPr>
          <w:rFonts w:hint="eastAsia" w:ascii="方正小标宋_GBK" w:hAnsi="方正小标宋_GBK" w:eastAsia="方正小标宋_GBK" w:cs="方正小标宋_GBK"/>
          <w:sz w:val="70"/>
          <w:szCs w:val="70"/>
        </w:rPr>
      </w:pPr>
    </w:p>
    <w:p w14:paraId="3CDE33AC">
      <w:pPr>
        <w:pStyle w:val="2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B1E2D8C">
      <w:pPr>
        <w:rPr>
          <w:sz w:val="72"/>
          <w:szCs w:val="72"/>
        </w:rPr>
      </w:pPr>
      <w:r>
        <w:rPr>
          <w:sz w:val="72"/>
          <w:szCs w:val="72"/>
        </w:rPr>
        <w:br w:type="page"/>
      </w:r>
    </w:p>
    <w:p w14:paraId="53E5CC0B">
      <w:pPr>
        <w:overflowPunct w:val="0"/>
        <w:autoSpaceDE w:val="0"/>
        <w:autoSpaceDN w:val="0"/>
        <w:spacing w:line="592" w:lineRule="exact"/>
        <w:jc w:val="center"/>
        <w:rPr>
          <w:rFonts w:hint="eastAsia" w:ascii="方正大标宋简体" w:eastAsia="方正大标宋简体" w:cs="仿宋_GB2312"/>
          <w:bCs/>
          <w:color w:val="000000"/>
          <w:sz w:val="44"/>
          <w:szCs w:val="44"/>
        </w:rPr>
      </w:pPr>
      <w:r>
        <w:rPr>
          <w:rFonts w:hint="eastAsia" w:ascii="方正大标宋简体" w:eastAsia="方正大标宋简体" w:cs="仿宋_GB2312"/>
          <w:bCs/>
          <w:color w:val="000000"/>
          <w:sz w:val="44"/>
          <w:szCs w:val="44"/>
          <w:lang w:val="en-US" w:eastAsia="zh-CN"/>
        </w:rPr>
        <w:t>应急管理局2024年</w:t>
      </w:r>
      <w:r>
        <w:rPr>
          <w:rFonts w:hint="eastAsia" w:ascii="方正大标宋简体" w:eastAsia="方正大标宋简体" w:cs="仿宋_GB2312"/>
          <w:bCs/>
          <w:color w:val="000000"/>
          <w:sz w:val="44"/>
          <w:szCs w:val="44"/>
        </w:rPr>
        <w:t>部门整体支出绩效评价报告</w:t>
      </w:r>
    </w:p>
    <w:p w14:paraId="01CAAD1D">
      <w:pPr>
        <w:pStyle w:val="2"/>
        <w:rPr>
          <w:rFonts w:hint="eastAsia"/>
          <w:lang w:val="en-US" w:eastAsia="zh-CN"/>
        </w:rPr>
      </w:pPr>
    </w:p>
    <w:p w14:paraId="276DEB73">
      <w:pPr>
        <w:overflowPunct w:val="0"/>
        <w:autoSpaceDE w:val="0"/>
        <w:autoSpaceDN w:val="0"/>
        <w:spacing w:line="592"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bCs/>
          <w:color w:val="000000"/>
          <w:sz w:val="32"/>
          <w:szCs w:val="32"/>
        </w:rPr>
        <w:t>一、基本情况</w:t>
      </w:r>
    </w:p>
    <w:p w14:paraId="535A72FA">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（一）部门整体支出概况，2024年部门决算收支完成情况，包括收入构成、支出构成、年初预算完成率、当年收支平衡和年终结转结余情况等。</w:t>
      </w:r>
    </w:p>
    <w:p w14:paraId="54C63FFA">
      <w:pPr>
        <w:keepNext w:val="0"/>
        <w:keepLines w:val="0"/>
        <w:pageBreakBefore w:val="0"/>
        <w:widowControl/>
        <w:kinsoku/>
        <w:wordWrap/>
        <w:topLinePunct w:val="0"/>
        <w:bidi w:val="0"/>
        <w:adjustRightInd/>
        <w:snapToGrid/>
        <w:spacing w:line="592" w:lineRule="exact"/>
        <w:ind w:firstLine="640" w:firstLineChars="200"/>
        <w:textAlignment w:val="auto"/>
        <w:rPr>
          <w:rFonts w:hint="eastAsia" w:ascii="楷体" w:hAnsi="楷体" w:eastAsia="楷体" w:cs="楷体"/>
          <w:b w:val="0"/>
          <w:bCs/>
          <w:color w:val="222222"/>
          <w:kern w:val="0"/>
          <w:sz w:val="32"/>
          <w:szCs w:val="32"/>
          <w:lang w:val="en-US" w:eastAsia="zh-CN"/>
        </w:rPr>
      </w:pPr>
      <w:r>
        <w:rPr>
          <w:rFonts w:hint="eastAsia" w:ascii="楷体" w:hAnsi="楷体" w:eastAsia="楷体" w:cs="楷体"/>
          <w:b w:val="0"/>
          <w:bCs/>
          <w:color w:val="222222"/>
          <w:kern w:val="0"/>
          <w:sz w:val="32"/>
          <w:szCs w:val="32"/>
          <w:lang w:val="en-US" w:eastAsia="zh-CN"/>
        </w:rPr>
        <w:t>1. 预算资金情况</w:t>
      </w:r>
    </w:p>
    <w:p w14:paraId="1A1C05E5">
      <w:pPr>
        <w:keepNext w:val="0"/>
        <w:keepLines w:val="0"/>
        <w:pageBreakBefore w:val="0"/>
        <w:widowControl/>
        <w:kinsoku/>
        <w:wordWrap/>
        <w:topLinePunct w:val="0"/>
        <w:bidi w:val="0"/>
        <w:adjustRightInd/>
        <w:snapToGrid/>
        <w:spacing w:line="592" w:lineRule="exact"/>
        <w:ind w:firstLine="640" w:firstLineChars="200"/>
        <w:textAlignment w:val="auto"/>
        <w:rPr>
          <w:rFonts w:hint="eastAsia" w:ascii="仿宋_GB2312" w:hAnsi="仿宋_GB2312" w:eastAsia="仿宋_GB2312" w:cs="仿宋_GB2312"/>
          <w:b/>
          <w:color w:val="222222"/>
          <w:kern w:val="0"/>
          <w:sz w:val="32"/>
          <w:szCs w:val="32"/>
        </w:rPr>
      </w:pPr>
      <w:r>
        <w:rPr>
          <w:rFonts w:hint="eastAsia" w:ascii="仿宋_GB2312" w:hAnsi="仿宋_GB2312" w:eastAsia="仿宋_GB2312" w:cs="仿宋_GB2312"/>
          <w:b/>
          <w:color w:val="222222"/>
          <w:kern w:val="0"/>
          <w:sz w:val="32"/>
          <w:szCs w:val="32"/>
          <w:lang w:eastAsia="zh-CN"/>
        </w:rPr>
        <w:t>（</w:t>
      </w:r>
      <w:r>
        <w:rPr>
          <w:rFonts w:hint="eastAsia" w:ascii="仿宋_GB2312" w:hAnsi="仿宋_GB2312" w:eastAsia="仿宋_GB2312" w:cs="仿宋_GB2312"/>
          <w:b/>
          <w:color w:val="222222"/>
          <w:kern w:val="0"/>
          <w:sz w:val="32"/>
          <w:szCs w:val="32"/>
          <w:lang w:val="en-US" w:eastAsia="zh-CN"/>
        </w:rPr>
        <w:t>1</w:t>
      </w:r>
      <w:r>
        <w:rPr>
          <w:rFonts w:hint="eastAsia" w:ascii="仿宋_GB2312" w:hAnsi="仿宋_GB2312" w:eastAsia="仿宋_GB2312" w:cs="仿宋_GB2312"/>
          <w:b/>
          <w:color w:val="222222"/>
          <w:kern w:val="0"/>
          <w:sz w:val="32"/>
          <w:szCs w:val="32"/>
          <w:lang w:eastAsia="zh-CN"/>
        </w:rPr>
        <w:t>）</w:t>
      </w:r>
      <w:r>
        <w:rPr>
          <w:rFonts w:hint="eastAsia" w:ascii="仿宋_GB2312" w:hAnsi="仿宋_GB2312" w:eastAsia="仿宋_GB2312" w:cs="仿宋_GB2312"/>
          <w:b/>
          <w:color w:val="222222"/>
          <w:kern w:val="0"/>
          <w:sz w:val="32"/>
          <w:szCs w:val="32"/>
        </w:rPr>
        <w:t>年初总收支预算情况</w:t>
      </w:r>
    </w:p>
    <w:p w14:paraId="64504238">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根据《大通湖区2024年部门预算表》的批复，我局2024年年初预算收支情况如下</w:t>
      </w:r>
    </w:p>
    <w:tbl>
      <w:tblPr>
        <w:tblStyle w:val="13"/>
        <w:tblW w:w="9149" w:type="dxa"/>
        <w:jc w:val="center"/>
        <w:tblLayout w:type="fixed"/>
        <w:tblCellMar>
          <w:top w:w="0" w:type="dxa"/>
          <w:left w:w="108" w:type="dxa"/>
          <w:bottom w:w="0" w:type="dxa"/>
          <w:right w:w="108" w:type="dxa"/>
        </w:tblCellMar>
      </w:tblPr>
      <w:tblGrid>
        <w:gridCol w:w="2847"/>
        <w:gridCol w:w="1778"/>
        <w:gridCol w:w="2383"/>
        <w:gridCol w:w="2141"/>
      </w:tblGrid>
      <w:tr w14:paraId="22BBBE1A">
        <w:tblPrEx>
          <w:tblCellMar>
            <w:top w:w="0" w:type="dxa"/>
            <w:left w:w="108" w:type="dxa"/>
            <w:bottom w:w="0" w:type="dxa"/>
            <w:right w:w="108" w:type="dxa"/>
          </w:tblCellMar>
        </w:tblPrEx>
        <w:trPr>
          <w:trHeight w:val="526" w:hRule="atLeast"/>
          <w:jc w:val="center"/>
        </w:trPr>
        <w:tc>
          <w:tcPr>
            <w:tcW w:w="4625" w:type="dxa"/>
            <w:gridSpan w:val="2"/>
            <w:tcBorders>
              <w:top w:val="single" w:color="auto" w:sz="4" w:space="0"/>
              <w:left w:val="single" w:color="auto" w:sz="4" w:space="0"/>
              <w:bottom w:val="single" w:color="auto" w:sz="4" w:space="0"/>
              <w:right w:val="single" w:color="auto" w:sz="4" w:space="0"/>
            </w:tcBorders>
            <w:noWrap w:val="0"/>
            <w:vAlign w:val="center"/>
          </w:tcPr>
          <w:p w14:paraId="4508EC3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收入</w:t>
            </w:r>
          </w:p>
        </w:tc>
        <w:tc>
          <w:tcPr>
            <w:tcW w:w="4524" w:type="dxa"/>
            <w:gridSpan w:val="2"/>
            <w:tcBorders>
              <w:top w:val="single" w:color="auto" w:sz="4" w:space="0"/>
              <w:left w:val="single" w:color="auto" w:sz="4" w:space="0"/>
              <w:bottom w:val="single" w:color="auto" w:sz="4" w:space="0"/>
              <w:right w:val="single" w:color="auto" w:sz="4" w:space="0"/>
            </w:tcBorders>
            <w:noWrap w:val="0"/>
            <w:vAlign w:val="center"/>
          </w:tcPr>
          <w:p w14:paraId="3D11E9A0">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支出</w:t>
            </w:r>
          </w:p>
        </w:tc>
      </w:tr>
      <w:tr w14:paraId="432A9BEC">
        <w:tblPrEx>
          <w:tblCellMar>
            <w:top w:w="0" w:type="dxa"/>
            <w:left w:w="108" w:type="dxa"/>
            <w:bottom w:w="0" w:type="dxa"/>
            <w:right w:w="108" w:type="dxa"/>
          </w:tblCellMar>
        </w:tblPrEx>
        <w:trPr>
          <w:trHeight w:val="562" w:hRule="atLeast"/>
          <w:jc w:val="center"/>
        </w:trPr>
        <w:tc>
          <w:tcPr>
            <w:tcW w:w="2847" w:type="dxa"/>
            <w:tcBorders>
              <w:top w:val="single" w:color="auto" w:sz="4" w:space="0"/>
              <w:left w:val="single" w:color="auto" w:sz="4" w:space="0"/>
              <w:bottom w:val="single" w:color="auto" w:sz="4" w:space="0"/>
              <w:right w:val="single" w:color="auto" w:sz="4" w:space="0"/>
            </w:tcBorders>
            <w:noWrap w:val="0"/>
            <w:vAlign w:val="center"/>
          </w:tcPr>
          <w:p w14:paraId="31319BD6">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"file:///I:\\整体支出预算绩效评价模板\\河坝镇\\河坝镇.xlsx" \l "基本信息!A1"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rPr>
              <w:fldChar w:fldCharType="end"/>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0622A0C">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本年预算</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4B6776D">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项目</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44988307">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本年</w:t>
            </w:r>
            <w:r>
              <w:rPr>
                <w:rFonts w:hint="eastAsia" w:ascii="仿宋" w:hAnsi="仿宋" w:eastAsia="仿宋" w:cs="仿宋"/>
                <w:color w:val="auto"/>
                <w:kern w:val="0"/>
                <w:sz w:val="24"/>
                <w:szCs w:val="24"/>
                <w:highlight w:val="none"/>
                <w:lang w:eastAsia="zh-CN"/>
              </w:rPr>
              <w:t>决</w:t>
            </w:r>
            <w:r>
              <w:rPr>
                <w:rFonts w:hint="eastAsia" w:ascii="仿宋" w:hAnsi="仿宋" w:eastAsia="仿宋" w:cs="仿宋"/>
                <w:color w:val="auto"/>
                <w:kern w:val="0"/>
                <w:sz w:val="24"/>
                <w:szCs w:val="24"/>
                <w:highlight w:val="none"/>
              </w:rPr>
              <w:t>算</w:t>
            </w:r>
          </w:p>
        </w:tc>
      </w:tr>
      <w:tr w14:paraId="06846061">
        <w:tblPrEx>
          <w:tblCellMar>
            <w:top w:w="0" w:type="dxa"/>
            <w:left w:w="108" w:type="dxa"/>
            <w:bottom w:w="0" w:type="dxa"/>
            <w:right w:w="108" w:type="dxa"/>
          </w:tblCellMar>
        </w:tblPrEx>
        <w:trPr>
          <w:trHeight w:val="555"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27701273">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一、财政拨款收入</w:t>
            </w:r>
          </w:p>
        </w:tc>
        <w:tc>
          <w:tcPr>
            <w:tcW w:w="1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396B8">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11,024,752.30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F10F760">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工资福利支出</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A2D47CC">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2,024,728.56</w:t>
            </w:r>
          </w:p>
        </w:tc>
      </w:tr>
      <w:tr w14:paraId="38F32EC8">
        <w:tblPrEx>
          <w:tblCellMar>
            <w:top w:w="0" w:type="dxa"/>
            <w:left w:w="108" w:type="dxa"/>
            <w:bottom w:w="0" w:type="dxa"/>
            <w:right w:w="108" w:type="dxa"/>
          </w:tblCellMar>
        </w:tblPrEx>
        <w:trPr>
          <w:trHeight w:val="561"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9036ACD">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其中：政府性基金</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EB991">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285527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商品和服务支出</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8EF939D">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6,462,614.74</w:t>
            </w:r>
          </w:p>
        </w:tc>
      </w:tr>
      <w:tr w14:paraId="582603CF">
        <w:tblPrEx>
          <w:tblCellMar>
            <w:top w:w="0" w:type="dxa"/>
            <w:left w:w="108" w:type="dxa"/>
            <w:bottom w:w="0" w:type="dxa"/>
            <w:right w:w="108" w:type="dxa"/>
          </w:tblCellMar>
        </w:tblPrEx>
        <w:trPr>
          <w:trHeight w:val="870"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1024C8BC">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二、上级补助收入</w:t>
            </w:r>
          </w:p>
        </w:tc>
        <w:tc>
          <w:tcPr>
            <w:tcW w:w="1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0FAF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5FA7A231">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对个人和家庭的补助</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4CC5721A">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2,060,000.00</w:t>
            </w:r>
          </w:p>
        </w:tc>
      </w:tr>
      <w:tr w14:paraId="7FAF2C04">
        <w:tblPrEx>
          <w:tblCellMar>
            <w:top w:w="0" w:type="dxa"/>
            <w:left w:w="108" w:type="dxa"/>
            <w:bottom w:w="0" w:type="dxa"/>
            <w:right w:w="108" w:type="dxa"/>
          </w:tblCellMar>
        </w:tblPrEx>
        <w:trPr>
          <w:trHeight w:val="558"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5644E15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三、事业收入</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B5658B">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92AB478">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专项商品和服务支出</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C2CEE5">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r>
      <w:tr w14:paraId="4D4152AE">
        <w:tblPrEx>
          <w:tblCellMar>
            <w:top w:w="0" w:type="dxa"/>
            <w:left w:w="108" w:type="dxa"/>
            <w:bottom w:w="0" w:type="dxa"/>
            <w:right w:w="108" w:type="dxa"/>
          </w:tblCellMar>
        </w:tblPrEx>
        <w:trPr>
          <w:trHeight w:val="521"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3DF165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四、经营收入</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9A6B68">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2AA1071E">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基本建设支出</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961714">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r>
      <w:tr w14:paraId="1331D586">
        <w:tblPrEx>
          <w:tblCellMar>
            <w:top w:w="0" w:type="dxa"/>
            <w:left w:w="108" w:type="dxa"/>
            <w:bottom w:w="0" w:type="dxa"/>
            <w:right w:w="108" w:type="dxa"/>
          </w:tblCellMar>
        </w:tblPrEx>
        <w:trPr>
          <w:trHeight w:val="624"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04D70AB">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五、附属单位上缴收入</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8ACB34">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15459AFB">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其他资本性支出</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24620">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560,000.00</w:t>
            </w:r>
          </w:p>
        </w:tc>
      </w:tr>
      <w:tr w14:paraId="446A0E88">
        <w:tblPrEx>
          <w:tblCellMar>
            <w:top w:w="0" w:type="dxa"/>
            <w:left w:w="108" w:type="dxa"/>
            <w:bottom w:w="0" w:type="dxa"/>
            <w:right w:w="108" w:type="dxa"/>
          </w:tblCellMar>
        </w:tblPrEx>
        <w:trPr>
          <w:trHeight w:val="587"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1B4A9ADE">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六、其他收入</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8BF658">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82,591.00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598F1362">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对附属单位补助支出</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5DFAB">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r>
      <w:tr w14:paraId="0BF68702">
        <w:tblPrEx>
          <w:tblCellMar>
            <w:top w:w="0" w:type="dxa"/>
            <w:left w:w="108" w:type="dxa"/>
            <w:bottom w:w="0" w:type="dxa"/>
            <w:right w:w="108" w:type="dxa"/>
          </w:tblCellMar>
        </w:tblPrEx>
        <w:trPr>
          <w:trHeight w:val="90"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64852E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收入总计</w:t>
            </w:r>
          </w:p>
        </w:tc>
        <w:tc>
          <w:tcPr>
            <w:tcW w:w="17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654F0D">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11,107,343.30</w:t>
            </w:r>
          </w:p>
        </w:tc>
        <w:tc>
          <w:tcPr>
            <w:tcW w:w="238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52A17AE6">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上缴上级支出</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4C6F31">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sz w:val="24"/>
                <w:szCs w:val="24"/>
                <w:lang w:val="en-US" w:eastAsia="zh-CN"/>
              </w:rPr>
              <w:t>0.00</w:t>
            </w:r>
          </w:p>
        </w:tc>
      </w:tr>
      <w:tr w14:paraId="22FC4F89">
        <w:tblPrEx>
          <w:tblCellMar>
            <w:top w:w="0" w:type="dxa"/>
            <w:left w:w="108" w:type="dxa"/>
            <w:bottom w:w="0" w:type="dxa"/>
            <w:right w:w="108" w:type="dxa"/>
          </w:tblCellMar>
        </w:tblPrEx>
        <w:trPr>
          <w:trHeight w:val="627" w:hRule="atLeast"/>
          <w:jc w:val="center"/>
        </w:trPr>
        <w:tc>
          <w:tcPr>
            <w:tcW w:w="2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8243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年初数结转和结余</w:t>
            </w:r>
          </w:p>
        </w:tc>
        <w:tc>
          <w:tcPr>
            <w:tcW w:w="1778" w:type="dxa"/>
            <w:tcBorders>
              <w:top w:val="single" w:color="auto" w:sz="4" w:space="0"/>
              <w:left w:val="nil"/>
              <w:bottom w:val="single" w:color="auto" w:sz="4" w:space="0"/>
              <w:right w:val="single" w:color="auto" w:sz="4" w:space="0"/>
            </w:tcBorders>
            <w:shd w:val="clear" w:color="auto" w:fill="auto"/>
            <w:noWrap w:val="0"/>
            <w:vAlign w:val="center"/>
          </w:tcPr>
          <w:p w14:paraId="18436A77">
            <w:pPr>
              <w:keepNext w:val="0"/>
              <w:keepLines w:val="0"/>
              <w:pageBreakBefore w:val="0"/>
              <w:widowControl/>
              <w:kinsoku/>
              <w:wordWrap/>
              <w:topLinePunct w:val="0"/>
              <w:bidi w:val="0"/>
              <w:adjustRightInd/>
              <w:snapToGrid/>
              <w:spacing w:line="560" w:lineRule="exact"/>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single" w:color="auto" w:sz="4" w:space="0"/>
              <w:left w:val="nil"/>
              <w:bottom w:val="single" w:color="auto" w:sz="4" w:space="0"/>
              <w:right w:val="single" w:color="auto" w:sz="4" w:space="0"/>
            </w:tcBorders>
            <w:shd w:val="clear" w:color="FFFFFF" w:fill="FFFFFF"/>
            <w:noWrap w:val="0"/>
            <w:vAlign w:val="center"/>
          </w:tcPr>
          <w:p w14:paraId="6789E222">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其他支出</w:t>
            </w:r>
          </w:p>
        </w:tc>
        <w:tc>
          <w:tcPr>
            <w:tcW w:w="2141" w:type="dxa"/>
            <w:tcBorders>
              <w:top w:val="single" w:color="auto" w:sz="4" w:space="0"/>
              <w:left w:val="nil"/>
              <w:bottom w:val="single" w:color="auto" w:sz="4" w:space="0"/>
              <w:right w:val="single" w:color="auto" w:sz="4" w:space="0"/>
            </w:tcBorders>
            <w:shd w:val="clear" w:color="000000" w:fill="FFFFFF"/>
            <w:noWrap w:val="0"/>
            <w:vAlign w:val="center"/>
          </w:tcPr>
          <w:p w14:paraId="1A5DC737">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sz w:val="24"/>
                <w:szCs w:val="24"/>
                <w:lang w:val="en-US" w:eastAsia="zh-CN"/>
              </w:rPr>
              <w:t>0.00</w:t>
            </w:r>
          </w:p>
        </w:tc>
      </w:tr>
      <w:tr w14:paraId="18CE1341">
        <w:tblPrEx>
          <w:tblCellMar>
            <w:top w:w="0" w:type="dxa"/>
            <w:left w:w="108" w:type="dxa"/>
            <w:bottom w:w="0" w:type="dxa"/>
            <w:right w:w="108" w:type="dxa"/>
          </w:tblCellMar>
        </w:tblPrEx>
        <w:trPr>
          <w:trHeight w:val="576" w:hRule="atLeast"/>
          <w:jc w:val="center"/>
        </w:trPr>
        <w:tc>
          <w:tcPr>
            <w:tcW w:w="2847" w:type="dxa"/>
            <w:tcBorders>
              <w:top w:val="nil"/>
              <w:left w:val="single" w:color="auto" w:sz="4" w:space="0"/>
              <w:bottom w:val="single" w:color="auto" w:sz="4" w:space="0"/>
              <w:right w:val="single" w:color="auto" w:sz="4" w:space="0"/>
            </w:tcBorders>
            <w:shd w:val="clear" w:color="FFFFFF" w:fill="FFFFFF"/>
            <w:noWrap w:val="0"/>
            <w:vAlign w:val="center"/>
          </w:tcPr>
          <w:p w14:paraId="61204FDD">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其中：基本支出结转</w:t>
            </w:r>
          </w:p>
        </w:tc>
        <w:tc>
          <w:tcPr>
            <w:tcW w:w="1778" w:type="dxa"/>
            <w:tcBorders>
              <w:top w:val="nil"/>
              <w:left w:val="nil"/>
              <w:bottom w:val="single" w:color="auto" w:sz="4" w:space="0"/>
              <w:right w:val="single" w:color="auto" w:sz="4" w:space="0"/>
            </w:tcBorders>
            <w:shd w:val="clear" w:color="auto" w:fill="auto"/>
            <w:noWrap w:val="0"/>
            <w:vAlign w:val="center"/>
          </w:tcPr>
          <w:p w14:paraId="35573011">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nil"/>
              <w:left w:val="nil"/>
              <w:bottom w:val="single" w:color="auto" w:sz="4" w:space="0"/>
              <w:right w:val="single" w:color="auto" w:sz="4" w:space="0"/>
            </w:tcBorders>
            <w:shd w:val="clear" w:color="auto" w:fill="auto"/>
            <w:noWrap w:val="0"/>
            <w:vAlign w:val="center"/>
          </w:tcPr>
          <w:p w14:paraId="4F050D69">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项目支出</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5E5E0E">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r>
      <w:tr w14:paraId="55E36F8A">
        <w:tblPrEx>
          <w:tblCellMar>
            <w:top w:w="0" w:type="dxa"/>
            <w:left w:w="108" w:type="dxa"/>
            <w:bottom w:w="0" w:type="dxa"/>
            <w:right w:w="108" w:type="dxa"/>
          </w:tblCellMar>
        </w:tblPrEx>
        <w:trPr>
          <w:trHeight w:val="576" w:hRule="atLeast"/>
          <w:jc w:val="center"/>
        </w:trPr>
        <w:tc>
          <w:tcPr>
            <w:tcW w:w="2847" w:type="dxa"/>
            <w:tcBorders>
              <w:top w:val="nil"/>
              <w:left w:val="single" w:color="auto" w:sz="4" w:space="0"/>
              <w:bottom w:val="single" w:color="auto" w:sz="4" w:space="0"/>
              <w:right w:val="single" w:color="auto" w:sz="4" w:space="0"/>
            </w:tcBorders>
            <w:shd w:val="clear" w:color="FFFFFF" w:fill="FFFFFF"/>
            <w:noWrap w:val="0"/>
            <w:vAlign w:val="center"/>
          </w:tcPr>
          <w:p w14:paraId="3A61742F">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项目支出结转和结余</w:t>
            </w:r>
          </w:p>
        </w:tc>
        <w:tc>
          <w:tcPr>
            <w:tcW w:w="1778" w:type="dxa"/>
            <w:tcBorders>
              <w:top w:val="nil"/>
              <w:left w:val="nil"/>
              <w:bottom w:val="single" w:color="auto" w:sz="4" w:space="0"/>
              <w:right w:val="single" w:color="auto" w:sz="4" w:space="0"/>
            </w:tcBorders>
            <w:shd w:val="clear" w:color="auto" w:fill="auto"/>
            <w:noWrap w:val="0"/>
            <w:vAlign w:val="center"/>
          </w:tcPr>
          <w:p w14:paraId="0D25D178">
            <w:pPr>
              <w:keepNext w:val="0"/>
              <w:keepLines w:val="0"/>
              <w:pageBreakBefore w:val="0"/>
              <w:widowControl/>
              <w:kinsoku/>
              <w:wordWrap/>
              <w:topLinePunct w:val="0"/>
              <w:bidi w:val="0"/>
              <w:adjustRightInd/>
              <w:snapToGrid/>
              <w:spacing w:line="560" w:lineRule="exact"/>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c>
          <w:tcPr>
            <w:tcW w:w="2383" w:type="dxa"/>
            <w:tcBorders>
              <w:top w:val="nil"/>
              <w:left w:val="nil"/>
              <w:bottom w:val="single" w:color="auto" w:sz="4" w:space="0"/>
              <w:right w:val="single" w:color="auto" w:sz="4" w:space="0"/>
            </w:tcBorders>
            <w:shd w:val="clear" w:color="auto" w:fill="auto"/>
            <w:noWrap w:val="0"/>
            <w:vAlign w:val="center"/>
          </w:tcPr>
          <w:p w14:paraId="5CB26F8B">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其中</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基本支出</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38A411">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sz w:val="24"/>
                <w:szCs w:val="24"/>
                <w:lang w:val="en-US" w:eastAsia="zh-CN"/>
              </w:rPr>
              <w:t>0.00</w:t>
            </w:r>
          </w:p>
        </w:tc>
      </w:tr>
      <w:tr w14:paraId="2892DE5E">
        <w:tblPrEx>
          <w:tblCellMar>
            <w:top w:w="0" w:type="dxa"/>
            <w:left w:w="108" w:type="dxa"/>
            <w:bottom w:w="0" w:type="dxa"/>
            <w:right w:w="108" w:type="dxa"/>
          </w:tblCellMar>
        </w:tblPrEx>
        <w:trPr>
          <w:trHeight w:val="576" w:hRule="atLeast"/>
          <w:jc w:val="center"/>
        </w:trPr>
        <w:tc>
          <w:tcPr>
            <w:tcW w:w="28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5CE5989E">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合计</w:t>
            </w:r>
          </w:p>
        </w:tc>
        <w:tc>
          <w:tcPr>
            <w:tcW w:w="1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5AB4A">
            <w:pPr>
              <w:keepNext w:val="0"/>
              <w:keepLines w:val="0"/>
              <w:pageBreakBefore w:val="0"/>
              <w:widowControl/>
              <w:kinsoku/>
              <w:wordWrap/>
              <w:topLinePunct w:val="0"/>
              <w:bidi w:val="0"/>
              <w:adjustRightInd/>
              <w:snapToGrid/>
              <w:spacing w:line="56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11,107,343.30</w:t>
            </w:r>
          </w:p>
        </w:tc>
        <w:tc>
          <w:tcPr>
            <w:tcW w:w="23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A2336">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合计</w:t>
            </w:r>
          </w:p>
        </w:tc>
        <w:tc>
          <w:tcPr>
            <w:tcW w:w="2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5A2085">
            <w:pPr>
              <w:keepNext w:val="0"/>
              <w:keepLines w:val="0"/>
              <w:pageBreakBefore w:val="0"/>
              <w:widowControl/>
              <w:kinsoku/>
              <w:wordWrap/>
              <w:topLinePunct w:val="0"/>
              <w:bidi w:val="0"/>
              <w:adjustRightInd/>
              <w:snapToGrid/>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11,107,343.30</w:t>
            </w:r>
          </w:p>
        </w:tc>
      </w:tr>
    </w:tbl>
    <w:p w14:paraId="53FF5E7E">
      <w:pPr>
        <w:keepNext w:val="0"/>
        <w:keepLines w:val="0"/>
        <w:pageBreakBefore w:val="0"/>
        <w:widowControl/>
        <w:kinsoku/>
        <w:wordWrap/>
        <w:topLinePunct w:val="0"/>
        <w:bidi w:val="0"/>
        <w:adjustRightInd/>
        <w:snapToGrid/>
        <w:spacing w:line="592" w:lineRule="exact"/>
        <w:ind w:firstLine="640" w:firstLineChars="200"/>
        <w:textAlignment w:val="auto"/>
        <w:rPr>
          <w:rFonts w:hint="eastAsia" w:ascii="仿宋_GB2312" w:hAnsi="仿宋_GB2312" w:eastAsia="仿宋_GB2312" w:cs="仿宋_GB2312"/>
          <w:b/>
          <w:color w:val="222222"/>
          <w:kern w:val="0"/>
          <w:sz w:val="32"/>
          <w:szCs w:val="32"/>
        </w:rPr>
      </w:pPr>
      <w:r>
        <w:rPr>
          <w:rFonts w:hint="eastAsia" w:ascii="仿宋_GB2312" w:hAnsi="仿宋_GB2312" w:eastAsia="仿宋_GB2312" w:cs="仿宋_GB2312"/>
          <w:b/>
          <w:color w:val="222222"/>
          <w:kern w:val="0"/>
          <w:sz w:val="32"/>
          <w:szCs w:val="32"/>
        </w:rPr>
        <w:t>（2）本年度财政追加指标、上年结转资金、年度可用金额情况</w:t>
      </w:r>
    </w:p>
    <w:p w14:paraId="45343ED1">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根据区财政局2024年后续追加预算及相关批复指标文件得知，我局本年度财政追加指标、上年度结转资金及年度可用指标情况如下：</w:t>
      </w:r>
    </w:p>
    <w:tbl>
      <w:tblPr>
        <w:tblStyle w:val="13"/>
        <w:tblW w:w="9280" w:type="dxa"/>
        <w:jc w:val="center"/>
        <w:tblLayout w:type="fixed"/>
        <w:tblCellMar>
          <w:top w:w="15" w:type="dxa"/>
          <w:left w:w="15" w:type="dxa"/>
          <w:bottom w:w="15" w:type="dxa"/>
          <w:right w:w="15" w:type="dxa"/>
        </w:tblCellMar>
      </w:tblPr>
      <w:tblGrid>
        <w:gridCol w:w="2237"/>
        <w:gridCol w:w="2363"/>
        <w:gridCol w:w="2280"/>
        <w:gridCol w:w="2400"/>
      </w:tblGrid>
      <w:tr w14:paraId="08389213">
        <w:tblPrEx>
          <w:tblCellMar>
            <w:top w:w="15" w:type="dxa"/>
            <w:left w:w="15" w:type="dxa"/>
            <w:bottom w:w="15" w:type="dxa"/>
            <w:right w:w="15" w:type="dxa"/>
          </w:tblCellMar>
        </w:tblPrEx>
        <w:trPr>
          <w:trHeight w:val="550" w:hRule="atLeast"/>
          <w:jc w:val="center"/>
        </w:trPr>
        <w:tc>
          <w:tcPr>
            <w:tcW w:w="2237" w:type="dxa"/>
            <w:tcBorders>
              <w:top w:val="single" w:color="000000" w:sz="4" w:space="0"/>
              <w:left w:val="single" w:color="000000" w:sz="4" w:space="0"/>
              <w:bottom w:val="single" w:color="000000" w:sz="4" w:space="0"/>
              <w:right w:val="single" w:color="000000" w:sz="4" w:space="0"/>
            </w:tcBorders>
            <w:noWrap w:val="0"/>
            <w:vAlign w:val="center"/>
          </w:tcPr>
          <w:p w14:paraId="19E3CD1E">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项目</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14:paraId="25C3D45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基本支出</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F0C6013">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项目支出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2B0D099">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合计</w:t>
            </w:r>
          </w:p>
        </w:tc>
      </w:tr>
      <w:tr w14:paraId="748A8035">
        <w:tblPrEx>
          <w:tblCellMar>
            <w:top w:w="15" w:type="dxa"/>
            <w:left w:w="15" w:type="dxa"/>
            <w:bottom w:w="15" w:type="dxa"/>
            <w:right w:w="15" w:type="dxa"/>
          </w:tblCellMar>
        </w:tblPrEx>
        <w:trPr>
          <w:trHeight w:val="550" w:hRule="atLeast"/>
          <w:jc w:val="center"/>
        </w:trPr>
        <w:tc>
          <w:tcPr>
            <w:tcW w:w="2237" w:type="dxa"/>
            <w:tcBorders>
              <w:top w:val="single" w:color="000000" w:sz="4" w:space="0"/>
              <w:left w:val="single" w:color="000000" w:sz="4" w:space="0"/>
              <w:bottom w:val="single" w:color="000000" w:sz="4" w:space="0"/>
              <w:right w:val="single" w:color="000000" w:sz="4" w:space="0"/>
            </w:tcBorders>
            <w:noWrap w:val="0"/>
            <w:vAlign w:val="center"/>
          </w:tcPr>
          <w:p w14:paraId="52B082C6">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上年结转</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14:paraId="5CDA1BAF">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lang w:val="en-US" w:eastAsia="zh-CN"/>
              </w:rPr>
              <w:t>0.00</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1FBAEA2">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lang w:val="en-US" w:eastAsia="zh-CN"/>
              </w:rPr>
              <w:t>0.00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F003E7">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lang w:val="en-US" w:eastAsia="zh-CN"/>
              </w:rPr>
              <w:t>0.00</w:t>
            </w:r>
          </w:p>
        </w:tc>
      </w:tr>
      <w:tr w14:paraId="1BB673DF">
        <w:tblPrEx>
          <w:tblCellMar>
            <w:top w:w="15" w:type="dxa"/>
            <w:left w:w="15" w:type="dxa"/>
            <w:bottom w:w="15" w:type="dxa"/>
            <w:right w:w="15" w:type="dxa"/>
          </w:tblCellMar>
        </w:tblPrEx>
        <w:trPr>
          <w:trHeight w:val="550" w:hRule="atLeast"/>
          <w:jc w:val="center"/>
        </w:trPr>
        <w:tc>
          <w:tcPr>
            <w:tcW w:w="2237" w:type="dxa"/>
            <w:tcBorders>
              <w:top w:val="single" w:color="000000" w:sz="4" w:space="0"/>
              <w:left w:val="single" w:color="000000" w:sz="4" w:space="0"/>
              <w:bottom w:val="single" w:color="000000" w:sz="4" w:space="0"/>
              <w:right w:val="single" w:color="000000" w:sz="4" w:space="0"/>
            </w:tcBorders>
            <w:noWrap w:val="0"/>
            <w:vAlign w:val="center"/>
          </w:tcPr>
          <w:p w14:paraId="2A41E863">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年初预算支出</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14:paraId="7BA1EE9B">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2,342,135.82</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8FCB30C">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473,600.00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F6C9BD">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2,815,735.82</w:t>
            </w:r>
          </w:p>
        </w:tc>
      </w:tr>
      <w:tr w14:paraId="0F29B221">
        <w:tblPrEx>
          <w:tblCellMar>
            <w:top w:w="15" w:type="dxa"/>
            <w:left w:w="15" w:type="dxa"/>
            <w:bottom w:w="15" w:type="dxa"/>
            <w:right w:w="15" w:type="dxa"/>
          </w:tblCellMar>
        </w:tblPrEx>
        <w:trPr>
          <w:trHeight w:val="550" w:hRule="atLeast"/>
          <w:jc w:val="center"/>
        </w:trPr>
        <w:tc>
          <w:tcPr>
            <w:tcW w:w="2237" w:type="dxa"/>
            <w:tcBorders>
              <w:top w:val="single" w:color="000000" w:sz="4" w:space="0"/>
              <w:left w:val="single" w:color="000000" w:sz="4" w:space="0"/>
              <w:bottom w:val="single" w:color="000000" w:sz="4" w:space="0"/>
              <w:right w:val="single" w:color="000000" w:sz="4" w:space="0"/>
            </w:tcBorders>
            <w:noWrap w:val="0"/>
            <w:vAlign w:val="center"/>
          </w:tcPr>
          <w:p w14:paraId="7C389EFD">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追加预算支出</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14:paraId="1108666F">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469,640.74</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565D4F9">
            <w:pPr>
              <w:keepNext w:val="0"/>
              <w:keepLines w:val="0"/>
              <w:pageBreakBefore w:val="0"/>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7,821,966.74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BC09EB">
            <w:pPr>
              <w:keepNext w:val="0"/>
              <w:keepLines w:val="0"/>
              <w:pageBreakBefore w:val="0"/>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8,291,607.48</w:t>
            </w:r>
          </w:p>
        </w:tc>
      </w:tr>
      <w:tr w14:paraId="71196925">
        <w:tblPrEx>
          <w:tblCellMar>
            <w:top w:w="15" w:type="dxa"/>
            <w:left w:w="15" w:type="dxa"/>
            <w:bottom w:w="15" w:type="dxa"/>
            <w:right w:w="15" w:type="dxa"/>
          </w:tblCellMar>
        </w:tblPrEx>
        <w:trPr>
          <w:trHeight w:val="559" w:hRule="atLeast"/>
          <w:jc w:val="center"/>
        </w:trPr>
        <w:tc>
          <w:tcPr>
            <w:tcW w:w="2237" w:type="dxa"/>
            <w:tcBorders>
              <w:top w:val="single" w:color="000000" w:sz="4" w:space="0"/>
              <w:left w:val="single" w:color="000000" w:sz="4" w:space="0"/>
              <w:bottom w:val="single" w:color="000000" w:sz="4" w:space="0"/>
              <w:right w:val="single" w:color="000000" w:sz="4" w:space="0"/>
            </w:tcBorders>
            <w:noWrap w:val="0"/>
            <w:vAlign w:val="center"/>
          </w:tcPr>
          <w:p w14:paraId="50AB96E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auto"/>
                <w:kern w:val="0"/>
                <w:sz w:val="24"/>
                <w:szCs w:val="24"/>
                <w:highlight w:val="none"/>
              </w:rPr>
              <w:t>全年可用预算指标</w:t>
            </w:r>
          </w:p>
        </w:tc>
        <w:tc>
          <w:tcPr>
            <w:tcW w:w="2363" w:type="dxa"/>
            <w:tcBorders>
              <w:top w:val="single" w:color="000000" w:sz="4" w:space="0"/>
              <w:left w:val="single" w:color="000000" w:sz="4" w:space="0"/>
              <w:bottom w:val="single" w:color="000000" w:sz="4" w:space="0"/>
              <w:right w:val="single" w:color="000000" w:sz="4" w:space="0"/>
            </w:tcBorders>
            <w:noWrap w:val="0"/>
            <w:vAlign w:val="center"/>
          </w:tcPr>
          <w:p w14:paraId="109527D3">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2,811,776.56</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07B5389">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8,295,566.74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D1E411C">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kern w:val="0"/>
                <w:sz w:val="24"/>
                <w:szCs w:val="24"/>
                <w:highlight w:val="none"/>
                <w:lang w:val="en-US" w:eastAsia="zh-CN"/>
              </w:rPr>
              <w:t>11,107,343.30</w:t>
            </w:r>
          </w:p>
        </w:tc>
      </w:tr>
    </w:tbl>
    <w:p w14:paraId="704D4465">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从上表可以反映：我局2024年全年可用预算资金11,107,343.30元，其中年初预算2,815,735.82元，追加指标8,291,607.48元。</w:t>
      </w:r>
    </w:p>
    <w:p w14:paraId="6561A7B5">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部门整体支出绩效目标，主要包括市委市政府绩效考核的个性指标、预决算公开、存量资金管理、资产管理、三公经费控制、内部管理制度建设等的设定及完成情况，项目绩效总目标和阶段性目标完成情况及预期经济、社会效益等。</w:t>
      </w:r>
    </w:p>
    <w:p w14:paraId="1790B2BC">
      <w:pPr>
        <w:pStyle w:val="12"/>
        <w:keepNext w:val="0"/>
        <w:keepLines w:val="0"/>
        <w:pageBreakBefore w:val="0"/>
        <w:numPr>
          <w:ilvl w:val="0"/>
          <w:numId w:val="1"/>
        </w:numPr>
        <w:kinsoku/>
        <w:wordWrap/>
        <w:topLinePunct w:val="0"/>
        <w:bidi w:val="0"/>
        <w:adjustRightInd/>
        <w:snapToGrid/>
        <w:spacing w:before="0" w:beforeAutospacing="0" w:after="0" w:afterAutospacing="0" w:line="592" w:lineRule="exact"/>
        <w:ind w:firstLine="640"/>
        <w:jc w:val="both"/>
        <w:textAlignment w:val="auto"/>
        <w:rPr>
          <w:rFonts w:hint="eastAsia" w:ascii="楷体" w:hAnsi="楷体" w:eastAsia="楷体" w:cs="楷体"/>
          <w:b w:val="0"/>
          <w:bCs/>
          <w:color w:val="222222"/>
          <w:kern w:val="0"/>
          <w:sz w:val="32"/>
          <w:szCs w:val="32"/>
          <w:lang w:val="en-US" w:eastAsia="zh-CN" w:bidi="ar-SA"/>
        </w:rPr>
      </w:pPr>
      <w:r>
        <w:rPr>
          <w:rFonts w:hint="eastAsia" w:ascii="楷体" w:hAnsi="楷体" w:eastAsia="楷体" w:cs="楷体"/>
          <w:b w:val="0"/>
          <w:bCs/>
          <w:color w:val="222222"/>
          <w:kern w:val="0"/>
          <w:sz w:val="32"/>
          <w:szCs w:val="32"/>
          <w:lang w:val="en-US" w:eastAsia="zh-CN" w:bidi="ar-SA"/>
        </w:rPr>
        <w:t>年度预算收支决算情况</w:t>
      </w:r>
    </w:p>
    <w:p w14:paraId="5BA5A508">
      <w:pPr>
        <w:keepNext w:val="0"/>
        <w:keepLines w:val="0"/>
        <w:pageBreakBefore w:val="0"/>
        <w:widowControl/>
        <w:kinsoku/>
        <w:wordWrap/>
        <w:topLinePunct w:val="0"/>
        <w:bidi w:val="0"/>
        <w:adjustRightInd/>
        <w:snapToGrid/>
        <w:spacing w:line="592" w:lineRule="exact"/>
        <w:ind w:firstLine="640" w:firstLineChars="200"/>
        <w:textAlignment w:val="auto"/>
        <w:rPr>
          <w:rFonts w:hint="eastAsia" w:ascii="仿宋_GB2312" w:hAnsi="仿宋_GB2312" w:eastAsia="仿宋_GB2312" w:cs="仿宋_GB2312"/>
          <w:b/>
          <w:color w:val="222222"/>
          <w:kern w:val="0"/>
          <w:sz w:val="32"/>
          <w:szCs w:val="32"/>
        </w:rPr>
      </w:pPr>
      <w:r>
        <w:rPr>
          <w:rFonts w:hint="eastAsia" w:ascii="仿宋_GB2312" w:hAnsi="仿宋_GB2312" w:eastAsia="仿宋_GB2312" w:cs="仿宋_GB2312"/>
          <w:b/>
          <w:color w:val="222222"/>
          <w:kern w:val="0"/>
          <w:sz w:val="32"/>
          <w:szCs w:val="32"/>
          <w:lang w:eastAsia="zh-CN"/>
        </w:rPr>
        <w:t>（</w:t>
      </w:r>
      <w:r>
        <w:rPr>
          <w:rFonts w:hint="eastAsia" w:ascii="仿宋_GB2312" w:hAnsi="仿宋_GB2312" w:eastAsia="仿宋_GB2312" w:cs="仿宋_GB2312"/>
          <w:b/>
          <w:color w:val="222222"/>
          <w:kern w:val="0"/>
          <w:sz w:val="32"/>
          <w:szCs w:val="32"/>
        </w:rPr>
        <w:t>1</w:t>
      </w:r>
      <w:r>
        <w:rPr>
          <w:rFonts w:hint="eastAsia" w:ascii="仿宋_GB2312" w:hAnsi="仿宋_GB2312" w:eastAsia="仿宋_GB2312" w:cs="仿宋_GB2312"/>
          <w:b/>
          <w:color w:val="222222"/>
          <w:kern w:val="0"/>
          <w:sz w:val="32"/>
          <w:szCs w:val="32"/>
          <w:lang w:eastAsia="zh-CN"/>
        </w:rPr>
        <w:t>）</w:t>
      </w:r>
      <w:r>
        <w:rPr>
          <w:rFonts w:hint="eastAsia" w:ascii="仿宋_GB2312" w:hAnsi="仿宋_GB2312" w:eastAsia="仿宋_GB2312" w:cs="仿宋_GB2312"/>
          <w:b/>
          <w:color w:val="222222"/>
          <w:kern w:val="0"/>
          <w:sz w:val="32"/>
          <w:szCs w:val="32"/>
        </w:rPr>
        <w:t>20</w:t>
      </w:r>
      <w:r>
        <w:rPr>
          <w:rFonts w:hint="eastAsia" w:ascii="仿宋_GB2312" w:hAnsi="仿宋_GB2312" w:eastAsia="仿宋_GB2312" w:cs="仿宋_GB2312"/>
          <w:b/>
          <w:color w:val="222222"/>
          <w:kern w:val="0"/>
          <w:sz w:val="32"/>
          <w:szCs w:val="32"/>
          <w:lang w:val="en-US" w:eastAsia="zh-CN"/>
        </w:rPr>
        <w:t>24</w:t>
      </w:r>
      <w:r>
        <w:rPr>
          <w:rFonts w:hint="eastAsia" w:ascii="仿宋_GB2312" w:hAnsi="仿宋_GB2312" w:eastAsia="仿宋_GB2312" w:cs="仿宋_GB2312"/>
          <w:b/>
          <w:color w:val="222222"/>
          <w:kern w:val="0"/>
          <w:sz w:val="32"/>
          <w:szCs w:val="32"/>
        </w:rPr>
        <w:t>年度预算收入决算情况</w:t>
      </w:r>
    </w:p>
    <w:tbl>
      <w:tblPr>
        <w:tblStyle w:val="13"/>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826"/>
        <w:gridCol w:w="1880"/>
        <w:gridCol w:w="1760"/>
        <w:gridCol w:w="1827"/>
      </w:tblGrid>
      <w:tr w14:paraId="16AB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974" w:type="dxa"/>
            <w:noWrap w:val="0"/>
            <w:vAlign w:val="center"/>
          </w:tcPr>
          <w:p w14:paraId="5B3F657F">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bCs/>
                <w:color w:val="222222"/>
                <w:kern w:val="0"/>
                <w:sz w:val="24"/>
                <w:szCs w:val="24"/>
              </w:rPr>
            </w:pPr>
            <w:r>
              <w:rPr>
                <w:rFonts w:hint="eastAsia" w:ascii="仿宋" w:hAnsi="仿宋" w:eastAsia="仿宋" w:cs="仿宋"/>
                <w:bCs/>
                <w:color w:val="auto"/>
                <w:kern w:val="0"/>
                <w:sz w:val="24"/>
                <w:szCs w:val="24"/>
              </w:rPr>
              <w:t>决算收入</w:t>
            </w:r>
          </w:p>
        </w:tc>
        <w:tc>
          <w:tcPr>
            <w:tcW w:w="1826" w:type="dxa"/>
            <w:noWrap w:val="0"/>
            <w:vAlign w:val="center"/>
          </w:tcPr>
          <w:p w14:paraId="5893C8AC">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bCs/>
                <w:color w:val="222222"/>
                <w:kern w:val="0"/>
                <w:sz w:val="24"/>
                <w:szCs w:val="24"/>
              </w:rPr>
            </w:pPr>
            <w:r>
              <w:rPr>
                <w:rFonts w:hint="eastAsia" w:ascii="仿宋" w:hAnsi="仿宋" w:eastAsia="仿宋" w:cs="仿宋"/>
                <w:bCs/>
                <w:color w:val="auto"/>
                <w:kern w:val="0"/>
                <w:sz w:val="24"/>
                <w:szCs w:val="24"/>
              </w:rPr>
              <w:t>决算支出</w:t>
            </w:r>
          </w:p>
        </w:tc>
        <w:tc>
          <w:tcPr>
            <w:tcW w:w="1880" w:type="dxa"/>
            <w:noWrap w:val="0"/>
            <w:vAlign w:val="center"/>
          </w:tcPr>
          <w:p w14:paraId="23363296">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bCs/>
                <w:color w:val="222222"/>
                <w:kern w:val="0"/>
                <w:sz w:val="24"/>
                <w:szCs w:val="24"/>
              </w:rPr>
            </w:pPr>
            <w:r>
              <w:rPr>
                <w:rFonts w:hint="eastAsia" w:ascii="仿宋" w:hAnsi="仿宋" w:eastAsia="仿宋" w:cs="仿宋"/>
                <w:bCs/>
                <w:color w:val="auto"/>
                <w:kern w:val="0"/>
                <w:sz w:val="24"/>
                <w:szCs w:val="24"/>
              </w:rPr>
              <w:t>本年度指标结余</w:t>
            </w:r>
          </w:p>
        </w:tc>
        <w:tc>
          <w:tcPr>
            <w:tcW w:w="1760" w:type="dxa"/>
            <w:noWrap w:val="0"/>
            <w:vAlign w:val="center"/>
          </w:tcPr>
          <w:p w14:paraId="728C260C">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bCs/>
                <w:color w:val="222222"/>
                <w:kern w:val="0"/>
                <w:sz w:val="24"/>
                <w:szCs w:val="24"/>
              </w:rPr>
            </w:pPr>
            <w:r>
              <w:rPr>
                <w:rFonts w:hint="eastAsia" w:ascii="仿宋" w:hAnsi="仿宋" w:eastAsia="仿宋" w:cs="仿宋"/>
                <w:bCs/>
                <w:color w:val="auto"/>
                <w:kern w:val="0"/>
                <w:sz w:val="24"/>
                <w:szCs w:val="24"/>
              </w:rPr>
              <w:t>上年度指标结余</w:t>
            </w:r>
          </w:p>
        </w:tc>
        <w:tc>
          <w:tcPr>
            <w:tcW w:w="1827" w:type="dxa"/>
            <w:noWrap w:val="0"/>
            <w:vAlign w:val="center"/>
          </w:tcPr>
          <w:p w14:paraId="58E10154">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bCs/>
                <w:color w:val="222222"/>
                <w:kern w:val="0"/>
                <w:sz w:val="24"/>
                <w:szCs w:val="24"/>
              </w:rPr>
            </w:pPr>
            <w:r>
              <w:rPr>
                <w:rFonts w:hint="eastAsia" w:ascii="仿宋" w:hAnsi="仿宋" w:eastAsia="仿宋" w:cs="仿宋"/>
                <w:bCs/>
                <w:color w:val="auto"/>
                <w:kern w:val="0"/>
                <w:sz w:val="24"/>
                <w:szCs w:val="24"/>
              </w:rPr>
              <w:t>结余</w:t>
            </w:r>
            <w:r>
              <w:rPr>
                <w:rFonts w:hint="eastAsia" w:ascii="仿宋" w:hAnsi="仿宋" w:eastAsia="仿宋" w:cs="仿宋"/>
                <w:bCs/>
                <w:color w:val="auto"/>
                <w:kern w:val="0"/>
                <w:sz w:val="24"/>
                <w:szCs w:val="24"/>
                <w:lang w:val="en-US" w:eastAsia="zh-CN"/>
              </w:rPr>
              <w:t>增加</w:t>
            </w:r>
          </w:p>
        </w:tc>
      </w:tr>
      <w:tr w14:paraId="3CE6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74" w:type="dxa"/>
            <w:noWrap w:val="0"/>
            <w:vAlign w:val="center"/>
          </w:tcPr>
          <w:p w14:paraId="5A95E9EF">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11,107,343.30</w:t>
            </w:r>
          </w:p>
        </w:tc>
        <w:tc>
          <w:tcPr>
            <w:tcW w:w="1826" w:type="dxa"/>
            <w:noWrap w:val="0"/>
            <w:vAlign w:val="center"/>
          </w:tcPr>
          <w:p w14:paraId="24A2D1DB">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11,107,343.30</w:t>
            </w:r>
          </w:p>
        </w:tc>
        <w:tc>
          <w:tcPr>
            <w:tcW w:w="1880" w:type="dxa"/>
            <w:noWrap w:val="0"/>
            <w:vAlign w:val="center"/>
          </w:tcPr>
          <w:p w14:paraId="77B10E93">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w:t>
            </w:r>
          </w:p>
        </w:tc>
        <w:tc>
          <w:tcPr>
            <w:tcW w:w="1760" w:type="dxa"/>
            <w:noWrap w:val="0"/>
            <w:vAlign w:val="center"/>
          </w:tcPr>
          <w:p w14:paraId="45A874A9">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w:t>
            </w:r>
          </w:p>
        </w:tc>
        <w:tc>
          <w:tcPr>
            <w:tcW w:w="1827" w:type="dxa"/>
            <w:noWrap w:val="0"/>
            <w:vAlign w:val="center"/>
          </w:tcPr>
          <w:p w14:paraId="7C487E1F">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w:t>
            </w:r>
          </w:p>
        </w:tc>
      </w:tr>
    </w:tbl>
    <w:p w14:paraId="1256BD48">
      <w:pPr>
        <w:keepNext w:val="0"/>
        <w:keepLines w:val="0"/>
        <w:pageBreakBefore w:val="0"/>
        <w:widowControl/>
        <w:kinsoku/>
        <w:wordWrap/>
        <w:topLinePunct w:val="0"/>
        <w:bidi w:val="0"/>
        <w:adjustRightInd/>
        <w:snapToGrid/>
        <w:spacing w:line="592" w:lineRule="exact"/>
        <w:ind w:firstLine="640" w:firstLineChars="200"/>
        <w:textAlignment w:val="auto"/>
        <w:rPr>
          <w:rFonts w:hint="eastAsia" w:ascii="仿宋_GB2312" w:hAnsi="仿宋_GB2312" w:eastAsia="仿宋_GB2312" w:cs="仿宋_GB2312"/>
          <w:b/>
          <w:color w:val="222222"/>
          <w:kern w:val="0"/>
          <w:sz w:val="32"/>
          <w:szCs w:val="32"/>
        </w:rPr>
      </w:pPr>
      <w:r>
        <w:rPr>
          <w:rFonts w:hint="eastAsia" w:ascii="仿宋_GB2312" w:hAnsi="仿宋_GB2312" w:eastAsia="仿宋_GB2312" w:cs="仿宋_GB2312"/>
          <w:b/>
          <w:color w:val="222222"/>
          <w:kern w:val="0"/>
          <w:sz w:val="32"/>
          <w:szCs w:val="32"/>
          <w:lang w:eastAsia="zh-CN"/>
        </w:rPr>
        <w:t>（</w:t>
      </w:r>
      <w:r>
        <w:rPr>
          <w:rFonts w:hint="eastAsia" w:ascii="仿宋_GB2312" w:hAnsi="仿宋_GB2312" w:eastAsia="仿宋_GB2312" w:cs="仿宋_GB2312"/>
          <w:b/>
          <w:color w:val="222222"/>
          <w:kern w:val="0"/>
          <w:sz w:val="32"/>
          <w:szCs w:val="32"/>
          <w:lang w:val="en-US" w:eastAsia="zh-CN"/>
        </w:rPr>
        <w:t>2</w:t>
      </w:r>
      <w:r>
        <w:rPr>
          <w:rFonts w:hint="eastAsia" w:ascii="仿宋_GB2312" w:hAnsi="仿宋_GB2312" w:eastAsia="仿宋_GB2312" w:cs="仿宋_GB2312"/>
          <w:b/>
          <w:color w:val="222222"/>
          <w:kern w:val="0"/>
          <w:sz w:val="32"/>
          <w:szCs w:val="32"/>
          <w:lang w:eastAsia="zh-CN"/>
        </w:rPr>
        <w:t>）</w:t>
      </w:r>
      <w:r>
        <w:rPr>
          <w:rFonts w:hint="eastAsia" w:ascii="仿宋_GB2312" w:hAnsi="仿宋_GB2312" w:eastAsia="仿宋_GB2312" w:cs="仿宋_GB2312"/>
          <w:b/>
          <w:color w:val="222222"/>
          <w:kern w:val="0"/>
          <w:sz w:val="32"/>
          <w:szCs w:val="32"/>
        </w:rPr>
        <w:t>20</w:t>
      </w:r>
      <w:r>
        <w:rPr>
          <w:rFonts w:hint="eastAsia" w:ascii="仿宋_GB2312" w:hAnsi="仿宋_GB2312" w:eastAsia="仿宋_GB2312" w:cs="仿宋_GB2312"/>
          <w:b/>
          <w:color w:val="222222"/>
          <w:kern w:val="0"/>
          <w:sz w:val="32"/>
          <w:szCs w:val="32"/>
          <w:lang w:val="en-US" w:eastAsia="zh-CN"/>
        </w:rPr>
        <w:t>24</w:t>
      </w:r>
      <w:r>
        <w:rPr>
          <w:rFonts w:hint="eastAsia" w:ascii="仿宋_GB2312" w:hAnsi="仿宋_GB2312" w:eastAsia="仿宋_GB2312" w:cs="仿宋_GB2312"/>
          <w:b/>
          <w:color w:val="222222"/>
          <w:kern w:val="0"/>
          <w:sz w:val="32"/>
          <w:szCs w:val="32"/>
        </w:rPr>
        <w:t>年度预算支出决算及结余情况</w:t>
      </w:r>
    </w:p>
    <w:tbl>
      <w:tblPr>
        <w:tblStyle w:val="13"/>
        <w:tblW w:w="9398" w:type="dxa"/>
        <w:jc w:val="center"/>
        <w:tblLayout w:type="fixed"/>
        <w:tblCellMar>
          <w:top w:w="15" w:type="dxa"/>
          <w:left w:w="15" w:type="dxa"/>
          <w:bottom w:w="15" w:type="dxa"/>
          <w:right w:w="15" w:type="dxa"/>
        </w:tblCellMar>
      </w:tblPr>
      <w:tblGrid>
        <w:gridCol w:w="2443"/>
        <w:gridCol w:w="2313"/>
        <w:gridCol w:w="2265"/>
        <w:gridCol w:w="2377"/>
      </w:tblGrid>
      <w:tr w14:paraId="73B6E1B8">
        <w:tblPrEx>
          <w:tblCellMar>
            <w:top w:w="15" w:type="dxa"/>
            <w:left w:w="15" w:type="dxa"/>
            <w:bottom w:w="15" w:type="dxa"/>
            <w:right w:w="15" w:type="dxa"/>
          </w:tblCellMar>
        </w:tblPrEx>
        <w:trPr>
          <w:trHeight w:val="475"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14:paraId="6901B41F">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项目</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301F8CB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基本支出</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0A86A960">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项目支出</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5E34A55">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合计</w:t>
            </w:r>
          </w:p>
        </w:tc>
      </w:tr>
      <w:tr w14:paraId="061AF242">
        <w:tblPrEx>
          <w:tblCellMar>
            <w:top w:w="15" w:type="dxa"/>
            <w:left w:w="15" w:type="dxa"/>
            <w:bottom w:w="15" w:type="dxa"/>
            <w:right w:w="15" w:type="dxa"/>
          </w:tblCellMar>
        </w:tblPrEx>
        <w:trPr>
          <w:trHeight w:val="475"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14:paraId="3DBC1AD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上年结转</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3C545AF4">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75790841">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560085E0">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r>
      <w:tr w14:paraId="655284E1">
        <w:tblPrEx>
          <w:tblCellMar>
            <w:top w:w="15" w:type="dxa"/>
            <w:left w:w="15" w:type="dxa"/>
            <w:bottom w:w="15" w:type="dxa"/>
            <w:right w:w="15" w:type="dxa"/>
          </w:tblCellMar>
        </w:tblPrEx>
        <w:trPr>
          <w:trHeight w:val="475"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14:paraId="44222A2E">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年初预算支出</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1DB6F822">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2,342,135.82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6172D46F">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473,600.00</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11AB84D">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2,815,735.82</w:t>
            </w:r>
          </w:p>
        </w:tc>
      </w:tr>
      <w:tr w14:paraId="5D2E383B">
        <w:tblPrEx>
          <w:tblCellMar>
            <w:top w:w="15" w:type="dxa"/>
            <w:left w:w="15" w:type="dxa"/>
            <w:bottom w:w="15" w:type="dxa"/>
            <w:right w:w="15" w:type="dxa"/>
          </w:tblCellMar>
        </w:tblPrEx>
        <w:trPr>
          <w:trHeight w:val="475"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14:paraId="7BCB765D">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追加预算支出</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33607EA5">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469,640.74</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1ADB1996">
            <w:pPr>
              <w:keepNext w:val="0"/>
              <w:keepLines w:val="0"/>
              <w:pageBreakBefore w:val="0"/>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7,821,966.74</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07F0B85D">
            <w:pPr>
              <w:keepNext w:val="0"/>
              <w:keepLines w:val="0"/>
              <w:pageBreakBefore w:val="0"/>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8,291,607.48</w:t>
            </w:r>
          </w:p>
        </w:tc>
      </w:tr>
      <w:tr w14:paraId="3242D1BE">
        <w:tblPrEx>
          <w:tblCellMar>
            <w:top w:w="15" w:type="dxa"/>
            <w:left w:w="15" w:type="dxa"/>
            <w:bottom w:w="15" w:type="dxa"/>
            <w:right w:w="15" w:type="dxa"/>
          </w:tblCellMar>
        </w:tblPrEx>
        <w:trPr>
          <w:trHeight w:val="475"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14:paraId="09D186CF">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kern w:val="0"/>
                <w:sz w:val="24"/>
                <w:szCs w:val="24"/>
              </w:rPr>
              <w:t>全年可用预算指标</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24827549">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2,811,776.56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6705594C">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8,295,566.74</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140A0D8">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kern w:val="0"/>
                <w:sz w:val="24"/>
                <w:szCs w:val="24"/>
                <w:highlight w:val="none"/>
                <w:lang w:val="en-US" w:eastAsia="zh-CN"/>
              </w:rPr>
              <w:t>11,107,343.30</w:t>
            </w:r>
          </w:p>
        </w:tc>
      </w:tr>
      <w:tr w14:paraId="58F322AC">
        <w:tblPrEx>
          <w:tblCellMar>
            <w:top w:w="15" w:type="dxa"/>
            <w:left w:w="15" w:type="dxa"/>
            <w:bottom w:w="15" w:type="dxa"/>
            <w:right w:w="15" w:type="dxa"/>
          </w:tblCellMar>
        </w:tblPrEx>
        <w:trPr>
          <w:trHeight w:val="475" w:hRule="atLeast"/>
          <w:jc w:val="center"/>
        </w:trPr>
        <w:tc>
          <w:tcPr>
            <w:tcW w:w="24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D69C9">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决算支出</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D1BF2B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2,811,776.56</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4BBA4D8A">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8,295,566.74</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26D257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highlight w:val="none"/>
                <w:lang w:val="en-US" w:eastAsia="zh-CN"/>
              </w:rPr>
              <w:t>11,107,343.30</w:t>
            </w:r>
          </w:p>
        </w:tc>
      </w:tr>
      <w:tr w14:paraId="4AB140B8">
        <w:tblPrEx>
          <w:tblCellMar>
            <w:top w:w="15" w:type="dxa"/>
            <w:left w:w="15" w:type="dxa"/>
            <w:bottom w:w="15" w:type="dxa"/>
            <w:right w:w="15" w:type="dxa"/>
          </w:tblCellMar>
        </w:tblPrEx>
        <w:trPr>
          <w:trHeight w:val="475" w:hRule="atLeast"/>
          <w:jc w:val="center"/>
        </w:trPr>
        <w:tc>
          <w:tcPr>
            <w:tcW w:w="24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CF08D">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kern w:val="0"/>
                <w:sz w:val="24"/>
                <w:szCs w:val="24"/>
              </w:rPr>
              <w:t>年末结转</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11B46AFA">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1A23A630">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CD72B76">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r>
      <w:tr w14:paraId="7806B4F4">
        <w:tblPrEx>
          <w:tblCellMar>
            <w:top w:w="15" w:type="dxa"/>
            <w:left w:w="15" w:type="dxa"/>
            <w:bottom w:w="15" w:type="dxa"/>
            <w:right w:w="15" w:type="dxa"/>
          </w:tblCellMar>
        </w:tblPrEx>
        <w:trPr>
          <w:trHeight w:val="504" w:hRule="atLeast"/>
          <w:jc w:val="center"/>
        </w:trPr>
        <w:tc>
          <w:tcPr>
            <w:tcW w:w="24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E0A9C">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rPr>
              <w:t>执行差异（预算</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决算）</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10C56FF6">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6C648D99">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65A723A">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0.00</w:t>
            </w:r>
          </w:p>
        </w:tc>
      </w:tr>
    </w:tbl>
    <w:p w14:paraId="0E1BD48D">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针对上述数据反映情况，说明如下：</w:t>
      </w:r>
    </w:p>
    <w:p w14:paraId="16D47CDC">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2024年我局预算通过追加和调整金额8,291,607.48元。</w:t>
      </w:r>
    </w:p>
    <w:p w14:paraId="1DDF11B1">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2024年我局预算结转指标为0元。</w:t>
      </w:r>
    </w:p>
    <w:p w14:paraId="377C2CDD">
      <w:pPr>
        <w:keepNext w:val="0"/>
        <w:keepLines w:val="0"/>
        <w:pageBreakBefore w:val="0"/>
        <w:widowControl w:val="0"/>
        <w:numPr>
          <w:ilvl w:val="0"/>
          <w:numId w:val="1"/>
        </w:numPr>
        <w:suppressAutoHyphens/>
        <w:kinsoku/>
        <w:wordWrap/>
        <w:overflowPunct/>
        <w:topLinePunct w:val="0"/>
        <w:autoSpaceDE/>
        <w:autoSpaceDN/>
        <w:bidi w:val="0"/>
        <w:adjustRightInd/>
        <w:snapToGrid/>
        <w:spacing w:line="592" w:lineRule="exact"/>
        <w:ind w:left="0" w:leftChars="0" w:firstLine="640" w:firstLineChars="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支出结构分析</w:t>
      </w:r>
    </w:p>
    <w:p w14:paraId="32D7CF37">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2024年支出总额11,107,343.30元，其构成为：基本支出2,811,776.56元（其中：工资福利支出2,024,728.56元、商品和服务支出787,048.00元）；项目支出8,295,566.74元（其中：商品和服务支出5,675,566.74元，对个人和家庭的补助2,060,000.00元，资本性支出560,000.00元）。</w:t>
      </w:r>
    </w:p>
    <w:tbl>
      <w:tblPr>
        <w:tblStyle w:val="13"/>
        <w:tblW w:w="9438" w:type="dxa"/>
        <w:jc w:val="center"/>
        <w:tblLayout w:type="fixed"/>
        <w:tblCellMar>
          <w:top w:w="15" w:type="dxa"/>
          <w:left w:w="15" w:type="dxa"/>
          <w:bottom w:w="15" w:type="dxa"/>
          <w:right w:w="15" w:type="dxa"/>
        </w:tblCellMar>
      </w:tblPr>
      <w:tblGrid>
        <w:gridCol w:w="1547"/>
        <w:gridCol w:w="1707"/>
        <w:gridCol w:w="819"/>
        <w:gridCol w:w="1572"/>
        <w:gridCol w:w="857"/>
        <w:gridCol w:w="1896"/>
        <w:gridCol w:w="1040"/>
      </w:tblGrid>
      <w:tr w14:paraId="350A5800">
        <w:tblPrEx>
          <w:tblCellMar>
            <w:top w:w="15" w:type="dxa"/>
            <w:left w:w="15" w:type="dxa"/>
            <w:bottom w:w="15" w:type="dxa"/>
            <w:right w:w="15" w:type="dxa"/>
          </w:tblCellMar>
        </w:tblPrEx>
        <w:trPr>
          <w:trHeight w:val="593" w:hRule="atLeast"/>
          <w:jc w:val="center"/>
        </w:trPr>
        <w:tc>
          <w:tcPr>
            <w:tcW w:w="1547" w:type="dxa"/>
            <w:vMerge w:val="restart"/>
            <w:tcBorders>
              <w:top w:val="single" w:color="000000" w:sz="4" w:space="0"/>
              <w:left w:val="single" w:color="000000" w:sz="4" w:space="0"/>
            </w:tcBorders>
            <w:noWrap w:val="0"/>
            <w:vAlign w:val="center"/>
          </w:tcPr>
          <w:p w14:paraId="614E8EFC">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项目</w:t>
            </w:r>
          </w:p>
        </w:tc>
        <w:tc>
          <w:tcPr>
            <w:tcW w:w="2526" w:type="dxa"/>
            <w:gridSpan w:val="2"/>
            <w:tcBorders>
              <w:top w:val="single" w:color="000000" w:sz="4" w:space="0"/>
              <w:left w:val="single" w:color="000000" w:sz="4" w:space="0"/>
              <w:bottom w:val="single" w:color="000000" w:sz="4" w:space="0"/>
              <w:right w:val="single" w:color="000000" w:sz="4" w:space="0"/>
            </w:tcBorders>
            <w:noWrap w:val="0"/>
            <w:vAlign w:val="center"/>
          </w:tcPr>
          <w:p w14:paraId="2AEE108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本年决算</w:t>
            </w:r>
          </w:p>
        </w:tc>
        <w:tc>
          <w:tcPr>
            <w:tcW w:w="2429" w:type="dxa"/>
            <w:gridSpan w:val="2"/>
            <w:tcBorders>
              <w:top w:val="single" w:color="000000" w:sz="4" w:space="0"/>
              <w:left w:val="single" w:color="000000" w:sz="4" w:space="0"/>
              <w:bottom w:val="single" w:color="000000" w:sz="4" w:space="0"/>
              <w:right w:val="single" w:color="000000" w:sz="4" w:space="0"/>
            </w:tcBorders>
            <w:noWrap w:val="0"/>
            <w:vAlign w:val="center"/>
          </w:tcPr>
          <w:p w14:paraId="3093EC8F">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基本支出</w:t>
            </w:r>
          </w:p>
        </w:tc>
        <w:tc>
          <w:tcPr>
            <w:tcW w:w="2936" w:type="dxa"/>
            <w:gridSpan w:val="2"/>
            <w:tcBorders>
              <w:top w:val="single" w:color="000000" w:sz="4" w:space="0"/>
              <w:left w:val="single" w:color="000000" w:sz="4" w:space="0"/>
              <w:bottom w:val="single" w:color="000000" w:sz="4" w:space="0"/>
              <w:right w:val="single" w:color="000000" w:sz="4" w:space="0"/>
            </w:tcBorders>
            <w:noWrap w:val="0"/>
            <w:vAlign w:val="center"/>
          </w:tcPr>
          <w:p w14:paraId="3FA0DE73">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项目支出</w:t>
            </w:r>
          </w:p>
        </w:tc>
      </w:tr>
      <w:tr w14:paraId="3EB090DB">
        <w:tblPrEx>
          <w:tblCellMar>
            <w:top w:w="15" w:type="dxa"/>
            <w:left w:w="15" w:type="dxa"/>
            <w:bottom w:w="15" w:type="dxa"/>
            <w:right w:w="15" w:type="dxa"/>
          </w:tblCellMar>
        </w:tblPrEx>
        <w:trPr>
          <w:trHeight w:val="458" w:hRule="atLeast"/>
          <w:jc w:val="center"/>
        </w:trPr>
        <w:tc>
          <w:tcPr>
            <w:tcW w:w="1547" w:type="dxa"/>
            <w:vMerge w:val="continue"/>
            <w:tcBorders>
              <w:left w:val="single" w:color="000000" w:sz="4" w:space="0"/>
              <w:bottom w:val="single" w:color="000000" w:sz="4" w:space="0"/>
            </w:tcBorders>
            <w:noWrap w:val="0"/>
            <w:vAlign w:val="center"/>
          </w:tcPr>
          <w:p w14:paraId="559BA27C">
            <w:pPr>
              <w:keepNext w:val="0"/>
              <w:keepLines w:val="0"/>
              <w:pageBreakBefore w:val="0"/>
              <w:kinsoku/>
              <w:wordWrap/>
              <w:topLinePunct w:val="0"/>
              <w:bidi w:val="0"/>
              <w:adjustRightInd/>
              <w:snapToGrid/>
              <w:spacing w:line="560" w:lineRule="exact"/>
              <w:jc w:val="center"/>
              <w:rPr>
                <w:rFonts w:hint="eastAsia" w:ascii="仿宋" w:hAnsi="仿宋" w:eastAsia="仿宋" w:cs="仿宋"/>
                <w:color w:val="000000"/>
                <w:sz w:val="24"/>
                <w:szCs w:val="24"/>
                <w:highlight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0861CA60">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金额</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C7D75F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比率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4BC4B1D5">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金额</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1A78F040">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比率</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2A7CAE8">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"基本信息!A1" </w:instrText>
            </w:r>
            <w:r>
              <w:rPr>
                <w:rFonts w:hint="eastAsia" w:ascii="仿宋" w:hAnsi="仿宋" w:eastAsia="仿宋" w:cs="仿宋"/>
                <w:color w:val="auto"/>
                <w:sz w:val="24"/>
                <w:szCs w:val="24"/>
                <w:highlight w:val="none"/>
              </w:rPr>
              <w:fldChar w:fldCharType="separate"/>
            </w:r>
            <w:r>
              <w:rPr>
                <w:rStyle w:val="17"/>
                <w:rFonts w:hint="eastAsia" w:ascii="仿宋" w:hAnsi="仿宋" w:eastAsia="仿宋" w:cs="仿宋"/>
                <w:color w:val="auto"/>
                <w:sz w:val="24"/>
                <w:szCs w:val="24"/>
                <w:highlight w:val="none"/>
                <w:u w:val="none"/>
              </w:rPr>
              <w:t>金额</w:t>
            </w:r>
            <w:r>
              <w:rPr>
                <w:rFonts w:hint="eastAsia" w:ascii="仿宋" w:hAnsi="仿宋" w:eastAsia="仿宋" w:cs="仿宋"/>
                <w:color w:val="auto"/>
                <w:sz w:val="24"/>
                <w:szCs w:val="24"/>
                <w:highlight w:val="none"/>
                <w:u w:val="none"/>
              </w:rPr>
              <w:fldChar w:fldCharType="end"/>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D731EC0">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比率</w:t>
            </w:r>
          </w:p>
        </w:tc>
      </w:tr>
      <w:tr w14:paraId="54293BF4">
        <w:tblPrEx>
          <w:tblCellMar>
            <w:top w:w="15" w:type="dxa"/>
            <w:left w:w="15" w:type="dxa"/>
            <w:bottom w:w="15" w:type="dxa"/>
            <w:right w:w="15" w:type="dxa"/>
          </w:tblCellMar>
        </w:tblPrEx>
        <w:trPr>
          <w:trHeight w:val="478" w:hRule="atLeast"/>
          <w:jc w:val="center"/>
        </w:trPr>
        <w:tc>
          <w:tcPr>
            <w:tcW w:w="1547" w:type="dxa"/>
            <w:tcBorders>
              <w:top w:val="single" w:color="000000" w:sz="4" w:space="0"/>
              <w:left w:val="single" w:color="000000" w:sz="4" w:space="0"/>
              <w:bottom w:val="single" w:color="000000" w:sz="4" w:space="0"/>
            </w:tcBorders>
            <w:shd w:val="clear" w:color="auto" w:fill="FFFFFF"/>
            <w:noWrap w:val="0"/>
            <w:vAlign w:val="center"/>
          </w:tcPr>
          <w:p w14:paraId="5ECC6F21">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工资福利支出</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3F1C5D2">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2,024,728.56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603792F">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18.23%</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7C719FCD">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2,024,728.56</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25A8D062">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72.01%</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FE8FDC4">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0.00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34D47A0">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val="en-US" w:eastAsia="zh-CN"/>
              </w:rPr>
              <w:t>0.00%</w:t>
            </w:r>
          </w:p>
        </w:tc>
      </w:tr>
      <w:tr w14:paraId="7D2D3E50">
        <w:tblPrEx>
          <w:tblCellMar>
            <w:top w:w="15" w:type="dxa"/>
            <w:left w:w="15" w:type="dxa"/>
            <w:bottom w:w="15" w:type="dxa"/>
            <w:right w:w="15" w:type="dxa"/>
          </w:tblCellMar>
        </w:tblPrEx>
        <w:trPr>
          <w:trHeight w:val="611" w:hRule="atLeast"/>
          <w:jc w:val="center"/>
        </w:trPr>
        <w:tc>
          <w:tcPr>
            <w:tcW w:w="1547" w:type="dxa"/>
            <w:tcBorders>
              <w:top w:val="single" w:color="000000" w:sz="4" w:space="0"/>
              <w:left w:val="single" w:color="000000" w:sz="4" w:space="0"/>
              <w:bottom w:val="single" w:color="000000" w:sz="4" w:space="0"/>
            </w:tcBorders>
            <w:shd w:val="clear" w:color="auto" w:fill="FFFFFF"/>
            <w:noWrap w:val="0"/>
            <w:vAlign w:val="center"/>
          </w:tcPr>
          <w:p w14:paraId="6A73F930">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商品和服务支出</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FBBB579">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6,462,614.74</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D0E0492">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58.18%</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67DCAA4F">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787,048.00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03612948">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27.99%</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C583DE1">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5,675,566.74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7331FF6">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68.42%</w:t>
            </w:r>
          </w:p>
        </w:tc>
      </w:tr>
      <w:tr w14:paraId="7986DDC7">
        <w:tblPrEx>
          <w:tblCellMar>
            <w:top w:w="15" w:type="dxa"/>
            <w:left w:w="15" w:type="dxa"/>
            <w:bottom w:w="15" w:type="dxa"/>
            <w:right w:w="15" w:type="dxa"/>
          </w:tblCellMar>
        </w:tblPrEx>
        <w:trPr>
          <w:trHeight w:val="698" w:hRule="atLeast"/>
          <w:jc w:val="center"/>
        </w:trPr>
        <w:tc>
          <w:tcPr>
            <w:tcW w:w="1547" w:type="dxa"/>
            <w:tcBorders>
              <w:top w:val="single" w:color="000000" w:sz="4" w:space="0"/>
              <w:left w:val="single" w:color="000000" w:sz="4" w:space="0"/>
              <w:bottom w:val="single" w:color="000000" w:sz="4" w:space="0"/>
            </w:tcBorders>
            <w:shd w:val="clear" w:color="auto" w:fill="FFFFFF"/>
            <w:noWrap w:val="0"/>
            <w:vAlign w:val="center"/>
          </w:tcPr>
          <w:p w14:paraId="10CEF83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对个人和家庭的补助</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2BB28A9">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2,060,000.00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12713C4">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18.55%</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9D38CB0">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6A685CF2">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0.00%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58BFB44">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2,060,000.00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EB7DCCC">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24.83%</w:t>
            </w:r>
          </w:p>
        </w:tc>
      </w:tr>
      <w:tr w14:paraId="76DB32BF">
        <w:tblPrEx>
          <w:tblCellMar>
            <w:top w:w="15" w:type="dxa"/>
            <w:left w:w="15" w:type="dxa"/>
            <w:bottom w:w="15" w:type="dxa"/>
            <w:right w:w="15" w:type="dxa"/>
          </w:tblCellMar>
        </w:tblPrEx>
        <w:trPr>
          <w:trHeight w:val="585" w:hRule="atLeast"/>
          <w:jc w:val="center"/>
        </w:trPr>
        <w:tc>
          <w:tcPr>
            <w:tcW w:w="1547" w:type="dxa"/>
            <w:tcBorders>
              <w:top w:val="single" w:color="000000" w:sz="4" w:space="0"/>
              <w:left w:val="single" w:color="000000" w:sz="4" w:space="0"/>
              <w:bottom w:val="single" w:color="000000" w:sz="4" w:space="0"/>
            </w:tcBorders>
            <w:shd w:val="clear" w:color="auto" w:fill="FFFFFF"/>
            <w:noWrap w:val="0"/>
            <w:vAlign w:val="center"/>
          </w:tcPr>
          <w:p w14:paraId="3FBDE267">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其他资本性支出</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5EF077E">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560,000.00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6C7DCDE">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5.04%</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09A9E62D">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552FCB79">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0.00%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1DE493B">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560,000.00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960D468">
            <w:pPr>
              <w:keepNext w:val="0"/>
              <w:keepLines w:val="0"/>
              <w:widowControl/>
              <w:suppressLineNumbers w:val="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6.75%</w:t>
            </w:r>
          </w:p>
        </w:tc>
      </w:tr>
      <w:tr w14:paraId="46100FAA">
        <w:tblPrEx>
          <w:tblCellMar>
            <w:top w:w="15" w:type="dxa"/>
            <w:left w:w="15" w:type="dxa"/>
            <w:bottom w:w="15" w:type="dxa"/>
            <w:right w:w="15" w:type="dxa"/>
          </w:tblCellMar>
        </w:tblPrEx>
        <w:trPr>
          <w:trHeight w:val="585" w:hRule="atLeast"/>
          <w:jc w:val="center"/>
        </w:trPr>
        <w:tc>
          <w:tcPr>
            <w:tcW w:w="1547" w:type="dxa"/>
            <w:tcBorders>
              <w:top w:val="single" w:color="000000" w:sz="4" w:space="0"/>
              <w:left w:val="single" w:color="000000" w:sz="4" w:space="0"/>
              <w:bottom w:val="single" w:color="000000" w:sz="4" w:space="0"/>
            </w:tcBorders>
            <w:shd w:val="clear" w:color="auto" w:fill="FFFFFF"/>
            <w:noWrap w:val="0"/>
            <w:vAlign w:val="center"/>
          </w:tcPr>
          <w:p w14:paraId="087A1397">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color w:val="auto"/>
                <w:kern w:val="0"/>
                <w:sz w:val="24"/>
                <w:szCs w:val="24"/>
                <w:highlight w:val="none"/>
                <w:u w:val="none"/>
                <w:lang w:val="en-US" w:eastAsia="zh-CN" w:bidi="ar"/>
              </w:rPr>
              <w:t>总支出</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A56B884">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11,107,343.30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80212FB">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100%</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BC9675C">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2,811,776.56</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7C6EF117">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100%</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2321D16">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8,295,566.74</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E046F70">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100%</w:t>
            </w:r>
          </w:p>
        </w:tc>
      </w:tr>
    </w:tbl>
    <w:p w14:paraId="54F9BEEF">
      <w:pPr>
        <w:numPr>
          <w:ilvl w:val="0"/>
          <w:numId w:val="0"/>
        </w:numPr>
        <w:overflowPunct w:val="0"/>
        <w:autoSpaceDE w:val="0"/>
        <w:autoSpaceDN w:val="0"/>
        <w:spacing w:line="592" w:lineRule="exact"/>
        <w:ind w:left="0" w:leftChars="0" w:firstLine="640" w:firstLineChars="200"/>
        <w:rPr>
          <w:rFonts w:hint="eastAsia" w:eastAsia="仿宋_GB2312" w:cs="仿宋_GB2312"/>
          <w:color w:val="000000"/>
          <w:sz w:val="32"/>
          <w:szCs w:val="32"/>
        </w:rPr>
      </w:pPr>
      <w:r>
        <w:rPr>
          <w:rFonts w:hint="eastAsia" w:eastAsia="仿宋_GB2312" w:cs="仿宋_GB2312" w:asciiTheme="minorHAnsi" w:hAnsiTheme="minorHAnsi"/>
          <w:color w:val="000000"/>
          <w:kern w:val="2"/>
          <w:sz w:val="32"/>
          <w:szCs w:val="32"/>
          <w:lang w:val="en-US" w:eastAsia="zh-CN" w:bidi="ar-SA"/>
        </w:rPr>
        <w:t>（</w:t>
      </w:r>
      <w:r>
        <w:rPr>
          <w:rFonts w:hint="eastAsia" w:eastAsia="仿宋_GB2312" w:cs="仿宋_GB2312"/>
          <w:color w:val="000000"/>
          <w:kern w:val="2"/>
          <w:sz w:val="32"/>
          <w:szCs w:val="32"/>
          <w:lang w:val="en-US" w:eastAsia="zh-CN" w:bidi="ar-SA"/>
        </w:rPr>
        <w:t>三</w:t>
      </w:r>
      <w:r>
        <w:rPr>
          <w:rFonts w:hint="eastAsia" w:eastAsia="仿宋_GB2312" w:cs="仿宋_GB2312" w:asciiTheme="minorHAnsi" w:hAnsiTheme="minorHAnsi"/>
          <w:color w:val="000000"/>
          <w:kern w:val="2"/>
          <w:sz w:val="32"/>
          <w:szCs w:val="32"/>
          <w:lang w:val="en-US" w:eastAsia="zh-CN" w:bidi="ar-SA"/>
        </w:rPr>
        <w:t>）</w:t>
      </w:r>
      <w:r>
        <w:rPr>
          <w:rFonts w:hint="eastAsia" w:eastAsia="仿宋_GB2312" w:cs="仿宋_GB2312"/>
          <w:color w:val="000000"/>
          <w:sz w:val="32"/>
          <w:szCs w:val="32"/>
        </w:rPr>
        <w:t>部门整体支出或项目实施情况分析，主要包括资金到位、资金使用、资金管理、项目组织和项目管理情况分析等。</w:t>
      </w:r>
    </w:p>
    <w:p w14:paraId="7039B4F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color w:val="222222"/>
          <w:sz w:val="32"/>
          <w:szCs w:val="32"/>
          <w:lang w:val="en-US" w:eastAsia="zh-CN"/>
        </w:rPr>
        <w:t xml:space="preserve">1. </w:t>
      </w:r>
      <w:r>
        <w:rPr>
          <w:rFonts w:hint="eastAsia" w:ascii="楷体" w:hAnsi="楷体" w:eastAsia="楷体" w:cs="楷体"/>
          <w:b w:val="0"/>
          <w:bCs/>
          <w:color w:val="222222"/>
          <w:sz w:val="32"/>
          <w:szCs w:val="32"/>
        </w:rPr>
        <w:t>预算配置</w:t>
      </w:r>
    </w:p>
    <w:p w14:paraId="38BAC660">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（1）在职人员控制率：2024年全局在职人员编制数</w:t>
      </w:r>
      <w:r>
        <w:rPr>
          <w:rFonts w:hint="eastAsia" w:ascii="仿宋_GB2312" w:hAnsi="仿宋_GB2312" w:eastAsia="仿宋_GB2312" w:cs="仿宋_GB2312"/>
          <w:color w:val="auto"/>
          <w:kern w:val="2"/>
          <w:sz w:val="32"/>
          <w:szCs w:val="32"/>
          <w:highlight w:val="none"/>
          <w:lang w:val="en-US" w:eastAsia="zh-CN" w:bidi="ar-SA"/>
        </w:rPr>
        <w:t>19</w:t>
      </w:r>
      <w:r>
        <w:rPr>
          <w:rFonts w:hint="eastAsia" w:ascii="仿宋_GB2312" w:hAnsi="仿宋_GB2312" w:eastAsia="仿宋_GB2312" w:cs="仿宋_GB2312"/>
          <w:color w:val="000000"/>
          <w:kern w:val="2"/>
          <w:sz w:val="32"/>
          <w:szCs w:val="32"/>
          <w:highlight w:val="none"/>
          <w:lang w:val="en-US" w:eastAsia="zh-CN" w:bidi="ar-SA"/>
        </w:rPr>
        <w:t>人，年末实际在职人数</w:t>
      </w:r>
      <w:r>
        <w:rPr>
          <w:rFonts w:hint="eastAsia" w:ascii="仿宋_GB2312" w:hAnsi="仿宋_GB2312" w:eastAsia="仿宋_GB2312" w:cs="仿宋_GB2312"/>
          <w:color w:val="auto"/>
          <w:kern w:val="2"/>
          <w:sz w:val="32"/>
          <w:szCs w:val="32"/>
          <w:highlight w:val="none"/>
          <w:lang w:val="en-US" w:eastAsia="zh-CN" w:bidi="ar-SA"/>
        </w:rPr>
        <w:t>19</w:t>
      </w:r>
      <w:r>
        <w:rPr>
          <w:rFonts w:hint="eastAsia" w:ascii="仿宋_GB2312" w:hAnsi="仿宋_GB2312" w:eastAsia="仿宋_GB2312" w:cs="仿宋_GB2312"/>
          <w:color w:val="000000"/>
          <w:kern w:val="2"/>
          <w:sz w:val="32"/>
          <w:szCs w:val="32"/>
          <w:highlight w:val="none"/>
          <w:lang w:val="en-US" w:eastAsia="zh-CN" w:bidi="ar-SA"/>
        </w:rPr>
        <w:t>人，在职人员控制率为100%。</w:t>
      </w:r>
    </w:p>
    <w:p w14:paraId="607A5186">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（2）“三公”经费变动率：2024年“三公”经费预算数为130,000.00元，较2023年“三公”经费预算数为180,000.00元，“三公”经费变动率为-38.46％。</w:t>
      </w:r>
    </w:p>
    <w:p w14:paraId="456E11C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楷体" w:hAnsi="楷体" w:eastAsia="楷体" w:cs="楷体"/>
          <w:b w:val="0"/>
          <w:bCs/>
          <w:color w:val="222222"/>
          <w:sz w:val="32"/>
          <w:szCs w:val="32"/>
          <w:lang w:val="en-US" w:eastAsia="zh-CN"/>
        </w:rPr>
      </w:pPr>
      <w:r>
        <w:rPr>
          <w:rFonts w:hint="eastAsia" w:ascii="楷体" w:hAnsi="楷体" w:eastAsia="楷体" w:cs="楷体"/>
          <w:b w:val="0"/>
          <w:bCs/>
          <w:color w:val="222222"/>
          <w:sz w:val="32"/>
          <w:szCs w:val="32"/>
          <w:lang w:val="en-US" w:eastAsia="zh-CN"/>
        </w:rPr>
        <w:t>2. 预算执行</w:t>
      </w:r>
    </w:p>
    <w:p w14:paraId="055668B7">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（1）预算完成率：2024年初预算11,107,343.30元，决算数11,107,343.30元，年末结余0元，预算完成率为100%。</w:t>
      </w:r>
    </w:p>
    <w:p w14:paraId="11C33F79">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（2）预算控制率：2024年初预算2,815,735.82元，年中追加预算8,291,607.48元，预算调整率为194.47%。</w:t>
      </w:r>
    </w:p>
    <w:p w14:paraId="7F60810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楷体" w:hAnsi="楷体" w:eastAsia="楷体" w:cs="楷体"/>
          <w:color w:val="000000"/>
          <w:kern w:val="2"/>
          <w:sz w:val="32"/>
          <w:szCs w:val="32"/>
          <w:highlight w:val="none"/>
          <w:lang w:val="en-US" w:eastAsia="zh-CN" w:bidi="ar-SA"/>
        </w:rPr>
      </w:pPr>
      <w:r>
        <w:rPr>
          <w:rFonts w:hint="eastAsia" w:ascii="楷体" w:hAnsi="楷体" w:eastAsia="楷体" w:cs="楷体"/>
          <w:color w:val="000000"/>
          <w:kern w:val="2"/>
          <w:sz w:val="32"/>
          <w:szCs w:val="32"/>
          <w:highlight w:val="none"/>
          <w:lang w:val="en-US" w:eastAsia="zh-CN" w:bidi="ar-SA"/>
        </w:rPr>
        <w:t>3. 预算管理</w:t>
      </w:r>
    </w:p>
    <w:p w14:paraId="0AFC0CAF">
      <w:pPr>
        <w:pStyle w:val="12"/>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（1）公用经费控制率：2024年预算安排公用经费总额787,048.00元，实际支出公用经费787,048.00元，未超支公用经费控制率为100%。</w:t>
      </w:r>
    </w:p>
    <w:tbl>
      <w:tblPr>
        <w:tblStyle w:val="13"/>
        <w:tblW w:w="9460" w:type="dxa"/>
        <w:jc w:val="center"/>
        <w:tblLayout w:type="fixed"/>
        <w:tblCellMar>
          <w:top w:w="15" w:type="dxa"/>
          <w:left w:w="15" w:type="dxa"/>
          <w:bottom w:w="15" w:type="dxa"/>
          <w:right w:w="15" w:type="dxa"/>
        </w:tblCellMar>
      </w:tblPr>
      <w:tblGrid>
        <w:gridCol w:w="2267"/>
        <w:gridCol w:w="2397"/>
        <w:gridCol w:w="2674"/>
        <w:gridCol w:w="2122"/>
      </w:tblGrid>
      <w:tr w14:paraId="4BB47CC7">
        <w:tblPrEx>
          <w:tblCellMar>
            <w:top w:w="15" w:type="dxa"/>
            <w:left w:w="15" w:type="dxa"/>
            <w:bottom w:w="15" w:type="dxa"/>
            <w:right w:w="15" w:type="dxa"/>
          </w:tblCellMar>
        </w:tblPrEx>
        <w:trPr>
          <w:trHeight w:val="592" w:hRule="atLeast"/>
          <w:jc w:val="center"/>
        </w:trPr>
        <w:tc>
          <w:tcPr>
            <w:tcW w:w="22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98F6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项目</w:t>
            </w:r>
          </w:p>
        </w:tc>
        <w:tc>
          <w:tcPr>
            <w:tcW w:w="7193" w:type="dxa"/>
            <w:gridSpan w:val="3"/>
            <w:tcBorders>
              <w:top w:val="single" w:color="000000" w:sz="4" w:space="0"/>
              <w:left w:val="single" w:color="000000" w:sz="4" w:space="0"/>
              <w:bottom w:val="single" w:color="000000" w:sz="4" w:space="0"/>
              <w:right w:val="single" w:color="000000" w:sz="4" w:space="0"/>
            </w:tcBorders>
            <w:noWrap w:val="0"/>
            <w:vAlign w:val="center"/>
          </w:tcPr>
          <w:p w14:paraId="678B2A45">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本年数</w:t>
            </w:r>
          </w:p>
        </w:tc>
      </w:tr>
      <w:tr w14:paraId="237F4E9D">
        <w:tblPrEx>
          <w:tblCellMar>
            <w:top w:w="15" w:type="dxa"/>
            <w:left w:w="15" w:type="dxa"/>
            <w:bottom w:w="15" w:type="dxa"/>
            <w:right w:w="15" w:type="dxa"/>
          </w:tblCellMar>
        </w:tblPrEx>
        <w:trPr>
          <w:trHeight w:val="592" w:hRule="atLeast"/>
          <w:jc w:val="center"/>
        </w:trPr>
        <w:tc>
          <w:tcPr>
            <w:tcW w:w="22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B4662">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526AAF67">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预算</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B9A34CC">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决算</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04BC5F1E">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差额</w:t>
            </w:r>
          </w:p>
        </w:tc>
      </w:tr>
      <w:tr w14:paraId="61C48FCC">
        <w:tblPrEx>
          <w:tblCellMar>
            <w:top w:w="15" w:type="dxa"/>
            <w:left w:w="15" w:type="dxa"/>
            <w:bottom w:w="15" w:type="dxa"/>
            <w:right w:w="15" w:type="dxa"/>
          </w:tblCellMar>
        </w:tblPrEx>
        <w:trPr>
          <w:trHeight w:val="592"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695A458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办公费</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74A49E46">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260,937.00</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C633583">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Times New Roman" w:eastAsia="宋体" w:cs="宋体"/>
                <w:color w:val="auto"/>
                <w:kern w:val="0"/>
                <w:sz w:val="24"/>
                <w:szCs w:val="24"/>
                <w:lang w:val="en-US" w:eastAsia="zh-CN"/>
              </w:rPr>
              <w:t>260,937.00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04A88FF4">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0.00</w:t>
            </w:r>
          </w:p>
        </w:tc>
      </w:tr>
      <w:tr w14:paraId="0951608A">
        <w:tblPrEx>
          <w:tblCellMar>
            <w:top w:w="15" w:type="dxa"/>
            <w:left w:w="15" w:type="dxa"/>
            <w:bottom w:w="15" w:type="dxa"/>
            <w:right w:w="15" w:type="dxa"/>
          </w:tblCellMar>
        </w:tblPrEx>
        <w:trPr>
          <w:trHeight w:val="592"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3DFC7CB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印刷费</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64A7554C">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61,600.00</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5ADC88C">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Times New Roman" w:eastAsia="宋体" w:cs="宋体"/>
                <w:color w:val="auto"/>
                <w:kern w:val="0"/>
                <w:sz w:val="24"/>
                <w:szCs w:val="24"/>
                <w:lang w:val="en-US" w:eastAsia="zh-CN"/>
              </w:rPr>
              <w:t>61,600.00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1BA560A9">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0.00</w:t>
            </w:r>
          </w:p>
        </w:tc>
      </w:tr>
      <w:tr w14:paraId="02C42A6E">
        <w:tblPrEx>
          <w:tblCellMar>
            <w:top w:w="15" w:type="dxa"/>
            <w:left w:w="15" w:type="dxa"/>
            <w:bottom w:w="15" w:type="dxa"/>
            <w:right w:w="15" w:type="dxa"/>
          </w:tblCellMar>
        </w:tblPrEx>
        <w:trPr>
          <w:trHeight w:val="592"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575BA79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水费</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218F10D7">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30,000.00</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D4EBAF8">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Times New Roman" w:eastAsia="宋体" w:cs="宋体"/>
                <w:color w:val="auto"/>
                <w:kern w:val="0"/>
                <w:sz w:val="24"/>
                <w:szCs w:val="24"/>
                <w:lang w:val="en-US" w:eastAsia="zh-CN"/>
              </w:rPr>
              <w:t>30,000.00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68EBD0A2">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0.00</w:t>
            </w:r>
          </w:p>
        </w:tc>
      </w:tr>
      <w:tr w14:paraId="5D11FB87">
        <w:tblPrEx>
          <w:tblCellMar>
            <w:top w:w="15" w:type="dxa"/>
            <w:left w:w="15" w:type="dxa"/>
            <w:bottom w:w="15" w:type="dxa"/>
            <w:right w:w="15" w:type="dxa"/>
          </w:tblCellMar>
        </w:tblPrEx>
        <w:trPr>
          <w:trHeight w:val="592"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53EE3029">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电费</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5B7CE4F5">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50,000.00</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11190D8">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rPr>
            </w:pPr>
            <w:r>
              <w:rPr>
                <w:rFonts w:hint="eastAsia" w:ascii="宋体" w:hAnsi="Times New Roman" w:eastAsia="宋体" w:cs="宋体"/>
                <w:color w:val="auto"/>
                <w:kern w:val="0"/>
                <w:sz w:val="24"/>
                <w:szCs w:val="24"/>
                <w:lang w:val="en-US" w:eastAsia="zh-CN"/>
              </w:rPr>
              <w:t>50,000.00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2B0F0E75">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0.00</w:t>
            </w:r>
          </w:p>
        </w:tc>
      </w:tr>
      <w:tr w14:paraId="184FA467">
        <w:tblPrEx>
          <w:tblCellMar>
            <w:top w:w="15" w:type="dxa"/>
            <w:left w:w="15" w:type="dxa"/>
            <w:bottom w:w="15" w:type="dxa"/>
            <w:right w:w="15" w:type="dxa"/>
          </w:tblCellMar>
        </w:tblPrEx>
        <w:trPr>
          <w:trHeight w:val="592"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567B1B08">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rPr>
              <w:t>差旅费</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1505D97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15,000.00</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7F6DDB6">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Times New Roman" w:eastAsia="宋体" w:cs="宋体"/>
                <w:color w:val="auto"/>
                <w:kern w:val="0"/>
                <w:sz w:val="24"/>
                <w:szCs w:val="24"/>
                <w:lang w:val="en-US" w:eastAsia="zh-CN"/>
              </w:rPr>
              <w:t>15,000.00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47EEF15A">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0.00</w:t>
            </w:r>
          </w:p>
        </w:tc>
      </w:tr>
      <w:tr w14:paraId="09078CDD">
        <w:tblPrEx>
          <w:tblCellMar>
            <w:top w:w="15" w:type="dxa"/>
            <w:left w:w="15" w:type="dxa"/>
            <w:bottom w:w="15" w:type="dxa"/>
            <w:right w:w="15" w:type="dxa"/>
          </w:tblCellMar>
        </w:tblPrEx>
        <w:trPr>
          <w:trHeight w:val="592"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6EE8C2B6">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0"/>
                <w:sz w:val="26"/>
                <w:szCs w:val="26"/>
                <w:lang w:val="en-US" w:eastAsia="zh-CN"/>
              </w:rPr>
            </w:pPr>
            <w:r>
              <w:rPr>
                <w:rFonts w:hint="eastAsia" w:ascii="宋体" w:hAnsi="宋体" w:eastAsia="宋体" w:cs="宋体"/>
                <w:color w:val="auto"/>
                <w:kern w:val="0"/>
                <w:sz w:val="26"/>
                <w:szCs w:val="26"/>
                <w:lang w:eastAsia="zh-CN"/>
              </w:rPr>
              <w:t>会议费</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19D5CE56">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10,000.00</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203B591">
            <w:pPr>
              <w:keepNext w:val="0"/>
              <w:keepLines w:val="0"/>
              <w:pageBreakBefore w:val="0"/>
              <w:widowControl/>
              <w:kinsoku/>
              <w:wordWrap/>
              <w:topLinePunct w:val="0"/>
              <w:bidi w:val="0"/>
              <w:adjustRightInd/>
              <w:snapToGrid/>
              <w:spacing w:line="560" w:lineRule="exact"/>
              <w:jc w:val="center"/>
              <w:textAlignment w:val="center"/>
              <w:rPr>
                <w:rFonts w:hint="default" w:ascii="宋体" w:eastAsia="宋体" w:cs="宋体"/>
                <w:kern w:val="0"/>
                <w:sz w:val="24"/>
                <w:szCs w:val="24"/>
                <w:lang w:val="en-US" w:eastAsia="zh-CN"/>
              </w:rPr>
            </w:pPr>
            <w:r>
              <w:rPr>
                <w:rFonts w:hint="eastAsia" w:ascii="宋体" w:hAnsi="Times New Roman" w:eastAsia="宋体" w:cs="宋体"/>
                <w:color w:val="auto"/>
                <w:kern w:val="0"/>
                <w:sz w:val="24"/>
                <w:szCs w:val="24"/>
                <w:lang w:val="en-US" w:eastAsia="zh-CN"/>
              </w:rPr>
              <w:t>10,000.00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1DAB60CC">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0.00</w:t>
            </w:r>
          </w:p>
        </w:tc>
      </w:tr>
      <w:tr w14:paraId="19024132">
        <w:tblPrEx>
          <w:tblCellMar>
            <w:top w:w="15" w:type="dxa"/>
            <w:left w:w="15" w:type="dxa"/>
            <w:bottom w:w="15" w:type="dxa"/>
            <w:right w:w="15" w:type="dxa"/>
          </w:tblCellMar>
        </w:tblPrEx>
        <w:trPr>
          <w:trHeight w:val="606" w:hRule="atLeast"/>
          <w:jc w:val="center"/>
        </w:trPr>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4984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auto"/>
                <w:kern w:val="0"/>
                <w:sz w:val="26"/>
                <w:szCs w:val="26"/>
                <w:lang w:val="en-US" w:eastAsia="zh-CN"/>
              </w:rPr>
              <w:t>培训费</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317137AB">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5,000.00</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63A96F6">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8"/>
                <w:szCs w:val="28"/>
                <w:lang w:val="en-US" w:eastAsia="zh-CN"/>
              </w:rPr>
            </w:pPr>
            <w:r>
              <w:rPr>
                <w:rFonts w:hint="eastAsia" w:ascii="宋体" w:hAnsi="Times New Roman" w:eastAsia="宋体" w:cs="宋体"/>
                <w:color w:val="auto"/>
                <w:kern w:val="0"/>
                <w:sz w:val="24"/>
                <w:szCs w:val="24"/>
                <w:lang w:val="en-US" w:eastAsia="zh-CN"/>
              </w:rPr>
              <w:t>5,000.00</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14:paraId="4049ACAC">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Times New Roman" w:eastAsia="宋体" w:cs="宋体"/>
                <w:color w:val="auto"/>
                <w:kern w:val="0"/>
                <w:sz w:val="24"/>
                <w:szCs w:val="24"/>
                <w:lang w:val="en-US" w:eastAsia="zh-CN"/>
              </w:rPr>
              <w:t>0.00</w:t>
            </w:r>
          </w:p>
        </w:tc>
      </w:tr>
    </w:tbl>
    <w:p w14:paraId="61BF3C2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highlight w:val="none"/>
          <w:lang w:val="en-US" w:eastAsia="zh-CN" w:bidi="ar-SA"/>
        </w:rPr>
        <w:t>“三公”经费控制率：我局2024年“三公”经费预算金额为130,000.00元，实际支出“</w:t>
      </w:r>
      <w:bookmarkStart w:id="5" w:name="_GoBack"/>
      <w:r>
        <w:rPr>
          <w:rFonts w:hint="eastAsia" w:ascii="仿宋_GB2312" w:hAnsi="仿宋_GB2312" w:eastAsia="仿宋_GB2312" w:cs="仿宋_GB2312"/>
          <w:color w:val="000000"/>
          <w:kern w:val="2"/>
          <w:sz w:val="32"/>
          <w:szCs w:val="32"/>
          <w:highlight w:val="none"/>
          <w:lang w:val="en-US" w:eastAsia="zh-CN" w:bidi="ar-SA"/>
        </w:rPr>
        <w:t>三公</w:t>
      </w:r>
      <w:bookmarkEnd w:id="5"/>
      <w:r>
        <w:rPr>
          <w:rFonts w:hint="eastAsia" w:ascii="仿宋_GB2312" w:hAnsi="仿宋_GB2312" w:eastAsia="仿宋_GB2312" w:cs="仿宋_GB2312"/>
          <w:color w:val="000000"/>
          <w:kern w:val="2"/>
          <w:sz w:val="32"/>
          <w:szCs w:val="32"/>
          <w:highlight w:val="none"/>
          <w:lang w:val="en-US" w:eastAsia="zh-CN" w:bidi="ar-SA"/>
        </w:rPr>
        <w:t>”经费59,881.00元，节余70,119.00元，“三公”经费控制率为46.06%。</w:t>
      </w:r>
    </w:p>
    <w:tbl>
      <w:tblPr>
        <w:tblStyle w:val="13"/>
        <w:tblpPr w:leftFromText="180" w:rightFromText="180" w:vertAnchor="text" w:horzAnchor="page" w:tblpX="1200" w:tblpY="306"/>
        <w:tblOverlap w:val="never"/>
        <w:tblW w:w="9490" w:type="dxa"/>
        <w:tblInd w:w="0" w:type="dxa"/>
        <w:tblLayout w:type="fixed"/>
        <w:tblCellMar>
          <w:top w:w="15" w:type="dxa"/>
          <w:left w:w="15" w:type="dxa"/>
          <w:bottom w:w="15" w:type="dxa"/>
          <w:right w:w="15" w:type="dxa"/>
        </w:tblCellMar>
      </w:tblPr>
      <w:tblGrid>
        <w:gridCol w:w="2500"/>
        <w:gridCol w:w="2327"/>
        <w:gridCol w:w="2539"/>
        <w:gridCol w:w="2124"/>
      </w:tblGrid>
      <w:tr w14:paraId="51998CCC">
        <w:tblPrEx>
          <w:tblCellMar>
            <w:top w:w="15" w:type="dxa"/>
            <w:left w:w="15" w:type="dxa"/>
            <w:bottom w:w="15" w:type="dxa"/>
            <w:right w:w="15" w:type="dxa"/>
          </w:tblCellMar>
        </w:tblPrEx>
        <w:trPr>
          <w:trHeight w:val="494" w:hRule="atLeast"/>
        </w:trPr>
        <w:tc>
          <w:tcPr>
            <w:tcW w:w="2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9249D2">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6990" w:type="dxa"/>
            <w:gridSpan w:val="3"/>
            <w:tcBorders>
              <w:top w:val="single" w:color="000000" w:sz="4" w:space="0"/>
              <w:left w:val="single" w:color="000000" w:sz="4" w:space="0"/>
              <w:bottom w:val="single" w:color="000000" w:sz="4" w:space="0"/>
              <w:right w:val="single" w:color="000000" w:sz="4" w:space="0"/>
            </w:tcBorders>
            <w:noWrap w:val="0"/>
            <w:vAlign w:val="center"/>
          </w:tcPr>
          <w:p w14:paraId="1ABA2C38">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本年数</w:t>
            </w:r>
          </w:p>
        </w:tc>
      </w:tr>
      <w:tr w14:paraId="4E684ABF">
        <w:tblPrEx>
          <w:tblCellMar>
            <w:top w:w="15" w:type="dxa"/>
            <w:left w:w="15" w:type="dxa"/>
            <w:bottom w:w="15" w:type="dxa"/>
            <w:right w:w="15" w:type="dxa"/>
          </w:tblCellMar>
        </w:tblPrEx>
        <w:trPr>
          <w:trHeight w:val="449" w:hRule="atLeast"/>
        </w:trPr>
        <w:tc>
          <w:tcPr>
            <w:tcW w:w="2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0C012">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5CF1B248">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预算</w:t>
            </w:r>
          </w:p>
        </w:tc>
        <w:tc>
          <w:tcPr>
            <w:tcW w:w="2539" w:type="dxa"/>
            <w:tcBorders>
              <w:top w:val="single" w:color="000000" w:sz="4" w:space="0"/>
              <w:left w:val="single" w:color="000000" w:sz="4" w:space="0"/>
              <w:bottom w:val="single" w:color="000000" w:sz="4" w:space="0"/>
              <w:right w:val="single" w:color="000000" w:sz="4" w:space="0"/>
            </w:tcBorders>
            <w:noWrap w:val="0"/>
            <w:vAlign w:val="center"/>
          </w:tcPr>
          <w:p w14:paraId="52AAD7C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决算</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96E1952">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差额</w:t>
            </w:r>
          </w:p>
        </w:tc>
      </w:tr>
      <w:tr w14:paraId="4ED56ABC">
        <w:tblPrEx>
          <w:tblCellMar>
            <w:top w:w="15" w:type="dxa"/>
            <w:left w:w="15" w:type="dxa"/>
            <w:bottom w:w="15" w:type="dxa"/>
            <w:right w:w="15" w:type="dxa"/>
          </w:tblCellMar>
        </w:tblPrEx>
        <w:trPr>
          <w:trHeight w:val="90" w:hRule="atLeast"/>
        </w:trPr>
        <w:tc>
          <w:tcPr>
            <w:tcW w:w="2500" w:type="dxa"/>
            <w:tcBorders>
              <w:top w:val="single" w:color="000000" w:sz="4" w:space="0"/>
              <w:left w:val="single" w:color="000000" w:sz="4" w:space="0"/>
              <w:bottom w:val="single" w:color="000000" w:sz="4" w:space="0"/>
              <w:right w:val="single" w:color="000000" w:sz="4" w:space="0"/>
            </w:tcBorders>
            <w:noWrap w:val="0"/>
            <w:vAlign w:val="center"/>
          </w:tcPr>
          <w:p w14:paraId="092B2297">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公务接待费</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2CF5AC91">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70,000.00</w:t>
            </w:r>
          </w:p>
        </w:tc>
        <w:tc>
          <w:tcPr>
            <w:tcW w:w="2539" w:type="dxa"/>
            <w:tcBorders>
              <w:top w:val="single" w:color="000000" w:sz="4" w:space="0"/>
              <w:left w:val="single" w:color="000000" w:sz="4" w:space="0"/>
              <w:bottom w:val="single" w:color="000000" w:sz="4" w:space="0"/>
              <w:right w:val="single" w:color="000000" w:sz="4" w:space="0"/>
            </w:tcBorders>
            <w:noWrap w:val="0"/>
            <w:vAlign w:val="center"/>
          </w:tcPr>
          <w:p w14:paraId="09A4FA0C">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59,881.00</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4F1D174">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cs="宋体"/>
                <w:i w:val="0"/>
                <w:color w:val="000000"/>
                <w:kern w:val="0"/>
                <w:sz w:val="24"/>
                <w:szCs w:val="24"/>
                <w:u w:val="none"/>
                <w:lang w:val="en-US" w:eastAsia="zh-CN" w:bidi="ar"/>
              </w:rPr>
              <w:t>10,119.00</w:t>
            </w:r>
          </w:p>
        </w:tc>
      </w:tr>
      <w:tr w14:paraId="286C31B5">
        <w:tblPrEx>
          <w:tblCellMar>
            <w:top w:w="15" w:type="dxa"/>
            <w:left w:w="15" w:type="dxa"/>
            <w:bottom w:w="15" w:type="dxa"/>
            <w:right w:w="15" w:type="dxa"/>
          </w:tblCellMar>
        </w:tblPrEx>
        <w:trPr>
          <w:trHeight w:val="90" w:hRule="atLeast"/>
        </w:trPr>
        <w:tc>
          <w:tcPr>
            <w:tcW w:w="2500" w:type="dxa"/>
            <w:tcBorders>
              <w:top w:val="single" w:color="000000" w:sz="4" w:space="0"/>
              <w:left w:val="single" w:color="000000" w:sz="4" w:space="0"/>
              <w:bottom w:val="single" w:color="000000" w:sz="4" w:space="0"/>
              <w:right w:val="single" w:color="000000" w:sz="4" w:space="0"/>
            </w:tcBorders>
            <w:noWrap w:val="0"/>
            <w:vAlign w:val="center"/>
          </w:tcPr>
          <w:p w14:paraId="1151E757">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公务用车运行维护费</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5C26B858">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60,000.00</w:t>
            </w:r>
          </w:p>
        </w:tc>
        <w:tc>
          <w:tcPr>
            <w:tcW w:w="2539" w:type="dxa"/>
            <w:tcBorders>
              <w:top w:val="single" w:color="000000" w:sz="4" w:space="0"/>
              <w:left w:val="single" w:color="000000" w:sz="4" w:space="0"/>
              <w:bottom w:val="single" w:color="000000" w:sz="4" w:space="0"/>
              <w:right w:val="single" w:color="000000" w:sz="4" w:space="0"/>
            </w:tcBorders>
            <w:noWrap w:val="0"/>
            <w:vAlign w:val="center"/>
          </w:tcPr>
          <w:p w14:paraId="3C33C8F0">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0.00</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4D6EBF6">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60,000.00</w:t>
            </w:r>
          </w:p>
        </w:tc>
      </w:tr>
      <w:tr w14:paraId="37219DAD">
        <w:tblPrEx>
          <w:tblCellMar>
            <w:top w:w="15" w:type="dxa"/>
            <w:left w:w="15" w:type="dxa"/>
            <w:bottom w:w="15" w:type="dxa"/>
            <w:right w:w="15" w:type="dxa"/>
          </w:tblCellMar>
        </w:tblPrEx>
        <w:trPr>
          <w:trHeight w:val="90" w:hRule="atLeast"/>
        </w:trPr>
        <w:tc>
          <w:tcPr>
            <w:tcW w:w="2500" w:type="dxa"/>
            <w:tcBorders>
              <w:top w:val="single" w:color="000000" w:sz="4" w:space="0"/>
              <w:left w:val="single" w:color="000000" w:sz="4" w:space="0"/>
              <w:bottom w:val="single" w:color="000000" w:sz="4" w:space="0"/>
              <w:right w:val="single" w:color="000000" w:sz="4" w:space="0"/>
            </w:tcBorders>
            <w:noWrap w:val="0"/>
            <w:vAlign w:val="center"/>
          </w:tcPr>
          <w:p w14:paraId="535F95F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公务用车购置</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4AFD06F7">
            <w:pPr>
              <w:jc w:val="center"/>
              <w:rPr>
                <w:rFonts w:hint="eastAsia" w:ascii="宋体" w:hAnsi="宋体" w:eastAsia="宋体" w:cs="宋体"/>
                <w:color w:val="000000"/>
                <w:sz w:val="26"/>
                <w:szCs w:val="26"/>
                <w:lang w:val="en-US" w:eastAsia="zh-CN"/>
              </w:rPr>
            </w:pPr>
            <w:r>
              <w:rPr>
                <w:rFonts w:hint="eastAsia" w:ascii="仿宋" w:hAnsi="仿宋" w:eastAsia="仿宋" w:cs="仿宋"/>
                <w:color w:val="000000"/>
                <w:sz w:val="24"/>
                <w:szCs w:val="24"/>
                <w:lang w:val="en-US" w:eastAsia="zh-CN"/>
              </w:rPr>
              <w:t>0.00</w:t>
            </w:r>
          </w:p>
        </w:tc>
        <w:tc>
          <w:tcPr>
            <w:tcW w:w="2539" w:type="dxa"/>
            <w:tcBorders>
              <w:top w:val="single" w:color="000000" w:sz="4" w:space="0"/>
              <w:left w:val="single" w:color="000000" w:sz="4" w:space="0"/>
              <w:bottom w:val="single" w:color="000000" w:sz="4" w:space="0"/>
              <w:right w:val="single" w:color="000000" w:sz="4" w:space="0"/>
            </w:tcBorders>
            <w:noWrap w:val="0"/>
            <w:vAlign w:val="center"/>
          </w:tcPr>
          <w:p w14:paraId="4486316C">
            <w:pPr>
              <w:jc w:val="center"/>
              <w:rPr>
                <w:rFonts w:hint="eastAsia" w:ascii="宋体" w:hAnsi="宋体" w:eastAsia="宋体" w:cs="宋体"/>
                <w:color w:val="000000"/>
                <w:sz w:val="26"/>
                <w:szCs w:val="26"/>
                <w:lang w:val="en-US" w:eastAsia="zh-CN"/>
              </w:rPr>
            </w:pPr>
            <w:r>
              <w:rPr>
                <w:rFonts w:hint="eastAsia" w:ascii="仿宋" w:hAnsi="仿宋" w:eastAsia="仿宋" w:cs="仿宋"/>
                <w:color w:val="000000"/>
                <w:sz w:val="24"/>
                <w:szCs w:val="24"/>
                <w:lang w:val="en-US" w:eastAsia="zh-CN"/>
              </w:rPr>
              <w:t>0.00</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FEA8A9C">
            <w:pPr>
              <w:keepNext w:val="0"/>
              <w:keepLines w:val="0"/>
              <w:widowControl/>
              <w:suppressLineNumbers w:val="0"/>
              <w:jc w:val="center"/>
              <w:textAlignment w:val="center"/>
              <w:rPr>
                <w:rFonts w:hint="eastAsia" w:ascii="宋体" w:hAnsi="宋体" w:eastAsia="宋体" w:cs="宋体"/>
                <w:color w:val="000000"/>
                <w:sz w:val="26"/>
                <w:szCs w:val="26"/>
                <w:lang w:val="en-US" w:eastAsia="zh-CN"/>
              </w:rPr>
            </w:pPr>
            <w:r>
              <w:rPr>
                <w:rFonts w:hint="eastAsia" w:ascii="仿宋" w:hAnsi="仿宋" w:eastAsia="仿宋" w:cs="仿宋"/>
                <w:color w:val="000000"/>
                <w:sz w:val="24"/>
                <w:szCs w:val="24"/>
                <w:lang w:val="en-US" w:eastAsia="zh-CN"/>
              </w:rPr>
              <w:t>0.00</w:t>
            </w:r>
          </w:p>
        </w:tc>
      </w:tr>
      <w:tr w14:paraId="360CB3C8">
        <w:tblPrEx>
          <w:tblCellMar>
            <w:top w:w="15" w:type="dxa"/>
            <w:left w:w="15" w:type="dxa"/>
            <w:bottom w:w="15" w:type="dxa"/>
            <w:right w:w="15" w:type="dxa"/>
          </w:tblCellMar>
        </w:tblPrEx>
        <w:trPr>
          <w:trHeight w:val="90" w:hRule="atLeast"/>
        </w:trPr>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DD8168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因公出国（境）费用</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485171F1">
            <w:pPr>
              <w:jc w:val="center"/>
              <w:rPr>
                <w:rFonts w:hint="eastAsia" w:ascii="宋体" w:hAnsi="宋体" w:eastAsia="宋体" w:cs="宋体"/>
                <w:color w:val="000000"/>
                <w:sz w:val="26"/>
                <w:szCs w:val="26"/>
                <w:lang w:val="en-US" w:eastAsia="zh-CN"/>
              </w:rPr>
            </w:pPr>
            <w:r>
              <w:rPr>
                <w:rFonts w:hint="eastAsia" w:ascii="仿宋" w:hAnsi="仿宋" w:eastAsia="仿宋" w:cs="仿宋"/>
                <w:color w:val="000000"/>
                <w:sz w:val="24"/>
                <w:szCs w:val="24"/>
                <w:lang w:val="en-US" w:eastAsia="zh-CN"/>
              </w:rPr>
              <w:t>0.00</w:t>
            </w:r>
          </w:p>
        </w:tc>
        <w:tc>
          <w:tcPr>
            <w:tcW w:w="2539" w:type="dxa"/>
            <w:tcBorders>
              <w:top w:val="single" w:color="000000" w:sz="4" w:space="0"/>
              <w:left w:val="single" w:color="000000" w:sz="4" w:space="0"/>
              <w:bottom w:val="single" w:color="000000" w:sz="4" w:space="0"/>
              <w:right w:val="single" w:color="000000" w:sz="4" w:space="0"/>
            </w:tcBorders>
            <w:noWrap w:val="0"/>
            <w:vAlign w:val="center"/>
          </w:tcPr>
          <w:p w14:paraId="64D208E0">
            <w:pPr>
              <w:jc w:val="center"/>
              <w:rPr>
                <w:rFonts w:hint="eastAsia" w:ascii="宋体" w:hAnsi="宋体" w:eastAsia="宋体" w:cs="宋体"/>
                <w:color w:val="000000"/>
                <w:sz w:val="26"/>
                <w:szCs w:val="26"/>
                <w:lang w:val="en-US" w:eastAsia="zh-CN"/>
              </w:rPr>
            </w:pPr>
            <w:r>
              <w:rPr>
                <w:rFonts w:hint="eastAsia" w:ascii="仿宋" w:hAnsi="仿宋" w:eastAsia="仿宋" w:cs="仿宋"/>
                <w:color w:val="000000"/>
                <w:sz w:val="24"/>
                <w:szCs w:val="24"/>
                <w:lang w:val="en-US" w:eastAsia="zh-CN"/>
              </w:rPr>
              <w:t>0.00</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450DEF2">
            <w:pPr>
              <w:keepNext w:val="0"/>
              <w:keepLines w:val="0"/>
              <w:widowControl/>
              <w:suppressLineNumbers w:val="0"/>
              <w:jc w:val="center"/>
              <w:textAlignment w:val="center"/>
              <w:rPr>
                <w:rFonts w:hint="eastAsia" w:ascii="宋体" w:hAnsi="宋体" w:eastAsia="宋体" w:cs="宋体"/>
                <w:color w:val="000000"/>
                <w:sz w:val="26"/>
                <w:szCs w:val="26"/>
                <w:lang w:val="en-US" w:eastAsia="zh-CN"/>
              </w:rPr>
            </w:pPr>
            <w:r>
              <w:rPr>
                <w:rFonts w:hint="eastAsia" w:ascii="仿宋" w:hAnsi="仿宋" w:eastAsia="仿宋" w:cs="仿宋"/>
                <w:color w:val="000000"/>
                <w:sz w:val="24"/>
                <w:szCs w:val="24"/>
                <w:lang w:val="en-US" w:eastAsia="zh-CN"/>
              </w:rPr>
              <w:t>0.00</w:t>
            </w:r>
          </w:p>
        </w:tc>
      </w:tr>
      <w:tr w14:paraId="0F369790">
        <w:tblPrEx>
          <w:tblCellMar>
            <w:top w:w="15" w:type="dxa"/>
            <w:left w:w="15" w:type="dxa"/>
            <w:bottom w:w="15" w:type="dxa"/>
            <w:right w:w="15" w:type="dxa"/>
          </w:tblCellMar>
        </w:tblPrEx>
        <w:trPr>
          <w:trHeight w:val="90" w:hRule="atLeast"/>
        </w:trPr>
        <w:tc>
          <w:tcPr>
            <w:tcW w:w="2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74984">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26555498">
            <w:pPr>
              <w:keepNext w:val="0"/>
              <w:keepLines w:val="0"/>
              <w:widowControl/>
              <w:suppressLineNumbers w:val="0"/>
              <w:jc w:val="center"/>
              <w:textAlignment w:val="center"/>
              <w:rPr>
                <w:rFonts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130,000.00</w:t>
            </w:r>
          </w:p>
        </w:tc>
        <w:tc>
          <w:tcPr>
            <w:tcW w:w="2539" w:type="dxa"/>
            <w:tcBorders>
              <w:top w:val="single" w:color="000000" w:sz="4" w:space="0"/>
              <w:left w:val="single" w:color="000000" w:sz="4" w:space="0"/>
              <w:bottom w:val="single" w:color="000000" w:sz="4" w:space="0"/>
              <w:right w:val="single" w:color="000000" w:sz="4" w:space="0"/>
            </w:tcBorders>
            <w:noWrap w:val="0"/>
            <w:vAlign w:val="center"/>
          </w:tcPr>
          <w:p w14:paraId="1F23D4D8">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color w:val="000000"/>
                <w:kern w:val="0"/>
                <w:sz w:val="24"/>
                <w:szCs w:val="24"/>
                <w:u w:val="none"/>
                <w:lang w:val="en-US" w:eastAsia="zh-CN" w:bidi="ar"/>
              </w:rPr>
              <w:t>59,881.00</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32D1E4E">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color w:val="000000"/>
                <w:kern w:val="0"/>
                <w:sz w:val="24"/>
                <w:szCs w:val="24"/>
                <w:u w:val="none"/>
                <w:lang w:val="en-US" w:eastAsia="zh-CN" w:bidi="ar"/>
              </w:rPr>
              <w:t>70,119.00</w:t>
            </w:r>
          </w:p>
        </w:tc>
      </w:tr>
    </w:tbl>
    <w:p w14:paraId="17567DEC">
      <w:pPr>
        <w:pStyle w:val="12"/>
        <w:keepNext w:val="0"/>
        <w:keepLines w:val="0"/>
        <w:pageBreakBefore w:val="0"/>
        <w:widowControl w:val="0"/>
        <w:kinsoku/>
        <w:wordWrap/>
        <w:overflowPunct/>
        <w:topLinePunct/>
        <w:autoSpaceDE/>
        <w:autoSpaceDN/>
        <w:bidi w:val="0"/>
        <w:adjustRightInd/>
        <w:snapToGrid/>
        <w:spacing w:before="0" w:beforeAutospacing="0" w:after="0" w:afterAutospacing="0" w:line="592" w:lineRule="exact"/>
        <w:ind w:firstLine="640"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管理制度健全性。为规范机关财务管理，建立健全财务管理制度，我局按三转要求，明确纪检组组长专职纪检监察工作，设立了纪检监察室，健全并严格执行公务接待、经费管理、考勤、食堂、车辆使用、出差、办案程序等12个机关管理制度，落实了“三重一大”、三不一末位制度。坚持经费预算科学化、精细化，执行控制规范化、责任化，监督检查常态化、同步化。</w:t>
      </w:r>
    </w:p>
    <w:p w14:paraId="5AC588DE">
      <w:pPr>
        <w:pStyle w:val="12"/>
        <w:keepNext w:val="0"/>
        <w:keepLines w:val="0"/>
        <w:pageBreakBefore w:val="0"/>
        <w:widowControl w:val="0"/>
        <w:kinsoku/>
        <w:wordWrap/>
        <w:overflowPunct/>
        <w:topLinePunct/>
        <w:autoSpaceDE/>
        <w:autoSpaceDN/>
        <w:bidi w:val="0"/>
        <w:adjustRightInd/>
        <w:snapToGrid/>
        <w:spacing w:before="0" w:beforeAutospacing="0" w:after="0" w:afterAutospacing="0" w:line="592" w:lineRule="exact"/>
        <w:ind w:left="0" w:leftChars="0" w:firstLine="640"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资金使用合规性。资金的支付符合国家财经法规和财务管理制度规定，以及有关专项资金管理办法的规定；资金拨付有完整的审批程序和手续；经费支出符合部门预算批复的用途；资金使用除部分支出预算不足有调剂使用外，无截留、挪用、虚列支出等情况。</w:t>
      </w:r>
    </w:p>
    <w:p w14:paraId="3EA278D5">
      <w:pPr>
        <w:pStyle w:val="12"/>
        <w:keepNext w:val="0"/>
        <w:keepLines w:val="0"/>
        <w:pageBreakBefore w:val="0"/>
        <w:widowControl w:val="0"/>
        <w:kinsoku/>
        <w:wordWrap/>
        <w:overflowPunct/>
        <w:topLinePunct/>
        <w:autoSpaceDE/>
        <w:autoSpaceDN/>
        <w:bidi w:val="0"/>
        <w:adjustRightInd/>
        <w:snapToGrid/>
        <w:spacing w:before="0" w:beforeAutospacing="0" w:after="0" w:afterAutospacing="0" w:line="592"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highlight w:val="none"/>
          <w:lang w:val="en-US" w:eastAsia="zh-CN" w:bidi="ar-SA"/>
        </w:rPr>
        <w:t>（5）预决算信息公开性。部门预决算信息按规定内容，在规定的时限内予以公开。基础数据信息和会计信息资料真实、完整、准确。</w:t>
      </w:r>
    </w:p>
    <w:p w14:paraId="062BC11F">
      <w:pPr>
        <w:overflowPunct w:val="0"/>
        <w:autoSpaceDE w:val="0"/>
        <w:autoSpaceDN w:val="0"/>
        <w:spacing w:line="592" w:lineRule="exact"/>
        <w:ind w:firstLine="640" w:firstLineChars="20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二、绩效评价工作情况</w:t>
      </w:r>
    </w:p>
    <w:p w14:paraId="66AC29DA">
      <w:pPr>
        <w:overflowPunct w:val="0"/>
        <w:autoSpaceDE w:val="0"/>
        <w:autoSpaceDN w:val="0"/>
        <w:spacing w:line="592"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（一）绩效评价目的。</w:t>
      </w:r>
    </w:p>
    <w:p w14:paraId="082988BA">
      <w:pPr>
        <w:overflowPunct w:val="0"/>
        <w:autoSpaceDE w:val="0"/>
        <w:autoSpaceDN w:val="0"/>
        <w:spacing w:line="592" w:lineRule="exact"/>
        <w:ind w:firstLine="640" w:firstLineChars="200"/>
        <w:rPr>
          <w:rFonts w:hint="eastAsia" w:eastAsia="仿宋_GB2312" w:cs="仿宋_GB2312"/>
          <w:color w:val="000000"/>
          <w:sz w:val="32"/>
          <w:szCs w:val="32"/>
        </w:rPr>
      </w:pPr>
      <w:r>
        <w:rPr>
          <w:rFonts w:hint="eastAsia" w:eastAsia="仿宋_GB2312" w:cs="仿宋_GB2312"/>
          <w:color w:val="000000"/>
          <w:sz w:val="32"/>
          <w:szCs w:val="32"/>
          <w:highlight w:val="none"/>
        </w:rPr>
        <w:t>本次绩效评价的</w:t>
      </w:r>
      <w:r>
        <w:rPr>
          <w:rFonts w:hint="eastAsia" w:eastAsia="仿宋_GB2312" w:cs="仿宋_GB2312"/>
          <w:color w:val="000000"/>
          <w:sz w:val="32"/>
          <w:szCs w:val="32"/>
          <w:highlight w:val="none"/>
          <w:lang w:eastAsia="zh-CN"/>
        </w:rPr>
        <w:t>目的是</w:t>
      </w:r>
      <w:r>
        <w:rPr>
          <w:rFonts w:hint="eastAsia" w:eastAsia="仿宋_GB2312" w:cs="仿宋_GB2312"/>
          <w:color w:val="000000"/>
          <w:sz w:val="32"/>
          <w:szCs w:val="32"/>
          <w:highlight w:val="none"/>
        </w:rPr>
        <w:t>全面分析和综合评价我局财政预算资金的使用管理情况，为切实提高财政资金使用效益，强化预算支出的责任和效率提供参考依据。</w:t>
      </w:r>
    </w:p>
    <w:p w14:paraId="63F081B9">
      <w:pPr>
        <w:overflowPunct w:val="0"/>
        <w:autoSpaceDE w:val="0"/>
        <w:autoSpaceDN w:val="0"/>
        <w:spacing w:line="592"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rPr>
        <w:t>绩效评价工作过程，主要包括前期准备、组织实施和分析评价等内容。</w:t>
      </w:r>
    </w:p>
    <w:p w14:paraId="54CE7341">
      <w:pPr>
        <w:keepNext w:val="0"/>
        <w:keepLines w:val="0"/>
        <w:pageBreakBefore w:val="0"/>
        <w:widowControl w:val="0"/>
        <w:kinsoku/>
        <w:wordWrap/>
        <w:overflowPunct/>
        <w:topLinePunct/>
        <w:autoSpaceDE/>
        <w:autoSpaceDN/>
        <w:bidi w:val="0"/>
        <w:spacing w:line="592" w:lineRule="exact"/>
        <w:ind w:left="0" w:leftChars="0" w:firstLine="640" w:firstLineChars="200"/>
        <w:textAlignment w:val="center"/>
        <w:rPr>
          <w:rFonts w:hint="eastAsia"/>
        </w:rPr>
      </w:pPr>
      <w:r>
        <w:rPr>
          <w:rFonts w:hint="eastAsia" w:eastAsia="仿宋_GB2312" w:cs="仿宋_GB2312"/>
          <w:color w:val="000000"/>
          <w:sz w:val="32"/>
          <w:szCs w:val="32"/>
          <w:highlight w:val="none"/>
        </w:rPr>
        <w:t>我局按照区财政局绩效评价规程要求，第一阶段为前期准备：由局</w:t>
      </w:r>
      <w:r>
        <w:rPr>
          <w:rFonts w:hint="eastAsia" w:eastAsia="仿宋_GB2312" w:cs="仿宋_GB2312"/>
          <w:color w:val="000000"/>
          <w:sz w:val="32"/>
          <w:szCs w:val="32"/>
          <w:highlight w:val="none"/>
          <w:lang w:eastAsia="zh-CN"/>
        </w:rPr>
        <w:t>党委</w:t>
      </w:r>
      <w:r>
        <w:rPr>
          <w:rFonts w:hint="eastAsia" w:eastAsia="仿宋_GB2312" w:cs="仿宋_GB2312"/>
          <w:color w:val="000000"/>
          <w:sz w:val="32"/>
          <w:szCs w:val="32"/>
          <w:highlight w:val="none"/>
        </w:rPr>
        <w:t>牵头，组织有关</w:t>
      </w:r>
      <w:r>
        <w:rPr>
          <w:rFonts w:hint="eastAsia" w:eastAsia="仿宋_GB2312" w:cs="仿宋_GB2312"/>
          <w:color w:val="000000"/>
          <w:sz w:val="32"/>
          <w:szCs w:val="32"/>
          <w:highlight w:val="none"/>
          <w:lang w:eastAsia="zh-CN"/>
        </w:rPr>
        <w:t>股室</w:t>
      </w:r>
      <w:r>
        <w:rPr>
          <w:rFonts w:hint="eastAsia" w:eastAsia="仿宋_GB2312" w:cs="仿宋_GB2312"/>
          <w:color w:val="000000"/>
          <w:sz w:val="32"/>
          <w:szCs w:val="32"/>
          <w:highlight w:val="none"/>
        </w:rPr>
        <w:t>制定了详细的工作方案，明确</w:t>
      </w:r>
      <w:r>
        <w:rPr>
          <w:rFonts w:hint="eastAsia" w:eastAsia="仿宋_GB2312" w:cs="仿宋_GB2312"/>
          <w:color w:val="000000"/>
          <w:sz w:val="32"/>
          <w:szCs w:val="32"/>
          <w:highlight w:val="none"/>
          <w:lang w:eastAsia="zh-CN"/>
        </w:rPr>
        <w:t>股室</w:t>
      </w:r>
      <w:r>
        <w:rPr>
          <w:rFonts w:hint="eastAsia" w:eastAsia="仿宋_GB2312" w:cs="仿宋_GB2312"/>
          <w:color w:val="000000"/>
          <w:sz w:val="32"/>
          <w:szCs w:val="32"/>
          <w:highlight w:val="none"/>
        </w:rPr>
        <w:t>责任，确定评价指标细则；第二阶段为</w:t>
      </w:r>
      <w:r>
        <w:rPr>
          <w:rFonts w:hint="eastAsia" w:eastAsia="仿宋_GB2312" w:cs="仿宋_GB2312"/>
          <w:color w:val="000000"/>
          <w:sz w:val="32"/>
          <w:szCs w:val="32"/>
          <w:highlight w:val="none"/>
          <w:lang w:eastAsia="zh-CN"/>
        </w:rPr>
        <w:t>股室</w:t>
      </w:r>
      <w:r>
        <w:rPr>
          <w:rFonts w:hint="eastAsia" w:eastAsia="仿宋_GB2312" w:cs="仿宋_GB2312"/>
          <w:color w:val="000000"/>
          <w:sz w:val="32"/>
          <w:szCs w:val="32"/>
          <w:highlight w:val="none"/>
        </w:rPr>
        <w:t>自评：根据上一阶段任务布置，各</w:t>
      </w:r>
      <w:r>
        <w:rPr>
          <w:rFonts w:hint="eastAsia" w:eastAsia="仿宋_GB2312" w:cs="仿宋_GB2312"/>
          <w:color w:val="000000"/>
          <w:sz w:val="32"/>
          <w:szCs w:val="32"/>
          <w:highlight w:val="none"/>
          <w:lang w:eastAsia="zh-CN"/>
        </w:rPr>
        <w:t>股室</w:t>
      </w:r>
      <w:r>
        <w:rPr>
          <w:rFonts w:hint="eastAsia" w:eastAsia="仿宋_GB2312" w:cs="仿宋_GB2312"/>
          <w:color w:val="000000"/>
          <w:sz w:val="32"/>
          <w:szCs w:val="32"/>
          <w:highlight w:val="none"/>
        </w:rPr>
        <w:t>按照要求展开自评工作，并将评价结果报局</w:t>
      </w:r>
      <w:r>
        <w:rPr>
          <w:rFonts w:hint="eastAsia" w:eastAsia="仿宋_GB2312" w:cs="仿宋_GB2312"/>
          <w:color w:val="000000"/>
          <w:sz w:val="32"/>
          <w:szCs w:val="32"/>
          <w:highlight w:val="none"/>
          <w:lang w:eastAsia="zh-CN"/>
        </w:rPr>
        <w:t>党委</w:t>
      </w:r>
      <w:r>
        <w:rPr>
          <w:rFonts w:hint="eastAsia" w:eastAsia="仿宋_GB2312" w:cs="仿宋_GB2312"/>
          <w:color w:val="000000"/>
          <w:sz w:val="32"/>
          <w:szCs w:val="32"/>
          <w:highlight w:val="none"/>
        </w:rPr>
        <w:t>；第三阶段为定性终评，并出具评价报告：局</w:t>
      </w:r>
      <w:r>
        <w:rPr>
          <w:rFonts w:hint="eastAsia" w:eastAsia="仿宋_GB2312" w:cs="仿宋_GB2312"/>
          <w:color w:val="000000"/>
          <w:sz w:val="32"/>
          <w:szCs w:val="32"/>
          <w:highlight w:val="none"/>
          <w:lang w:eastAsia="zh-CN"/>
        </w:rPr>
        <w:t>党委</w:t>
      </w:r>
      <w:r>
        <w:rPr>
          <w:rFonts w:hint="eastAsia" w:eastAsia="仿宋_GB2312" w:cs="仿宋_GB2312"/>
          <w:color w:val="000000"/>
          <w:sz w:val="32"/>
          <w:szCs w:val="32"/>
          <w:highlight w:val="none"/>
        </w:rPr>
        <w:t>在各</w:t>
      </w:r>
      <w:r>
        <w:rPr>
          <w:rFonts w:hint="eastAsia" w:eastAsia="仿宋_GB2312" w:cs="仿宋_GB2312"/>
          <w:color w:val="000000"/>
          <w:sz w:val="32"/>
          <w:szCs w:val="32"/>
          <w:highlight w:val="none"/>
          <w:lang w:eastAsia="zh-CN"/>
        </w:rPr>
        <w:t>股室</w:t>
      </w:r>
      <w:r>
        <w:rPr>
          <w:rFonts w:hint="eastAsia" w:eastAsia="仿宋_GB2312" w:cs="仿宋_GB2312"/>
          <w:color w:val="000000"/>
          <w:sz w:val="32"/>
          <w:szCs w:val="32"/>
          <w:highlight w:val="none"/>
        </w:rPr>
        <w:t>自评的基础上，查阅相关文件资料和财务凭证，对收集资料进行定量定性分析，综合评议后形成评价结论，出具绩效评价报告。</w:t>
      </w:r>
    </w:p>
    <w:p w14:paraId="6A449C58">
      <w:pPr>
        <w:overflowPunct w:val="0"/>
        <w:autoSpaceDE w:val="0"/>
        <w:autoSpaceDN w:val="0"/>
        <w:spacing w:line="592" w:lineRule="exact"/>
        <w:ind w:firstLine="640" w:firstLineChars="20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三、主要绩效及评价结论</w:t>
      </w:r>
    </w:p>
    <w:p w14:paraId="4DAE4E09">
      <w:pPr>
        <w:overflowPunct w:val="0"/>
        <w:autoSpaceDE w:val="0"/>
        <w:autoSpaceDN w:val="0"/>
        <w:spacing w:line="592" w:lineRule="exact"/>
        <w:ind w:firstLine="640" w:firstLineChars="200"/>
        <w:rPr>
          <w:rFonts w:hint="eastAsia" w:eastAsia="仿宋_GB2312" w:cs="仿宋_GB2312"/>
          <w:color w:val="000000"/>
          <w:sz w:val="32"/>
          <w:szCs w:val="32"/>
        </w:rPr>
      </w:pPr>
      <w:r>
        <w:rPr>
          <w:rFonts w:hint="eastAsia" w:eastAsia="仿宋_GB2312" w:cs="仿宋_GB2312"/>
          <w:color w:val="000000"/>
          <w:sz w:val="32"/>
          <w:szCs w:val="32"/>
        </w:rPr>
        <w:t>1. 经济性分析，主要包括成本（预算）控制情况和成本（预算）节约情况。</w:t>
      </w:r>
    </w:p>
    <w:p w14:paraId="0F8E012B">
      <w:pPr>
        <w:keepNext w:val="0"/>
        <w:keepLines w:val="0"/>
        <w:pageBreakBefore w:val="0"/>
        <w:widowControl w:val="0"/>
        <w:kinsoku/>
        <w:wordWrap/>
        <w:overflowPunct/>
        <w:topLinePunct/>
        <w:autoSpaceDE/>
        <w:autoSpaceDN/>
        <w:bidi w:val="0"/>
        <w:adjustRightInd w:val="0"/>
        <w:snapToGrid w:val="0"/>
        <w:spacing w:line="592" w:lineRule="exact"/>
        <w:ind w:firstLine="640" w:firstLineChars="200"/>
        <w:textAlignment w:val="center"/>
        <w:rPr>
          <w:rFonts w:hint="eastAsia"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年我局各项工作均</w:t>
      </w:r>
      <w:r>
        <w:rPr>
          <w:rFonts w:hint="eastAsia" w:ascii="Times New Roman" w:hAnsi="Times New Roman"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lang w:val="en-US" w:eastAsia="zh-CN"/>
        </w:rPr>
        <w:t>较好完成，并且多项工作排名靠前，获得省市先进。其中，安全生产工作</w:t>
      </w:r>
      <w:r>
        <w:rPr>
          <w:rFonts w:hint="eastAsia" w:eastAsia="仿宋_GB2312" w:cs="Times New Roman"/>
          <w:color w:val="auto"/>
          <w:sz w:val="32"/>
          <w:szCs w:val="32"/>
          <w:highlight w:val="none"/>
          <w:lang w:val="en-US" w:eastAsia="zh-CN"/>
        </w:rPr>
        <w:t>、防汛抗旱工作有望获得</w:t>
      </w:r>
      <w:r>
        <w:rPr>
          <w:rFonts w:hint="default" w:ascii="Times New Roman" w:hAnsi="Times New Roman" w:eastAsia="仿宋_GB2312" w:cs="Times New Roman"/>
          <w:color w:val="auto"/>
          <w:sz w:val="32"/>
          <w:szCs w:val="32"/>
          <w:highlight w:val="none"/>
          <w:lang w:val="en-US" w:eastAsia="zh-CN"/>
        </w:rPr>
        <w:t>市级先进；</w:t>
      </w:r>
      <w:r>
        <w:rPr>
          <w:rFonts w:hint="eastAsia" w:ascii="仿宋_GB2312" w:hAnsi="仿宋_GB2312" w:eastAsia="仿宋_GB2312" w:cs="Times New Roman"/>
          <w:color w:val="auto"/>
          <w:sz w:val="32"/>
          <w:szCs w:val="32"/>
          <w:lang w:val="en-US" w:eastAsia="zh-CN"/>
        </w:rPr>
        <w:t>获全市安全守底行动大抓落实工作激励</w:t>
      </w:r>
      <w:r>
        <w:rPr>
          <w:rFonts w:hint="eastAsia" w:ascii="Times New Roman" w:hAnsi="Times New Roman" w:eastAsia="仿宋_GB2312" w:cs="Times New Roman"/>
          <w:color w:val="auto"/>
          <w:sz w:val="32"/>
          <w:szCs w:val="32"/>
          <w:highlight w:val="none"/>
          <w:lang w:val="en-US" w:eastAsia="zh-CN"/>
        </w:rPr>
        <w:t>。</w:t>
      </w:r>
    </w:p>
    <w:p w14:paraId="0D2BEC56">
      <w:pPr>
        <w:numPr>
          <w:ilvl w:val="0"/>
          <w:numId w:val="0"/>
        </w:numPr>
        <w:overflowPunct w:val="0"/>
        <w:autoSpaceDE w:val="0"/>
        <w:autoSpaceDN w:val="0"/>
        <w:spacing w:line="592" w:lineRule="exact"/>
        <w:ind w:firstLine="640" w:firstLineChars="200"/>
        <w:rPr>
          <w:rFonts w:hint="eastAsia" w:eastAsia="仿宋_GB2312" w:cs="仿宋_GB2312"/>
          <w:color w:val="auto"/>
          <w:sz w:val="32"/>
          <w:szCs w:val="32"/>
        </w:rPr>
      </w:pPr>
      <w:r>
        <w:rPr>
          <w:rFonts w:hint="eastAsia" w:eastAsia="仿宋_GB2312" w:cs="仿宋_GB2312"/>
          <w:color w:val="auto"/>
          <w:sz w:val="32"/>
          <w:szCs w:val="32"/>
          <w:lang w:val="en-US" w:eastAsia="zh-CN"/>
        </w:rPr>
        <w:t>2.</w:t>
      </w:r>
      <w:r>
        <w:rPr>
          <w:rFonts w:hint="eastAsia" w:eastAsia="仿宋_GB2312" w:cs="仿宋_GB2312"/>
          <w:color w:val="auto"/>
          <w:sz w:val="32"/>
          <w:szCs w:val="32"/>
        </w:rPr>
        <w:t>效率性分析主要包括实施进度和完成质量。</w:t>
      </w:r>
    </w:p>
    <w:p w14:paraId="0F2296FB">
      <w:pPr>
        <w:pStyle w:val="26"/>
        <w:keepNext w:val="0"/>
        <w:keepLines w:val="0"/>
        <w:pageBreakBefore w:val="0"/>
        <w:widowControl w:val="0"/>
        <w:kinsoku/>
        <w:wordWrap/>
        <w:overflowPunct/>
        <w:topLinePunct/>
        <w:autoSpaceDE/>
        <w:autoSpaceDN/>
        <w:bidi w:val="0"/>
        <w:spacing w:line="592" w:lineRule="exact"/>
        <w:ind w:left="0" w:leftChars="0" w:firstLine="640" w:firstLineChars="200"/>
        <w:textAlignment w:val="center"/>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202</w:t>
      </w: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lang w:val="en-US" w:eastAsia="zh-CN"/>
        </w:rPr>
        <w:t>年度</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我区安全生产形势良好，没有发生较大及以上生产安全和非生产安全事故。</w:t>
      </w:r>
      <w:r>
        <w:rPr>
          <w:rFonts w:hint="default" w:ascii="Times New Roman" w:hAnsi="Times New Roman" w:cs="Times New Roman"/>
          <w:color w:val="auto"/>
          <w:sz w:val="32"/>
          <w:szCs w:val="32"/>
          <w:lang w:val="en-US" w:eastAsia="zh-CN"/>
        </w:rPr>
        <w:t>我局</w:t>
      </w:r>
      <w:r>
        <w:rPr>
          <w:rFonts w:hint="default" w:ascii="Times New Roman" w:hAnsi="Times New Roman" w:eastAsia="仿宋_GB2312" w:cs="Times New Roman"/>
          <w:color w:val="auto"/>
          <w:sz w:val="32"/>
          <w:szCs w:val="32"/>
        </w:rPr>
        <w:t>始终严守风险底线，始终把安全生产放在首位，严抓、严管、严控。</w:t>
      </w:r>
    </w:p>
    <w:p w14:paraId="7AFAAC44">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560" w:firstLineChars="200"/>
        <w:textAlignment w:val="auto"/>
        <w:rPr>
          <w:rFonts w:hint="eastAsia" w:ascii="仿宋_GB2312" w:hAnsi="仿宋_GB2312" w:eastAsia="仿宋_GB2312" w:cs="Times New Roman"/>
          <w:color w:val="auto"/>
          <w:sz w:val="32"/>
          <w:szCs w:val="32"/>
          <w:lang w:val="en-US" w:eastAsia="zh-CN"/>
        </w:rPr>
      </w:pPr>
      <w:r>
        <w:rPr>
          <w:rFonts w:hint="eastAsia" w:ascii="楷体_GB2312" w:hAnsi="楷体_GB2312" w:eastAsia="楷体_GB2312" w:cs="Times New Roman"/>
          <w:color w:val="auto"/>
          <w:spacing w:val="-20"/>
          <w:sz w:val="32"/>
          <w:szCs w:val="32"/>
          <w:lang w:val="en-US" w:eastAsia="zh-CN"/>
        </w:rPr>
        <w:t>强监管、抓整治，坚守安全生产“基本盘”。</w:t>
      </w:r>
      <w:r>
        <w:rPr>
          <w:rFonts w:hint="eastAsia" w:ascii="仿宋_GB2312" w:hAnsi="仿宋_GB2312" w:eastAsia="仿宋_GB2312" w:cs="Times New Roman"/>
          <w:color w:val="auto"/>
          <w:sz w:val="32"/>
          <w:szCs w:val="32"/>
          <w:lang w:val="en-US" w:eastAsia="zh-CN"/>
        </w:rPr>
        <w:t>2024年全区未发生生产安全亡人事故，安全生产形势持续稳定向好，获全市安全守底行动大抓落实工作激励。</w:t>
      </w:r>
      <w:r>
        <w:rPr>
          <w:rFonts w:hint="eastAsia" w:ascii="仿宋_GB2312" w:hAnsi="仿宋_GB2312" w:eastAsia="仿宋_GB2312" w:cs="Times New Roman"/>
          <w:b/>
          <w:bCs/>
          <w:color w:val="auto"/>
          <w:sz w:val="32"/>
          <w:szCs w:val="32"/>
          <w:lang w:val="en-US" w:eastAsia="zh-CN"/>
        </w:rPr>
        <w:t>一是加强组织领导，全面落实安全责任。</w:t>
      </w:r>
      <w:r>
        <w:rPr>
          <w:rFonts w:hint="eastAsia" w:ascii="仿宋_GB2312" w:hAnsi="仿宋_GB2312" w:eastAsia="仿宋_GB2312" w:cs="Times New Roman"/>
          <w:b w:val="0"/>
          <w:bCs w:val="0"/>
          <w:color w:val="auto"/>
          <w:sz w:val="32"/>
          <w:szCs w:val="32"/>
          <w:lang w:val="en-US" w:eastAsia="zh-CN"/>
        </w:rPr>
        <w:t>严格落实“党政同责、‘一岗双责’、齐抓共管、失职追责”工作责任，区委会议、区管委会常务会议专题研究调度安全生产工作11次，区级领导在重点时段、重要节假日带队常态化开展安全生产检查和调研；区安委会召开安全生产全会2次、例会4次、点评会4次，</w:t>
      </w:r>
      <w:r>
        <w:rPr>
          <w:rFonts w:hint="eastAsia" w:ascii="仿宋_GB2312" w:hAnsi="仿宋_GB2312" w:eastAsia="仿宋_GB2312" w:cs="仿宋_GB2312"/>
          <w:color w:val="auto"/>
          <w:sz w:val="32"/>
          <w:szCs w:val="32"/>
          <w:lang w:val="en-US" w:eastAsia="zh-CN"/>
        </w:rPr>
        <w:t>开展专项督导检查2次，</w:t>
      </w:r>
      <w:r>
        <w:rPr>
          <w:rFonts w:hint="eastAsia" w:ascii="仿宋_GB2312" w:hAnsi="仿宋_GB2312" w:eastAsia="仿宋_GB2312" w:cs="Times New Roman"/>
          <w:b w:val="0"/>
          <w:bCs w:val="0"/>
          <w:color w:val="auto"/>
          <w:sz w:val="32"/>
          <w:szCs w:val="32"/>
          <w:lang w:val="en-US" w:eastAsia="zh-CN"/>
        </w:rPr>
        <w:t>对安全生产工作进行调度和部署；</w:t>
      </w:r>
      <w:r>
        <w:rPr>
          <w:rFonts w:hint="eastAsia" w:ascii="仿宋_GB2312" w:hAnsi="仿宋_GB2312" w:eastAsia="仿宋_GB2312" w:cs="仿宋_GB2312"/>
          <w:color w:val="auto"/>
          <w:sz w:val="32"/>
          <w:szCs w:val="32"/>
          <w:lang w:val="en-US" w:eastAsia="zh-CN"/>
        </w:rPr>
        <w:t>区安委办召开工作会商、部署会议27次，下发问题交办函51份、工作提示函45份，坚持“周计划”“周小结”“周调度”工作制度，推动各项工作措施落实落细落地。</w:t>
      </w:r>
      <w:r>
        <w:rPr>
          <w:rFonts w:hint="eastAsia" w:ascii="仿宋_GB2312" w:hAnsi="仿宋_GB2312" w:eastAsia="仿宋_GB2312" w:cs="Times New Roman"/>
          <w:b/>
          <w:bCs/>
          <w:color w:val="auto"/>
          <w:sz w:val="32"/>
          <w:szCs w:val="32"/>
          <w:lang w:val="en-US" w:eastAsia="zh-CN"/>
        </w:rPr>
        <w:t>二是加强专项整治，防范化解安全风险。</w:t>
      </w:r>
      <w:r>
        <w:rPr>
          <w:rFonts w:hint="eastAsia" w:ascii="仿宋_GB2312" w:hAnsi="仿宋_GB2312" w:eastAsia="仿宋_GB2312" w:cs="Times New Roman"/>
          <w:b w:val="0"/>
          <w:bCs w:val="0"/>
          <w:color w:val="auto"/>
          <w:sz w:val="32"/>
          <w:szCs w:val="32"/>
          <w:lang w:val="en-US" w:eastAsia="zh-CN"/>
        </w:rPr>
        <w:t>扎实</w:t>
      </w:r>
      <w:r>
        <w:rPr>
          <w:rFonts w:hint="eastAsia" w:ascii="仿宋_GB2312" w:hAnsi="仿宋_GB2312" w:eastAsia="仿宋_GB2312" w:cs="Times New Roman"/>
          <w:color w:val="auto"/>
          <w:sz w:val="32"/>
          <w:szCs w:val="32"/>
          <w:lang w:val="en-US" w:eastAsia="zh-CN"/>
        </w:rPr>
        <w:t>推进治本攻坚三年行动、安全守底行动，以重大事故隐患排查整治为抓手，有序开展消防安全、道路交通、城镇燃气、</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两电</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车辆、危化和烟花爆竹等领域的34项专项整治行动，实现重大事故隐患动态清零。2024年共排查录入重大事故隐患186处，按期完成整改185处，按期整改率100%，获得市局肯定</w:t>
      </w:r>
      <w:bookmarkStart w:id="4" w:name="OLE_LINK4"/>
      <w:r>
        <w:rPr>
          <w:rFonts w:hint="eastAsia" w:ascii="仿宋_GB2312" w:hAnsi="仿宋_GB2312" w:eastAsia="仿宋_GB2312" w:cs="Times New Roman"/>
          <w:color w:val="auto"/>
          <w:sz w:val="32"/>
          <w:szCs w:val="32"/>
          <w:lang w:val="en-US" w:eastAsia="zh-CN"/>
        </w:rPr>
        <w:t>；规范执法检查，全面推动“柔性执法”，开展执法检查27家次，办理</w:t>
      </w:r>
      <w:r>
        <w:rPr>
          <w:rFonts w:hint="eastAsia" w:ascii="仿宋_GB2312" w:hAnsi="仿宋_GB2312" w:eastAsia="仿宋_GB2312" w:cs="Times New Roman"/>
          <w:color w:val="auto"/>
          <w:sz w:val="32"/>
          <w:szCs w:val="32"/>
          <w:lang w:eastAsia="zh-CN"/>
        </w:rPr>
        <w:t>案</w:t>
      </w:r>
      <w:r>
        <w:rPr>
          <w:rFonts w:hint="eastAsia" w:ascii="仿宋_GB2312" w:hAnsi="仿宋_GB2312" w:eastAsia="仿宋_GB2312" w:cs="Times New Roman"/>
          <w:color w:val="auto"/>
          <w:sz w:val="32"/>
          <w:szCs w:val="32"/>
          <w:lang w:val="en-US" w:eastAsia="zh-CN"/>
        </w:rPr>
        <w:t>件16</w:t>
      </w:r>
      <w:r>
        <w:rPr>
          <w:rFonts w:hint="eastAsia" w:ascii="仿宋_GB2312" w:hAnsi="仿宋_GB2312" w:eastAsia="仿宋_GB2312" w:cs="Times New Roman"/>
          <w:color w:val="auto"/>
          <w:sz w:val="32"/>
          <w:szCs w:val="32"/>
          <w:lang w:eastAsia="zh-CN"/>
        </w:rPr>
        <w:t>起（</w:t>
      </w:r>
      <w:r>
        <w:rPr>
          <w:rFonts w:hint="eastAsia" w:ascii="仿宋_GB2312" w:hAnsi="仿宋_GB2312" w:eastAsia="仿宋_GB2312" w:cs="Times New Roman"/>
          <w:color w:val="auto"/>
          <w:sz w:val="32"/>
          <w:szCs w:val="32"/>
          <w:lang w:val="en-US" w:eastAsia="zh-CN"/>
        </w:rPr>
        <w:t>其中首违、轻微违法行为不予处罚6起</w:t>
      </w:r>
      <w:r>
        <w:rPr>
          <w:rFonts w:hint="eastAsia" w:ascii="仿宋_GB2312" w:hAnsi="仿宋_GB2312" w:eastAsia="仿宋_GB2312" w:cs="Times New Roman"/>
          <w:color w:val="auto"/>
          <w:sz w:val="32"/>
          <w:szCs w:val="32"/>
          <w:lang w:eastAsia="zh-CN"/>
        </w:rPr>
        <w:t>）</w:t>
      </w:r>
      <w:bookmarkEnd w:id="4"/>
      <w:r>
        <w:rPr>
          <w:rFonts w:hint="eastAsia" w:ascii="仿宋_GB2312" w:hAnsi="仿宋_GB2312" w:eastAsia="仿宋_GB2312" w:cs="Times New Roman"/>
          <w:color w:val="auto"/>
          <w:sz w:val="32"/>
          <w:szCs w:val="32"/>
          <w:highlight w:val="none"/>
          <w:lang w:val="en-US" w:eastAsia="zh-CN"/>
        </w:rPr>
        <w:t>，办案质量实现跨越式提升，获市局表扬</w:t>
      </w:r>
      <w:r>
        <w:rPr>
          <w:rFonts w:hint="eastAsia" w:ascii="仿宋_GB2312" w:hAnsi="仿宋_GB2312" w:eastAsia="仿宋_GB2312"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lang w:val="en-US" w:eastAsia="zh-CN"/>
        </w:rPr>
        <w:t>严格行政许可，优化区域烟花爆竹销售点位布局，助力蓝天保卫战。</w:t>
      </w:r>
      <w:r>
        <w:rPr>
          <w:rFonts w:hint="eastAsia" w:ascii="仿宋_GB2312" w:hAnsi="仿宋_GB2312" w:eastAsia="仿宋_GB2312" w:cs="Times New Roman"/>
          <w:b/>
          <w:bCs/>
          <w:color w:val="auto"/>
          <w:sz w:val="32"/>
          <w:szCs w:val="32"/>
          <w:lang w:val="en-US" w:eastAsia="zh-CN"/>
        </w:rPr>
        <w:t>三是加强宣传教育，提升全民安全意识。</w:t>
      </w:r>
      <w:r>
        <w:rPr>
          <w:rFonts w:hint="eastAsia" w:ascii="仿宋_GB2312" w:hAnsi="仿宋_GB2312" w:eastAsia="仿宋_GB2312" w:cs="Times New Roman"/>
          <w:color w:val="auto"/>
          <w:sz w:val="32"/>
          <w:szCs w:val="32"/>
          <w:lang w:val="en-US" w:eastAsia="zh-CN"/>
        </w:rPr>
        <w:t>以“安全生产五进”为抓手，组织开展了“安全生产月”集中宣传活动和“送法下乡”“送法下企”等活动，发放宣传资料7600余份，“敲门行动”宣传1700余户。</w:t>
      </w:r>
      <w:r>
        <w:rPr>
          <w:rFonts w:hint="eastAsia" w:ascii="仿宋_GB2312" w:hAnsi="仿宋_GB2312" w:eastAsia="仿宋_GB2312" w:cs="Times New Roman"/>
          <w:b w:val="0"/>
          <w:bCs w:val="0"/>
          <w:color w:val="auto"/>
          <w:sz w:val="32"/>
          <w:szCs w:val="32"/>
          <w:shd w:val="clear" w:color="auto" w:fill="FFFFFF"/>
          <w:lang w:val="en-US" w:eastAsia="zh-CN"/>
        </w:rPr>
        <w:t>组织各单位观看了《安全生产 责任在肩》安全生产警示片。</w:t>
      </w:r>
      <w:r>
        <w:rPr>
          <w:rFonts w:hint="eastAsia" w:ascii="仿宋_GB2312" w:hAnsi="仿宋_GB2312" w:eastAsia="仿宋_GB2312" w:cs="Times New Roman"/>
          <w:color w:val="auto"/>
          <w:sz w:val="32"/>
          <w:szCs w:val="32"/>
          <w:lang w:val="en-US" w:eastAsia="zh-CN"/>
        </w:rPr>
        <w:t>组织人员密集场所开展了“逃生应急演练”。对行业部门、重点单位开展安全生产和消防安全集中培训12次。针对不同时段安全防范的特点，开展“敲门行动”，通过“应急广播”“微信网格群”进行安全提示提醒。</w:t>
      </w:r>
    </w:p>
    <w:p w14:paraId="1009D7A7">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560" w:firstLineChars="200"/>
        <w:textAlignment w:val="auto"/>
        <w:rPr>
          <w:rFonts w:hint="eastAsia"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pPr>
      <w:r>
        <w:rPr>
          <w:rFonts w:hint="eastAsia" w:ascii="楷体_GB2312" w:hAnsi="楷体_GB2312" w:eastAsia="楷体_GB2312" w:cs="Times New Roman"/>
          <w:color w:val="auto"/>
          <w:spacing w:val="-20"/>
          <w:sz w:val="32"/>
          <w:szCs w:val="32"/>
          <w:lang w:val="en-US" w:eastAsia="zh-CN"/>
        </w:rPr>
        <w:t>强责任、抓抗灾，守住人民群众“生命线”。</w:t>
      </w:r>
      <w:r>
        <w:rPr>
          <w:rFonts w:hint="eastAsia" w:ascii="仿宋_GB2312" w:hAnsi="仿宋_GB2312" w:eastAsia="仿宋_GB2312" w:cs="Times New Roman"/>
          <w:i w:val="0"/>
          <w:iCs w:val="0"/>
          <w:caps w:val="0"/>
          <w:color w:val="auto"/>
          <w:spacing w:val="0"/>
          <w:sz w:val="32"/>
          <w:szCs w:val="32"/>
          <w:shd w:val="clear" w:color="auto" w:fill="FFFFFF"/>
          <w:lang w:val="en-US" w:eastAsia="zh-CN"/>
        </w:rPr>
        <w:t>今年启动防汛Ⅲ级应急响应9次，在区防指的统筹协调和科学调度下，我区防汛抗灾工作取得全面胜利，获省、市肯定。</w:t>
      </w:r>
      <w:r>
        <w:rPr>
          <w:rFonts w:hint="eastAsia" w:ascii="仿宋_GB2312" w:hAnsi="仿宋_GB2312" w:eastAsia="仿宋_GB2312" w:cs="Times New Roman"/>
          <w:b/>
          <w:bCs/>
          <w:color w:val="auto"/>
          <w:sz w:val="32"/>
          <w:szCs w:val="32"/>
          <w:lang w:val="en-US" w:eastAsia="zh-CN"/>
        </w:rPr>
        <w:t>一是压实责任，提升组织指挥能力。</w:t>
      </w:r>
      <w:r>
        <w:rPr>
          <w:rFonts w:hint="eastAsia" w:ascii="仿宋_GB2312" w:hAnsi="仿宋_GB2312" w:eastAsia="仿宋_GB2312" w:cs="Times New Roman"/>
          <w:b w:val="0"/>
          <w:bCs w:val="0"/>
          <w:color w:val="auto"/>
          <w:sz w:val="32"/>
          <w:szCs w:val="32"/>
          <w:lang w:val="en-US" w:eastAsia="zh-CN"/>
        </w:rPr>
        <w:t>进入主汛期前，</w:t>
      </w:r>
      <w:r>
        <w:rPr>
          <w:rFonts w:hint="eastAsia" w:ascii="仿宋_GB2312" w:hAnsi="仿宋_GB2312" w:eastAsia="仿宋_GB2312" w:cs="Times New Roman"/>
          <w:i w:val="0"/>
          <w:iCs w:val="0"/>
          <w:caps w:val="0"/>
          <w:color w:val="auto"/>
          <w:spacing w:val="0"/>
          <w:sz w:val="32"/>
          <w:szCs w:val="32"/>
          <w:shd w:val="clear" w:color="auto" w:fill="FFFFFF"/>
          <w:lang w:val="en-US" w:eastAsia="zh-CN"/>
        </w:rPr>
        <w:t>区防指组织召开了全区防汛抗旱工作部署会、调度会、会商会7次，</w:t>
      </w:r>
      <w:r>
        <w:rPr>
          <w:rFonts w:hint="eastAsia" w:ascii="仿宋_GB2312" w:hAnsi="仿宋_GB2312" w:eastAsia="仿宋_GB2312" w:cs="Times New Roman"/>
          <w:color w:val="auto"/>
          <w:sz w:val="32"/>
          <w:szCs w:val="32"/>
          <w:lang w:val="en-US" w:eastAsia="zh-CN"/>
        </w:rPr>
        <w:t>启动防汛</w:t>
      </w:r>
      <w:r>
        <w:rPr>
          <w:rFonts w:hint="default" w:ascii="Times New Roman" w:hAnsi="Times New Roman" w:eastAsia="微软雅黑 Light" w:cs="Times New Roman"/>
          <w:color w:val="auto"/>
          <w:sz w:val="32"/>
          <w:szCs w:val="32"/>
          <w:lang w:val="en-US" w:eastAsia="zh-CN"/>
        </w:rPr>
        <w:t>Ⅲ</w:t>
      </w:r>
      <w:r>
        <w:rPr>
          <w:rFonts w:hint="eastAsia" w:ascii="仿宋_GB2312" w:hAnsi="仿宋_GB2312" w:eastAsia="仿宋_GB2312" w:cs="Times New Roman"/>
          <w:color w:val="auto"/>
          <w:sz w:val="32"/>
          <w:szCs w:val="32"/>
          <w:lang w:val="en-US" w:eastAsia="zh-CN"/>
        </w:rPr>
        <w:t>应急响应后，区防指坚持“一日一会商”“一日一通报”，不断强化防汛抗灾会商调度工作，共下达指令120余次，</w:t>
      </w:r>
      <w:r>
        <w:rPr>
          <w:rFonts w:hint="eastAsia" w:ascii="仿宋_GB2312" w:hAnsi="仿宋_GB2312" w:eastAsia="仿宋_GB2312" w:cs="Times New Roman"/>
          <w:i w:val="0"/>
          <w:iCs w:val="0"/>
          <w:caps w:val="0"/>
          <w:color w:val="auto"/>
          <w:spacing w:val="0"/>
          <w:sz w:val="32"/>
          <w:szCs w:val="32"/>
          <w:shd w:val="clear" w:color="auto" w:fill="FFFFFF"/>
          <w:lang w:val="en-US" w:eastAsia="zh-CN"/>
        </w:rPr>
        <w:t>带队督导检查</w:t>
      </w:r>
      <w:r>
        <w:rPr>
          <w:rFonts w:hint="eastAsia" w:ascii="仿宋_GB2312" w:hAnsi="仿宋_GB2312" w:eastAsia="仿宋_GB2312" w:cs="Times New Roman"/>
          <w:color w:val="auto"/>
          <w:sz w:val="32"/>
          <w:szCs w:val="32"/>
          <w:lang w:val="en-US" w:eastAsia="zh-CN"/>
        </w:rPr>
        <w:t>112</w:t>
      </w:r>
      <w:r>
        <w:rPr>
          <w:rFonts w:hint="eastAsia" w:ascii="仿宋_GB2312" w:hAnsi="仿宋_GB2312" w:eastAsia="仿宋_GB2312" w:cs="Times New Roman"/>
          <w:i w:val="0"/>
          <w:iCs w:val="0"/>
          <w:caps w:val="0"/>
          <w:color w:val="auto"/>
          <w:spacing w:val="0"/>
          <w:sz w:val="32"/>
          <w:szCs w:val="32"/>
          <w:shd w:val="clear" w:color="auto" w:fill="FFFFFF"/>
          <w:lang w:val="en-US" w:eastAsia="zh-CN"/>
        </w:rPr>
        <w:t>次。</w:t>
      </w:r>
      <w:r>
        <w:rPr>
          <w:rFonts w:hint="eastAsia" w:ascii="仿宋_GB2312" w:hAnsi="仿宋_GB2312" w:eastAsia="仿宋_GB2312" w:cs="Times New Roman"/>
          <w:b/>
          <w:bCs/>
          <w:i w:val="0"/>
          <w:iCs w:val="0"/>
          <w:caps w:val="0"/>
          <w:color w:val="auto"/>
          <w:spacing w:val="0"/>
          <w:sz w:val="32"/>
          <w:szCs w:val="32"/>
          <w:shd w:val="clear" w:color="auto" w:fill="FFFFFF"/>
          <w:lang w:val="en-US" w:eastAsia="zh-CN"/>
        </w:rPr>
        <w:t>二是</w:t>
      </w:r>
      <w:r>
        <w:rPr>
          <w:rFonts w:hint="eastAsia" w:ascii="仿宋_GB2312" w:hAnsi="仿宋_GB2312" w:eastAsia="仿宋_GB2312" w:cs="Times New Roman"/>
          <w:b/>
          <w:bCs/>
          <w:color w:val="auto"/>
          <w:sz w:val="32"/>
          <w:szCs w:val="32"/>
          <w:lang w:val="en-US" w:eastAsia="zh-CN"/>
        </w:rPr>
        <w:t>统筹谋划，提升要素保障能力。</w:t>
      </w:r>
      <w:r>
        <w:rPr>
          <w:rFonts w:hint="eastAsia" w:ascii="仿宋_GB2312" w:hAnsi="仿宋_GB2312" w:eastAsia="仿宋_GB2312" w:cs="Times New Roman"/>
          <w:color w:val="auto"/>
          <w:sz w:val="32"/>
          <w:szCs w:val="32"/>
          <w:lang w:val="en-US" w:eastAsia="zh-CN"/>
        </w:rPr>
        <w:t>进一步完善监测预警机制，筹建区气象局，完成了2个气象观测站的建设，实现精准预报；</w:t>
      </w:r>
      <w:r>
        <w:rPr>
          <w:rFonts w:hint="eastAsia" w:ascii="仿宋_GB2312" w:hAnsi="仿宋_GB2312" w:eastAsia="仿宋_GB2312" w:cs="Times New Roman"/>
          <w:i w:val="0"/>
          <w:iCs w:val="0"/>
          <w:caps w:val="0"/>
          <w:color w:val="auto"/>
          <w:spacing w:val="0"/>
          <w:sz w:val="32"/>
          <w:szCs w:val="32"/>
          <w:shd w:val="clear" w:color="auto" w:fill="FFFFFF"/>
          <w:lang w:val="en-US" w:eastAsia="zh-CN"/>
        </w:rPr>
        <w:t>修订完善防汛抗旱预案，实现</w:t>
      </w:r>
      <w:r>
        <w:rPr>
          <w:rFonts w:hint="eastAsia" w:ascii="仿宋_GB2312" w:hAnsi="仿宋_GB2312" w:eastAsia="仿宋_GB2312" w:cs="Times New Roman"/>
          <w:color w:val="auto"/>
          <w:sz w:val="32"/>
          <w:szCs w:val="32"/>
          <w:lang w:val="en-US" w:eastAsia="zh-CN"/>
        </w:rPr>
        <w:t>协同作战；</w:t>
      </w:r>
      <w:r>
        <w:rPr>
          <w:rFonts w:hint="eastAsia" w:ascii="仿宋_GB2312" w:hAnsi="仿宋_GB2312" w:eastAsia="仿宋_GB2312" w:cs="Times New Roman"/>
          <w:i w:val="0"/>
          <w:iCs w:val="0"/>
          <w:caps w:val="0"/>
          <w:color w:val="auto"/>
          <w:spacing w:val="0"/>
          <w:sz w:val="32"/>
          <w:szCs w:val="32"/>
          <w:shd w:val="clear" w:color="auto" w:fill="FFFFFF"/>
          <w:lang w:val="en-US" w:eastAsia="zh-CN"/>
        </w:rPr>
        <w:t>绘制2024年“防汛抢险四张图”，实现</w:t>
      </w:r>
      <w:r>
        <w:rPr>
          <w:rFonts w:hint="eastAsia" w:ascii="仿宋_GB2312" w:hAnsi="仿宋_GB2312" w:eastAsia="仿宋_GB2312" w:cs="Times New Roman"/>
          <w:color w:val="auto"/>
          <w:sz w:val="32"/>
          <w:szCs w:val="32"/>
          <w:lang w:val="en-US" w:eastAsia="zh-CN"/>
        </w:rPr>
        <w:t>精准指挥；排查</w:t>
      </w:r>
      <w:r>
        <w:rPr>
          <w:rFonts w:hint="eastAsia" w:ascii="仿宋_GB2312" w:hAnsi="仿宋_GB2312" w:eastAsia="仿宋_GB2312" w:cs="Times New Roman"/>
          <w:b w:val="0"/>
          <w:bCs w:val="0"/>
          <w:color w:val="auto"/>
          <w:sz w:val="32"/>
          <w:szCs w:val="32"/>
          <w:lang w:val="en-US" w:eastAsia="zh-CN"/>
        </w:rPr>
        <w:t>重点部位161处，发现并整改问题隐患36个，实现</w:t>
      </w:r>
      <w:r>
        <w:rPr>
          <w:rFonts w:hint="eastAsia" w:ascii="仿宋_GB2312" w:hAnsi="仿宋_GB2312" w:eastAsia="仿宋_GB2312" w:cs="Times New Roman"/>
          <w:color w:val="auto"/>
          <w:sz w:val="32"/>
          <w:szCs w:val="32"/>
          <w:lang w:val="en-US" w:eastAsia="zh-CN"/>
        </w:rPr>
        <w:t>隐患排查严实深透；强化防汛物资管理，对一线防洪大堤防汛物资器材进行盘点补库，实现足额储备。</w:t>
      </w:r>
      <w:r>
        <w:rPr>
          <w:rFonts w:hint="eastAsia" w:ascii="仿宋_GB2312" w:hAnsi="仿宋_GB2312" w:eastAsia="仿宋_GB2312" w:cs="Times New Roman"/>
          <w:b/>
          <w:bCs/>
          <w:color w:val="auto"/>
          <w:sz w:val="32"/>
          <w:szCs w:val="32"/>
          <w:lang w:val="en-US" w:eastAsia="zh-CN"/>
        </w:rPr>
        <w:t>三是高效响应，提升防汛抗灾能力。</w:t>
      </w:r>
      <w:r>
        <w:rPr>
          <w:rFonts w:hint="eastAsia" w:ascii="仿宋_GB2312" w:hAnsi="仿宋_GB2312" w:eastAsia="仿宋_GB2312" w:cs="Times New Roman"/>
          <w:color w:val="auto"/>
          <w:sz w:val="32"/>
          <w:szCs w:val="32"/>
          <w:lang w:val="en-US" w:eastAsia="zh-CN"/>
        </w:rPr>
        <w:t>启动防汛</w:t>
      </w:r>
      <w:r>
        <w:rPr>
          <w:rFonts w:hint="default" w:ascii="Times New Roman" w:hAnsi="Times New Roman" w:eastAsia="微软雅黑 Light" w:cs="Times New Roman"/>
          <w:color w:val="auto"/>
          <w:sz w:val="32"/>
          <w:szCs w:val="32"/>
          <w:lang w:val="en-US" w:eastAsia="zh-CN"/>
        </w:rPr>
        <w:t>Ⅲ</w:t>
      </w:r>
      <w:r>
        <w:rPr>
          <w:rFonts w:hint="eastAsia" w:ascii="仿宋_GB2312" w:hAnsi="仿宋_GB2312" w:eastAsia="仿宋_GB2312" w:cs="Times New Roman"/>
          <w:color w:val="auto"/>
          <w:sz w:val="32"/>
          <w:szCs w:val="32"/>
          <w:lang w:val="en-US" w:eastAsia="zh-CN"/>
        </w:rPr>
        <w:t>应急响应期间，</w:t>
      </w:r>
      <w:r>
        <w:rPr>
          <w:rFonts w:hint="eastAsia"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区防指督促落实落细各项防汛举措，</w:t>
      </w:r>
      <w:r>
        <w:rPr>
          <w:rFonts w:hint="eastAsia" w:ascii="仿宋_GB2312" w:hAnsi="仿宋_GB2312" w:eastAsia="仿宋_GB2312" w:cs="Times New Roman"/>
          <w:b w:val="0"/>
          <w:bCs w:val="0"/>
          <w:color w:val="auto"/>
          <w:sz w:val="32"/>
          <w:szCs w:val="32"/>
          <w:lang w:val="en-US" w:eastAsia="zh-CN"/>
        </w:rPr>
        <w:t>组织巡堤查险2572人次、完成清基扫障31.43公里</w:t>
      </w:r>
      <w:r>
        <w:rPr>
          <w:rFonts w:hint="eastAsia" w:ascii="仿宋_GB2312" w:hAnsi="仿宋_GB2312" w:eastAsia="仿宋_GB2312" w:cs="Times New Roman"/>
          <w:color w:val="auto"/>
          <w:sz w:val="32"/>
          <w:szCs w:val="32"/>
          <w:lang w:val="en-US" w:eastAsia="zh-CN"/>
        </w:rPr>
        <w:t>，</w:t>
      </w:r>
      <w:r>
        <w:rPr>
          <w:rFonts w:hint="eastAsia"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成功处置险情30处，</w:t>
      </w:r>
      <w:r>
        <w:rPr>
          <w:rFonts w:hint="eastAsia" w:ascii="仿宋_GB2312" w:hAnsi="仿宋_GB2312" w:eastAsia="仿宋_GB2312" w:cs="Times New Roman"/>
          <w:color w:val="auto"/>
          <w:sz w:val="32"/>
          <w:szCs w:val="32"/>
          <w:lang w:val="en-US" w:eastAsia="zh-CN"/>
        </w:rPr>
        <w:t>累计发布会商通报15期，简报17期、气象专报17</w:t>
      </w:r>
      <w:r>
        <w:rPr>
          <w:rFonts w:hint="eastAsia" w:ascii="仿宋_GB2312" w:hAnsi="仿宋_GB2312" w:eastAsia="仿宋_GB2312" w:cs="Times New Roman"/>
          <w:b w:val="0"/>
          <w:bCs w:val="0"/>
          <w:color w:val="auto"/>
          <w:sz w:val="32"/>
          <w:szCs w:val="32"/>
          <w:lang w:val="en-US" w:eastAsia="zh-CN"/>
        </w:rPr>
        <w:t>期、</w:t>
      </w:r>
      <w:r>
        <w:rPr>
          <w:rFonts w:hint="eastAsia" w:ascii="仿宋_GB2312" w:hAnsi="仿宋_GB2312" w:eastAsia="仿宋_GB2312" w:cs="Times New Roman"/>
          <w:color w:val="auto"/>
          <w:sz w:val="32"/>
          <w:szCs w:val="32"/>
          <w:lang w:val="en-US" w:eastAsia="zh-CN"/>
        </w:rPr>
        <w:t>防汛督查16期，为精准施策提供了坚强保障。</w:t>
      </w:r>
      <w:r>
        <w:rPr>
          <w:rFonts w:hint="eastAsia"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汛后全面复盘，总结经验教训，不断提升后续防汛抗灾工作能力。</w:t>
      </w:r>
    </w:p>
    <w:p w14:paraId="65E9207F">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560" w:firstLineChars="200"/>
        <w:textAlignment w:val="auto"/>
        <w:rPr>
          <w:rFonts w:hint="eastAsia" w:ascii="仿宋_GB2312" w:hAnsi="仿宋_GB2312" w:eastAsia="仿宋_GB2312" w:cs="Times New Roman"/>
          <w:color w:val="auto"/>
          <w:sz w:val="32"/>
          <w:szCs w:val="32"/>
          <w:lang w:val="en-US" w:eastAsia="zh-CN"/>
        </w:rPr>
      </w:pPr>
      <w:r>
        <w:rPr>
          <w:rFonts w:hint="eastAsia" w:ascii="楷体_GB2312" w:hAnsi="楷体_GB2312" w:eastAsia="楷体_GB2312" w:cs="Times New Roman"/>
          <w:color w:val="auto"/>
          <w:spacing w:val="-20"/>
          <w:sz w:val="32"/>
          <w:szCs w:val="32"/>
          <w:lang w:val="en-US" w:eastAsia="zh-CN"/>
        </w:rPr>
        <w:t>强预警、重防范，筑牢防灾减灾“防护墙”。</w:t>
      </w:r>
      <w:r>
        <w:rPr>
          <w:rFonts w:hint="eastAsia" w:ascii="仿宋_GB2312" w:hAnsi="仿宋_GB2312" w:eastAsia="仿宋_GB2312" w:cs="Times New Roman"/>
          <w:color w:val="auto"/>
          <w:sz w:val="32"/>
          <w:szCs w:val="32"/>
          <w:lang w:val="en-US" w:eastAsia="zh-CN"/>
        </w:rPr>
        <w:t>坚决贯彻“两个坚持”“三个转变”的防灾减灾救灾新理念，推动各项防范应对措施落实落细落地。</w:t>
      </w:r>
      <w:r>
        <w:rPr>
          <w:rFonts w:hint="eastAsia" w:ascii="仿宋_GB2312" w:hAnsi="仿宋_GB2312" w:eastAsia="仿宋_GB2312" w:cs="Times New Roman"/>
          <w:b/>
          <w:bCs/>
          <w:color w:val="auto"/>
          <w:sz w:val="32"/>
          <w:szCs w:val="32"/>
          <w:lang w:val="en-US" w:eastAsia="zh-CN"/>
        </w:rPr>
        <w:t>一是低温雨雪冰冻应对有力。</w:t>
      </w:r>
      <w:r>
        <w:rPr>
          <w:rFonts w:hint="eastAsia" w:ascii="仿宋_GB2312" w:hAnsi="仿宋_GB2312" w:eastAsia="仿宋_GB2312" w:cs="Times New Roman"/>
          <w:b w:val="0"/>
          <w:bCs w:val="0"/>
          <w:color w:val="auto"/>
          <w:sz w:val="32"/>
          <w:szCs w:val="32"/>
          <w:lang w:val="en-US" w:eastAsia="zh-CN"/>
        </w:rPr>
        <w:t>严格落实“五个一律”要求，成功防范应对三轮低温雨雪冰冻灾害天气，实现了“五个不发生”的工作目标，确保了人民群众生命财产安全和社会和谐稳定。</w:t>
      </w:r>
      <w:r>
        <w:rPr>
          <w:rFonts w:hint="eastAsia" w:ascii="仿宋_GB2312" w:hAnsi="仿宋_GB2312" w:eastAsia="仿宋_GB2312" w:cs="Times New Roman"/>
          <w:b/>
          <w:bCs/>
          <w:color w:val="auto"/>
          <w:sz w:val="32"/>
          <w:szCs w:val="32"/>
          <w:lang w:val="en-US" w:eastAsia="zh-CN"/>
        </w:rPr>
        <w:t>二是防灾减灾救灾有序高效。</w:t>
      </w:r>
      <w:r>
        <w:rPr>
          <w:rFonts w:hint="eastAsia" w:ascii="仿宋_GB2312" w:hAnsi="仿宋_GB2312" w:eastAsia="仿宋_GB2312" w:cs="Times New Roman"/>
          <w:b w:val="0"/>
          <w:bCs w:val="0"/>
          <w:color w:val="auto"/>
          <w:sz w:val="32"/>
          <w:szCs w:val="32"/>
          <w:lang w:val="en-US" w:eastAsia="zh-CN"/>
        </w:rPr>
        <w:t>及时发布灾害预警，</w:t>
      </w:r>
      <w:r>
        <w:rPr>
          <w:rFonts w:hint="eastAsia" w:ascii="仿宋_GB2312" w:hAnsi="仿宋_GB2312" w:eastAsia="仿宋_GB2312" w:cs="Times New Roman"/>
          <w:color w:val="auto"/>
          <w:kern w:val="2"/>
          <w:sz w:val="32"/>
          <w:szCs w:val="32"/>
          <w:lang w:val="en-US" w:eastAsia="zh-CN" w:bidi="ar-SA"/>
        </w:rPr>
        <w:t>全年累计发布预警信息70余条；及时上报灾情，全年共上报灾情5次、受灾人口7611人、直接经济损失共达4678.5万元；积极向上级争取救灾资金和物资，全年共争取资金142万元、帐篷80顶、夏凉被320张、被褥320张、折叠床320床、</w:t>
      </w:r>
      <w:r>
        <w:rPr>
          <w:rFonts w:hint="eastAsia" w:ascii="仿宋_GB2312" w:hAnsi="仿宋_GB2312" w:eastAsia="仿宋_GB2312" w:cs="Times New Roman"/>
          <w:color w:val="auto"/>
          <w:sz w:val="32"/>
          <w:szCs w:val="32"/>
          <w:highlight w:val="none"/>
          <w:lang w:val="en-US" w:eastAsia="zh-CN"/>
        </w:rPr>
        <w:t>价值5万元的防汛生活类物资，</w:t>
      </w:r>
      <w:r>
        <w:rPr>
          <w:rFonts w:hint="eastAsia" w:ascii="仿宋_GB2312" w:hAnsi="仿宋_GB2312" w:eastAsia="仿宋_GB2312" w:cs="Times New Roman"/>
          <w:color w:val="auto"/>
          <w:kern w:val="2"/>
          <w:sz w:val="32"/>
          <w:szCs w:val="32"/>
          <w:lang w:val="en-US" w:eastAsia="zh-CN" w:bidi="ar-SA"/>
        </w:rPr>
        <w:t>均已发放到位。</w:t>
      </w:r>
      <w:r>
        <w:rPr>
          <w:rFonts w:hint="eastAsia" w:ascii="仿宋_GB2312" w:hAnsi="仿宋_GB2312" w:eastAsia="仿宋_GB2312" w:cs="Times New Roman"/>
          <w:b/>
          <w:bCs/>
          <w:color w:val="auto"/>
          <w:sz w:val="32"/>
          <w:szCs w:val="32"/>
          <w:lang w:val="en-US" w:eastAsia="zh-CN"/>
        </w:rPr>
        <w:t>三是防灾减灾宣传全面深入。</w:t>
      </w:r>
      <w:r>
        <w:rPr>
          <w:rFonts w:hint="eastAsia" w:ascii="仿宋_GB2312" w:hAnsi="仿宋_GB2312" w:eastAsia="仿宋_GB2312" w:cs="Times New Roman"/>
          <w:color w:val="auto"/>
          <w:sz w:val="32"/>
          <w:szCs w:val="32"/>
          <w:lang w:val="en-US" w:eastAsia="zh-CN"/>
        </w:rPr>
        <w:t>推动防灾减灾宣传教育“五进”，集中开展“5·12”全国防灾减灾日、“10·13”国际减灾日暨自然灾害风险普查宣传活动，共发放各类宣传手册3000余本、宣传水杯200余个，摆放宣传展板30余块，现场咨询300余人次，提高了群众防灾减灾救灾意识和应急自救互助能力，营造了“人人讲安全、个个会应急”的良好氛围。</w:t>
      </w:r>
    </w:p>
    <w:p w14:paraId="312914F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Times New Roman"/>
          <w:color w:val="auto"/>
          <w:spacing w:val="-20"/>
          <w:sz w:val="32"/>
          <w:szCs w:val="32"/>
          <w:lang w:val="en-US" w:eastAsia="zh-CN"/>
        </w:rPr>
        <w:t>（四）强基础、抓联动，提升综合救援“应急力”。</w:t>
      </w:r>
      <w:r>
        <w:rPr>
          <w:rFonts w:hint="eastAsia" w:ascii="仿宋_GB2312" w:hAnsi="仿宋_GB2312" w:eastAsia="仿宋_GB2312" w:cs="Times New Roman"/>
          <w:color w:val="auto"/>
          <w:sz w:val="32"/>
          <w:szCs w:val="32"/>
          <w:lang w:val="en-US" w:eastAsia="zh-CN"/>
        </w:rPr>
        <w:t>按照“专常兼备”和“全灾种、大应急”的总方针，不断提升应急处置和救援能力。</w:t>
      </w:r>
      <w:r>
        <w:rPr>
          <w:rFonts w:hint="eastAsia" w:ascii="仿宋_GB2312" w:hAnsi="仿宋_GB2312" w:eastAsia="仿宋_GB2312" w:cs="Times New Roman"/>
          <w:b/>
          <w:bCs/>
          <w:color w:val="auto"/>
          <w:sz w:val="32"/>
          <w:szCs w:val="32"/>
          <w:lang w:val="en-US" w:eastAsia="zh-CN"/>
        </w:rPr>
        <w:t>一是应急预案体系不断完善。</w:t>
      </w:r>
      <w:r>
        <w:rPr>
          <w:rFonts w:hint="eastAsia" w:ascii="仿宋_GB2312" w:hAnsi="仿宋_GB2312" w:eastAsia="仿宋_GB2312" w:cs="Times New Roman"/>
          <w:color w:val="auto"/>
          <w:sz w:val="32"/>
          <w:szCs w:val="32"/>
          <w:lang w:val="en-US" w:eastAsia="zh-CN"/>
        </w:rPr>
        <w:t>制定《大通湖区低温雨雪冰冻灾害应急预案》，确保了今年低温雨雪冰冻灾害的有效防范应对；修订区级防汛抗旱预案，并指导各镇及区住建、农水、自然资源等部门协同修订预案，强化全区协同作战格局；坚持防汛复盘优化策略，不断提升预案科学性与实操性，确保防汛抗灾有序高效。</w:t>
      </w:r>
      <w:r>
        <w:rPr>
          <w:rFonts w:hint="eastAsia" w:ascii="仿宋_GB2312" w:hAnsi="仿宋_GB2312" w:eastAsia="仿宋_GB2312" w:cs="Times New Roman"/>
          <w:b/>
          <w:bCs/>
          <w:color w:val="auto"/>
          <w:sz w:val="32"/>
          <w:szCs w:val="32"/>
          <w:lang w:val="en-US" w:eastAsia="zh-CN"/>
        </w:rPr>
        <w:t>二是应急处突基础不断夯实。</w:t>
      </w:r>
      <w:r>
        <w:rPr>
          <w:rFonts w:hint="eastAsia" w:ascii="仿宋_GB2312" w:hAnsi="仿宋_GB2312" w:eastAsia="仿宋_GB2312" w:cs="Times New Roman"/>
          <w:b w:val="0"/>
          <w:bCs w:val="0"/>
          <w:color w:val="auto"/>
          <w:sz w:val="32"/>
          <w:szCs w:val="32"/>
          <w:lang w:val="en-US" w:eastAsia="zh-CN"/>
        </w:rPr>
        <w:t>加强硬件建设，投入56万元资金更新区应急指挥部指挥系统，优化大屏幕、</w:t>
      </w:r>
      <w:r>
        <w:rPr>
          <w:rFonts w:hint="eastAsia" w:ascii="仿宋_GB2312" w:hAnsi="仿宋_GB2312" w:eastAsia="仿宋_GB2312" w:cs="Times New Roman"/>
          <w:color w:val="auto"/>
          <w:sz w:val="32"/>
          <w:szCs w:val="32"/>
          <w:lang w:val="en-US" w:eastAsia="zh-CN"/>
        </w:rPr>
        <w:t>服务器等设施。加强物资储备，立足抢大险、救大灾应急物资需求，全区开展防汛砂石置换补库3.2万吨。增强乡镇应急物资储备，投入98万元资金添置基层防灾减灾装备。加快系统升级改造，推动新应急指挥综合业务系统测试使用，配设专用微信。</w:t>
      </w:r>
      <w:r>
        <w:rPr>
          <w:rFonts w:hint="eastAsia" w:ascii="仿宋_GB2312" w:hAnsi="仿宋_GB2312" w:eastAsia="仿宋_GB2312" w:cs="Times New Roman"/>
          <w:b/>
          <w:bCs/>
          <w:color w:val="auto"/>
          <w:sz w:val="32"/>
          <w:szCs w:val="32"/>
          <w:lang w:val="en-US" w:eastAsia="zh-CN"/>
        </w:rPr>
        <w:t>三是应急队伍能力不断加强。</w:t>
      </w:r>
      <w:r>
        <w:rPr>
          <w:rFonts w:hint="eastAsia" w:ascii="仿宋_GB2312" w:hAnsi="仿宋_GB2312" w:eastAsia="仿宋_GB2312" w:cs="Times New Roman"/>
          <w:b w:val="0"/>
          <w:bCs w:val="0"/>
          <w:color w:val="auto"/>
          <w:sz w:val="32"/>
          <w:szCs w:val="32"/>
          <w:lang w:val="en-US" w:eastAsia="zh-CN"/>
        </w:rPr>
        <w:t>整合消防力量，组建了5支综合应急救援队伍，模拟了火灾、洪灾、地震等</w:t>
      </w:r>
      <w:r>
        <w:rPr>
          <w:rFonts w:hint="default" w:ascii="Times New Roman" w:hAnsi="Times New Roman" w:eastAsia="仿宋_GB2312" w:cs="Times New Roman"/>
          <w:b w:val="0"/>
          <w:bCs w:val="0"/>
          <w:color w:val="auto"/>
          <w:sz w:val="32"/>
          <w:szCs w:val="32"/>
          <w:lang w:val="en-US" w:eastAsia="zh-CN"/>
        </w:rPr>
        <w:t>12</w:t>
      </w:r>
      <w:r>
        <w:rPr>
          <w:rFonts w:hint="eastAsia" w:ascii="仿宋_GB2312" w:hAnsi="仿宋_GB2312" w:eastAsia="仿宋_GB2312" w:cs="Times New Roman"/>
          <w:b w:val="0"/>
          <w:bCs w:val="0"/>
          <w:color w:val="auto"/>
          <w:sz w:val="32"/>
          <w:szCs w:val="32"/>
          <w:lang w:val="en-US" w:eastAsia="zh-CN"/>
        </w:rPr>
        <w:t>个场景，进行了5场应急演练，参演人员达1345人次；参加低温雨雪冰冻灾害防御应对、防汛抗灾，取得了宝贵的实战经验；加强业务培训，定期参训全市乡镇应急能力比武活动，有效提升了救援能力。</w:t>
      </w:r>
    </w:p>
    <w:p w14:paraId="48A096FC">
      <w:pPr>
        <w:numPr>
          <w:ilvl w:val="0"/>
          <w:numId w:val="3"/>
        </w:numPr>
        <w:overflowPunct w:val="0"/>
        <w:autoSpaceDE w:val="0"/>
        <w:autoSpaceDN w:val="0"/>
        <w:spacing w:line="592" w:lineRule="exact"/>
        <w:ind w:firstLine="640" w:firstLineChars="200"/>
        <w:rPr>
          <w:rFonts w:hint="eastAsia" w:ascii="黑体" w:hAnsi="黑体" w:eastAsia="黑体" w:cs="仿宋_GB2312"/>
          <w:bCs/>
          <w:color w:val="auto"/>
          <w:sz w:val="32"/>
          <w:szCs w:val="32"/>
        </w:rPr>
      </w:pPr>
      <w:r>
        <w:rPr>
          <w:rFonts w:hint="eastAsia" w:ascii="黑体" w:hAnsi="黑体" w:eastAsia="黑体" w:cs="仿宋_GB2312"/>
          <w:bCs/>
          <w:color w:val="auto"/>
          <w:sz w:val="32"/>
          <w:szCs w:val="32"/>
        </w:rPr>
        <w:t>存在的问题</w:t>
      </w:r>
    </w:p>
    <w:p w14:paraId="77A03C83">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Times New Roman"/>
          <w:b w:val="0"/>
          <w:bCs w:val="0"/>
          <w:color w:val="auto"/>
          <w:sz w:val="32"/>
          <w:szCs w:val="32"/>
          <w:lang w:val="en-US" w:eastAsia="zh-CN"/>
        </w:rPr>
      </w:pPr>
      <w:r>
        <w:rPr>
          <w:rFonts w:hint="eastAsia" w:ascii="楷体_GB2312" w:hAnsi="楷体_GB2312" w:eastAsia="楷体_GB2312" w:cs="Times New Roman"/>
          <w:b w:val="0"/>
          <w:bCs w:val="0"/>
          <w:i w:val="0"/>
          <w:iCs w:val="0"/>
          <w:caps w:val="0"/>
          <w:color w:val="auto"/>
          <w:spacing w:val="0"/>
          <w:sz w:val="32"/>
          <w:szCs w:val="32"/>
          <w:shd w:val="clear" w:color="auto" w:fill="FFFFFF"/>
        </w:rPr>
        <w:t>行政执法能力建设</w:t>
      </w:r>
      <w:r>
        <w:rPr>
          <w:rFonts w:hint="eastAsia" w:ascii="楷体_GB2312" w:hAnsi="楷体_GB2312" w:eastAsia="楷体_GB2312" w:cs="Times New Roman"/>
          <w:b w:val="0"/>
          <w:bCs w:val="0"/>
          <w:i w:val="0"/>
          <w:iCs w:val="0"/>
          <w:caps w:val="0"/>
          <w:color w:val="auto"/>
          <w:spacing w:val="0"/>
          <w:sz w:val="32"/>
          <w:szCs w:val="32"/>
          <w:shd w:val="clear" w:color="auto" w:fill="FFFFFF"/>
          <w:lang w:val="en-US" w:eastAsia="zh-CN"/>
        </w:rPr>
        <w:t>还需提质</w:t>
      </w:r>
      <w:r>
        <w:rPr>
          <w:rFonts w:hint="eastAsia" w:ascii="楷体_GB2312" w:hAnsi="楷体_GB2312" w:eastAsia="楷体_GB2312" w:cs="Times New Roman"/>
          <w:b w:val="0"/>
          <w:bCs w:val="0"/>
          <w:i w:val="0"/>
          <w:iCs w:val="0"/>
          <w:caps w:val="0"/>
          <w:color w:val="auto"/>
          <w:spacing w:val="0"/>
          <w:sz w:val="32"/>
          <w:szCs w:val="32"/>
          <w:shd w:val="clear" w:color="auto" w:fill="FFFFFF"/>
          <w:lang w:eastAsia="zh-CN"/>
        </w:rPr>
        <w:t>。</w:t>
      </w:r>
      <w:r>
        <w:rPr>
          <w:rFonts w:hint="eastAsia" w:ascii="仿宋_GB2312" w:hAnsi="仿宋_GB2312" w:eastAsia="仿宋_GB2312" w:cs="Times New Roman"/>
          <w:b w:val="0"/>
          <w:bCs w:val="0"/>
          <w:color w:val="auto"/>
          <w:sz w:val="32"/>
          <w:szCs w:val="32"/>
          <w:lang w:val="en-US" w:eastAsia="zh-CN"/>
        </w:rPr>
        <w:t>执法力量不足，</w:t>
      </w:r>
      <w:r>
        <w:rPr>
          <w:rFonts w:hint="eastAsia" w:ascii="方正仿宋_GB2312" w:hAnsi="方正仿宋_GB2312" w:eastAsia="方正仿宋_GB2312" w:cs="Times New Roman"/>
          <w:b w:val="0"/>
          <w:bCs w:val="0"/>
          <w:color w:val="auto"/>
          <w:sz w:val="32"/>
          <w:szCs w:val="32"/>
          <w:lang w:val="en-US" w:eastAsia="zh-CN"/>
        </w:rPr>
        <w:t>我局实际执法人员仅4名，整体年龄偏大，还需兼任其他工作；</w:t>
      </w:r>
      <w:r>
        <w:rPr>
          <w:rFonts w:hint="eastAsia" w:ascii="仿宋_GB2312" w:hAnsi="仿宋_GB2312" w:eastAsia="仿宋_GB2312" w:cs="Times New Roman"/>
          <w:b w:val="0"/>
          <w:bCs w:val="0"/>
          <w:color w:val="auto"/>
          <w:sz w:val="32"/>
          <w:szCs w:val="32"/>
          <w:lang w:val="en-US" w:eastAsia="zh-CN"/>
        </w:rPr>
        <w:t>执法设备不足，</w:t>
      </w:r>
      <w:r>
        <w:rPr>
          <w:rFonts w:hint="eastAsia" w:ascii="方正仿宋_GB2312" w:hAnsi="方正仿宋_GB2312" w:eastAsia="方正仿宋_GB2312" w:cs="Times New Roman"/>
          <w:b w:val="0"/>
          <w:bCs w:val="0"/>
          <w:color w:val="auto"/>
          <w:sz w:val="32"/>
          <w:szCs w:val="32"/>
          <w:lang w:val="en-US" w:eastAsia="zh-CN"/>
        </w:rPr>
        <w:t>缺少执法仪、可燃气体便携式检测仪、长焦照相机等装备。</w:t>
      </w:r>
    </w:p>
    <w:p w14:paraId="696182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Times New Roman"/>
          <w:color w:val="auto"/>
          <w:kern w:val="2"/>
          <w:sz w:val="32"/>
          <w:szCs w:val="32"/>
          <w:lang w:val="en-US" w:eastAsia="zh-CN" w:bidi="ar-SA"/>
        </w:rPr>
      </w:pPr>
      <w:r>
        <w:rPr>
          <w:rFonts w:hint="eastAsia" w:ascii="楷体_GB2312" w:hAnsi="楷体_GB2312" w:eastAsia="楷体_GB2312" w:cs="Times New Roman"/>
          <w:b w:val="0"/>
          <w:bCs w:val="0"/>
          <w:i w:val="0"/>
          <w:iCs w:val="0"/>
          <w:caps w:val="0"/>
          <w:color w:val="auto"/>
          <w:spacing w:val="0"/>
          <w:sz w:val="32"/>
          <w:szCs w:val="32"/>
          <w:shd w:val="clear" w:color="auto" w:fill="FFFFFF"/>
          <w:lang w:eastAsia="zh-CN"/>
        </w:rPr>
        <w:t>（</w:t>
      </w:r>
      <w:r>
        <w:rPr>
          <w:rFonts w:hint="eastAsia" w:ascii="楷体_GB2312" w:hAnsi="楷体_GB2312" w:eastAsia="楷体_GB2312" w:cs="Times New Roman"/>
          <w:b w:val="0"/>
          <w:bCs w:val="0"/>
          <w:i w:val="0"/>
          <w:iCs w:val="0"/>
          <w:caps w:val="0"/>
          <w:color w:val="auto"/>
          <w:spacing w:val="0"/>
          <w:sz w:val="32"/>
          <w:szCs w:val="32"/>
          <w:shd w:val="clear" w:color="auto" w:fill="FFFFFF"/>
          <w:lang w:val="en-US" w:eastAsia="zh-CN"/>
        </w:rPr>
        <w:t>二</w:t>
      </w:r>
      <w:r>
        <w:rPr>
          <w:rFonts w:hint="eastAsia" w:ascii="楷体_GB2312" w:hAnsi="楷体_GB2312" w:eastAsia="楷体_GB2312" w:cs="Times New Roman"/>
          <w:b w:val="0"/>
          <w:bCs w:val="0"/>
          <w:i w:val="0"/>
          <w:iCs w:val="0"/>
          <w:caps w:val="0"/>
          <w:color w:val="auto"/>
          <w:spacing w:val="0"/>
          <w:sz w:val="32"/>
          <w:szCs w:val="32"/>
          <w:shd w:val="clear" w:color="auto" w:fill="FFFFFF"/>
          <w:lang w:eastAsia="zh-CN"/>
        </w:rPr>
        <w:t>）</w:t>
      </w:r>
      <w:r>
        <w:rPr>
          <w:rFonts w:hint="eastAsia" w:ascii="楷体_GB2312" w:hAnsi="楷体_GB2312" w:eastAsia="楷体_GB2312" w:cs="Times New Roman"/>
          <w:b w:val="0"/>
          <w:bCs w:val="0"/>
          <w:i w:val="0"/>
          <w:iCs w:val="0"/>
          <w:caps w:val="0"/>
          <w:color w:val="auto"/>
          <w:spacing w:val="0"/>
          <w:sz w:val="32"/>
          <w:szCs w:val="32"/>
          <w:shd w:val="clear" w:color="auto" w:fill="FFFFFF"/>
        </w:rPr>
        <w:t>部门</w:t>
      </w:r>
      <w:r>
        <w:rPr>
          <w:rFonts w:hint="eastAsia" w:ascii="楷体_GB2312" w:hAnsi="楷体_GB2312" w:eastAsia="楷体_GB2312" w:cs="Times New Roman"/>
          <w:b w:val="0"/>
          <w:bCs w:val="0"/>
          <w:i w:val="0"/>
          <w:iCs w:val="0"/>
          <w:caps w:val="0"/>
          <w:color w:val="auto"/>
          <w:spacing w:val="0"/>
          <w:sz w:val="32"/>
          <w:szCs w:val="32"/>
          <w:shd w:val="clear" w:color="auto" w:fill="FFFFFF"/>
          <w:lang w:val="en-US" w:eastAsia="zh-CN"/>
        </w:rPr>
        <w:t>单位</w:t>
      </w:r>
      <w:r>
        <w:rPr>
          <w:rFonts w:hint="eastAsia" w:ascii="楷体_GB2312" w:hAnsi="楷体_GB2312" w:eastAsia="楷体_GB2312" w:cs="Times New Roman"/>
          <w:b w:val="0"/>
          <w:bCs w:val="0"/>
          <w:i w:val="0"/>
          <w:iCs w:val="0"/>
          <w:caps w:val="0"/>
          <w:color w:val="auto"/>
          <w:spacing w:val="0"/>
          <w:sz w:val="32"/>
          <w:szCs w:val="32"/>
          <w:shd w:val="clear" w:color="auto" w:fill="FFFFFF"/>
        </w:rPr>
        <w:t>联动</w:t>
      </w:r>
      <w:r>
        <w:rPr>
          <w:rFonts w:hint="eastAsia" w:ascii="楷体_GB2312" w:hAnsi="楷体_GB2312" w:eastAsia="楷体_GB2312" w:cs="Times New Roman"/>
          <w:b w:val="0"/>
          <w:bCs w:val="0"/>
          <w:i w:val="0"/>
          <w:iCs w:val="0"/>
          <w:caps w:val="0"/>
          <w:color w:val="auto"/>
          <w:spacing w:val="0"/>
          <w:sz w:val="32"/>
          <w:szCs w:val="32"/>
          <w:shd w:val="clear" w:color="auto" w:fill="FFFFFF"/>
          <w:lang w:val="en-US" w:eastAsia="zh-CN"/>
        </w:rPr>
        <w:t>协作</w:t>
      </w:r>
      <w:r>
        <w:rPr>
          <w:rFonts w:hint="eastAsia" w:ascii="楷体_GB2312" w:hAnsi="楷体_GB2312" w:eastAsia="楷体_GB2312" w:cs="Times New Roman"/>
          <w:b w:val="0"/>
          <w:bCs w:val="0"/>
          <w:i w:val="0"/>
          <w:iCs w:val="0"/>
          <w:caps w:val="0"/>
          <w:color w:val="auto"/>
          <w:spacing w:val="0"/>
          <w:sz w:val="32"/>
          <w:szCs w:val="32"/>
          <w:shd w:val="clear" w:color="auto" w:fill="FFFFFF"/>
        </w:rPr>
        <w:t>还需加强</w:t>
      </w:r>
      <w:r>
        <w:rPr>
          <w:rFonts w:hint="eastAsia" w:ascii="楷体_GB2312" w:hAnsi="楷体_GB2312" w:eastAsia="楷体_GB2312" w:cs="Times New Roman"/>
          <w:b w:val="0"/>
          <w:bCs w:val="0"/>
          <w:i w:val="0"/>
          <w:iCs w:val="0"/>
          <w:caps w:val="0"/>
          <w:color w:val="auto"/>
          <w:spacing w:val="0"/>
          <w:sz w:val="32"/>
          <w:szCs w:val="32"/>
          <w:shd w:val="clear" w:color="auto" w:fill="FFFFFF"/>
          <w:lang w:eastAsia="zh-CN"/>
        </w:rPr>
        <w:t>。</w:t>
      </w:r>
      <w:r>
        <w:rPr>
          <w:rFonts w:hint="eastAsia" w:ascii="仿宋_GB2312" w:hAnsi="仿宋_GB2312" w:eastAsia="仿宋_GB2312" w:cs="Times New Roman"/>
          <w:b w:val="0"/>
          <w:bCs w:val="0"/>
          <w:i w:val="0"/>
          <w:iCs w:val="0"/>
          <w:caps w:val="0"/>
          <w:color w:val="auto"/>
          <w:spacing w:val="0"/>
          <w:sz w:val="32"/>
          <w:szCs w:val="32"/>
          <w:shd w:val="clear" w:color="auto" w:fill="FFFFFF"/>
          <w:lang w:val="en-US" w:eastAsia="zh-CN"/>
        </w:rPr>
        <w:t>全区各单位</w:t>
      </w:r>
      <w:r>
        <w:rPr>
          <w:rFonts w:hint="eastAsia" w:ascii="仿宋_GB2312" w:hAnsi="仿宋_GB2312" w:eastAsia="仿宋_GB2312" w:cs="Times New Roman"/>
          <w:color w:val="auto"/>
          <w:kern w:val="2"/>
          <w:sz w:val="32"/>
          <w:szCs w:val="32"/>
          <w:lang w:val="en-US" w:eastAsia="zh-CN" w:bidi="ar-SA"/>
        </w:rPr>
        <w:t>部门之间的信息共享、沟通协调还不够顺畅，开展安全生产联合执法检查的频率不高，多头执法、多头检查的现象依然存在。</w:t>
      </w:r>
    </w:p>
    <w:p w14:paraId="692A41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楷体_GB2312" w:hAnsi="楷体_GB2312" w:eastAsia="楷体_GB2312" w:cs="Times New Roman"/>
          <w:b w:val="0"/>
          <w:bCs w:val="0"/>
          <w:i w:val="0"/>
          <w:iCs w:val="0"/>
          <w:caps w:val="0"/>
          <w:color w:val="auto"/>
          <w:spacing w:val="0"/>
          <w:sz w:val="32"/>
          <w:szCs w:val="32"/>
        </w:rPr>
      </w:pPr>
      <w:r>
        <w:rPr>
          <w:rFonts w:hint="eastAsia" w:ascii="楷体_GB2312" w:hAnsi="楷体_GB2312" w:eastAsia="楷体_GB2312" w:cs="Times New Roman"/>
          <w:b w:val="0"/>
          <w:bCs w:val="0"/>
          <w:i w:val="0"/>
          <w:iCs w:val="0"/>
          <w:caps w:val="0"/>
          <w:color w:val="auto"/>
          <w:spacing w:val="0"/>
          <w:sz w:val="32"/>
          <w:szCs w:val="32"/>
          <w:shd w:val="clear" w:color="auto" w:fill="FFFFFF"/>
          <w:lang w:eastAsia="zh-CN"/>
        </w:rPr>
        <w:t>（</w:t>
      </w:r>
      <w:r>
        <w:rPr>
          <w:rFonts w:hint="eastAsia" w:ascii="楷体_GB2312" w:hAnsi="楷体_GB2312" w:eastAsia="楷体_GB2312" w:cs="Times New Roman"/>
          <w:b w:val="0"/>
          <w:bCs w:val="0"/>
          <w:i w:val="0"/>
          <w:iCs w:val="0"/>
          <w:caps w:val="0"/>
          <w:color w:val="auto"/>
          <w:spacing w:val="0"/>
          <w:sz w:val="32"/>
          <w:szCs w:val="32"/>
          <w:shd w:val="clear" w:color="auto" w:fill="FFFFFF"/>
          <w:lang w:val="en-US" w:eastAsia="zh-CN"/>
        </w:rPr>
        <w:t>三</w:t>
      </w:r>
      <w:r>
        <w:rPr>
          <w:rFonts w:hint="eastAsia" w:ascii="楷体_GB2312" w:hAnsi="楷体_GB2312" w:eastAsia="楷体_GB2312" w:cs="Times New Roman"/>
          <w:b w:val="0"/>
          <w:bCs w:val="0"/>
          <w:i w:val="0"/>
          <w:iCs w:val="0"/>
          <w:caps w:val="0"/>
          <w:color w:val="auto"/>
          <w:spacing w:val="0"/>
          <w:sz w:val="32"/>
          <w:szCs w:val="32"/>
          <w:shd w:val="clear" w:color="auto" w:fill="FFFFFF"/>
          <w:lang w:eastAsia="zh-CN"/>
        </w:rPr>
        <w:t>）</w:t>
      </w:r>
      <w:r>
        <w:rPr>
          <w:rFonts w:hint="eastAsia" w:ascii="楷体_GB2312" w:hAnsi="楷体_GB2312" w:eastAsia="楷体_GB2312" w:cs="Times New Roman"/>
          <w:b w:val="0"/>
          <w:bCs w:val="0"/>
          <w:i w:val="0"/>
          <w:iCs w:val="0"/>
          <w:caps w:val="0"/>
          <w:color w:val="auto"/>
          <w:spacing w:val="0"/>
          <w:sz w:val="32"/>
          <w:szCs w:val="32"/>
          <w:shd w:val="clear" w:color="auto" w:fill="FFFFFF"/>
        </w:rPr>
        <w:t>基层应急管理能力还需完善</w:t>
      </w:r>
      <w:r>
        <w:rPr>
          <w:rFonts w:hint="eastAsia" w:ascii="楷体_GB2312" w:hAnsi="楷体_GB2312" w:eastAsia="楷体_GB2312" w:cs="Times New Roman"/>
          <w:b w:val="0"/>
          <w:bCs w:val="0"/>
          <w:i w:val="0"/>
          <w:iCs w:val="0"/>
          <w:caps w:val="0"/>
          <w:color w:val="auto"/>
          <w:spacing w:val="0"/>
          <w:sz w:val="32"/>
          <w:szCs w:val="32"/>
          <w:shd w:val="clear" w:color="auto" w:fill="FFFFFF"/>
          <w:lang w:eastAsia="zh-CN"/>
        </w:rPr>
        <w:t>。</w:t>
      </w:r>
      <w:r>
        <w:rPr>
          <w:rFonts w:hint="eastAsia" w:ascii="仿宋_GB2312" w:hAnsi="仿宋_GB2312" w:eastAsia="仿宋_GB2312" w:cs="Times New Roman"/>
          <w:b w:val="0"/>
          <w:bCs w:val="0"/>
          <w:i w:val="0"/>
          <w:iCs w:val="0"/>
          <w:caps w:val="0"/>
          <w:color w:val="auto"/>
          <w:spacing w:val="0"/>
          <w:sz w:val="32"/>
          <w:szCs w:val="32"/>
          <w:shd w:val="clear" w:color="auto" w:fill="FFFFFF"/>
          <w:lang w:eastAsia="zh-CN"/>
        </w:rPr>
        <w:t>基层应急人员专业素养不齐、培训不足，物资储备与装备配置欠缺且分布不均，演练形式单一、频次</w:t>
      </w:r>
      <w:r>
        <w:rPr>
          <w:rFonts w:hint="eastAsia" w:ascii="仿宋_GB2312" w:hAnsi="仿宋_GB2312" w:eastAsia="仿宋_GB2312" w:cs="Times New Roman"/>
          <w:b w:val="0"/>
          <w:bCs w:val="0"/>
          <w:i w:val="0"/>
          <w:iCs w:val="0"/>
          <w:caps w:val="0"/>
          <w:color w:val="auto"/>
          <w:spacing w:val="0"/>
          <w:sz w:val="32"/>
          <w:szCs w:val="32"/>
          <w:shd w:val="clear" w:color="auto" w:fill="FFFFFF"/>
          <w:lang w:val="en-US" w:eastAsia="zh-CN"/>
        </w:rPr>
        <w:t>不多，</w:t>
      </w:r>
      <w:r>
        <w:rPr>
          <w:rFonts w:hint="eastAsia" w:ascii="仿宋_GB2312" w:hAnsi="仿宋_GB2312" w:eastAsia="仿宋_GB2312" w:cs="Times New Roman"/>
          <w:b w:val="0"/>
          <w:bCs w:val="0"/>
          <w:i w:val="0"/>
          <w:iCs w:val="0"/>
          <w:caps w:val="0"/>
          <w:color w:val="auto"/>
          <w:spacing w:val="0"/>
          <w:sz w:val="32"/>
          <w:szCs w:val="32"/>
          <w:shd w:val="clear" w:color="auto" w:fill="FFFFFF"/>
          <w:lang w:eastAsia="zh-CN"/>
        </w:rPr>
        <w:t>群众参与度不高</w:t>
      </w:r>
      <w:r>
        <w:rPr>
          <w:rFonts w:hint="eastAsia" w:ascii="仿宋_GB2312" w:hAnsi="仿宋_GB2312" w:eastAsia="仿宋_GB2312" w:cs="Times New Roman"/>
          <w:snapToGrid w:val="0"/>
          <w:color w:val="auto"/>
          <w:kern w:val="0"/>
          <w:sz w:val="32"/>
          <w:szCs w:val="32"/>
          <w:highlight w:val="none"/>
          <w:lang w:val="en-US" w:eastAsia="zh-CN" w:bidi="ar-SA"/>
        </w:rPr>
        <w:t>、接受程度较低。</w:t>
      </w:r>
    </w:p>
    <w:p w14:paraId="571D03FB">
      <w:pPr>
        <w:overflowPunct w:val="0"/>
        <w:autoSpaceDE w:val="0"/>
        <w:autoSpaceDN w:val="0"/>
        <w:spacing w:line="592" w:lineRule="exact"/>
        <w:ind w:firstLine="640" w:firstLineChars="200"/>
        <w:rPr>
          <w:rFonts w:hint="eastAsia" w:ascii="黑体" w:hAnsi="黑体" w:eastAsia="黑体" w:cs="仿宋_GB2312"/>
          <w:bCs/>
          <w:color w:val="auto"/>
          <w:sz w:val="32"/>
          <w:szCs w:val="32"/>
        </w:rPr>
      </w:pPr>
      <w:r>
        <w:rPr>
          <w:rFonts w:hint="eastAsia" w:ascii="黑体" w:hAnsi="黑体" w:eastAsia="黑体" w:cs="仿宋_GB2312"/>
          <w:bCs/>
          <w:color w:val="auto"/>
          <w:sz w:val="32"/>
          <w:szCs w:val="32"/>
        </w:rPr>
        <w:t>五、有关建议</w:t>
      </w:r>
    </w:p>
    <w:p w14:paraId="4CA29C1D">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both"/>
        <w:textAlignment w:val="auto"/>
        <w:rPr>
          <w:rFonts w:hint="eastAsia" w:ascii="仿宋_GB2312" w:hAnsi="仿宋_GB2312" w:eastAsia="仿宋_GB2312" w:cs="Times New Roman"/>
          <w:color w:val="auto"/>
          <w:kern w:val="2"/>
          <w:sz w:val="32"/>
          <w:szCs w:val="32"/>
          <w:lang w:val="en-US" w:eastAsia="zh-CN" w:bidi="ar-SA"/>
        </w:rPr>
      </w:pPr>
      <w:r>
        <w:rPr>
          <w:rFonts w:hint="eastAsia" w:ascii="楷体_GB2312" w:hAnsi="楷体_GB2312" w:eastAsia="楷体_GB2312" w:cs="Times New Roman"/>
          <w:b w:val="0"/>
          <w:bCs w:val="0"/>
          <w:color w:val="auto"/>
          <w:sz w:val="32"/>
          <w:szCs w:val="32"/>
          <w:lang w:val="en-US" w:eastAsia="zh-CN"/>
        </w:rPr>
        <w:t>全面筑牢安全生产底线。</w:t>
      </w:r>
      <w:r>
        <w:rPr>
          <w:rFonts w:hint="eastAsia" w:ascii="仿宋_GB2312" w:hAnsi="仿宋_GB2312" w:eastAsia="仿宋_GB2312" w:cs="Times New Roman"/>
          <w:b w:val="0"/>
          <w:bCs w:val="0"/>
          <w:color w:val="auto"/>
          <w:kern w:val="2"/>
          <w:sz w:val="32"/>
          <w:szCs w:val="32"/>
          <w:lang w:val="en-US" w:eastAsia="zh-CN" w:bidi="ar-SA"/>
        </w:rPr>
        <w:t>贯彻落实国务院安委会“十五条”硬措施，扎实推进安全生产治本攻坚三年行动和安全守底行动，全力以赴实现“三坚决两确保两争先”目标。进一步压实安全生产责任，牢固树立安全生产红线、底线思维，深入研判各季安全形势，严格落实各项安全防范措施，坚决遏制发生各类事故，特别是亡人事故；</w:t>
      </w:r>
      <w:r>
        <w:rPr>
          <w:rFonts w:hint="eastAsia" w:ascii="仿宋_GB2312" w:hAnsi="仿宋_GB2312" w:eastAsia="仿宋_GB2312" w:cs="Times New Roman"/>
          <w:b w:val="0"/>
          <w:bCs w:val="0"/>
          <w:color w:val="auto"/>
          <w:kern w:val="2"/>
          <w:sz w:val="32"/>
          <w:szCs w:val="32"/>
          <w:highlight w:val="none"/>
          <w:lang w:val="en-US" w:eastAsia="zh-CN" w:bidi="ar-SA"/>
        </w:rPr>
        <w:t>进一步抓实重大事故隐患排查整治，防范化解重大安全风险，紧盯交通运输、建筑施工、居民自建房、城镇燃气、危化品与烟花爆竹、消防等重点行业领域，</w:t>
      </w:r>
      <w:r>
        <w:rPr>
          <w:rFonts w:hint="eastAsia" w:ascii="仿宋_GB2312" w:hAnsi="仿宋_GB2312" w:eastAsia="仿宋_GB2312" w:cs="Times New Roman"/>
          <w:color w:val="auto"/>
          <w:kern w:val="2"/>
          <w:sz w:val="32"/>
          <w:szCs w:val="32"/>
          <w:highlight w:val="none"/>
          <w:lang w:val="en-US" w:eastAsia="zh-CN" w:bidi="ar-SA"/>
        </w:rPr>
        <w:t>做到隐患排查不留死角、问题整改不留空档；</w:t>
      </w:r>
      <w:r>
        <w:rPr>
          <w:rFonts w:hint="eastAsia" w:ascii="仿宋_GB2312" w:hAnsi="仿宋_GB2312" w:eastAsia="仿宋_GB2312" w:cs="Times New Roman"/>
          <w:color w:val="auto"/>
          <w:kern w:val="2"/>
          <w:sz w:val="32"/>
          <w:szCs w:val="32"/>
          <w:lang w:val="en-US" w:eastAsia="zh-CN" w:bidi="ar-SA"/>
        </w:rPr>
        <w:t>进一步抓好宣传培训，增强安全意识，常态化开展“安全生产五进”宣传活动，运用“应急广播”“微信网格群”、宣传车、宣传栏等方式，加大安全防范宣传力度。</w:t>
      </w:r>
    </w:p>
    <w:p w14:paraId="17AF6AE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_GB2312" w:hAnsi="仿宋_GB2312" w:eastAsia="仿宋_GB2312" w:cs="Times New Roman"/>
          <w:b w:val="0"/>
          <w:bCs w:val="0"/>
          <w:i w:val="0"/>
          <w:iCs w:val="0"/>
          <w:caps w:val="0"/>
          <w:color w:val="auto"/>
          <w:spacing w:val="0"/>
          <w:sz w:val="32"/>
          <w:szCs w:val="32"/>
          <w:shd w:val="clear" w:color="auto" w:fill="FFFFFF"/>
          <w:lang w:val="en-US" w:eastAsia="zh-CN"/>
        </w:rPr>
      </w:pPr>
      <w:r>
        <w:rPr>
          <w:rFonts w:hint="eastAsia" w:ascii="楷体_GB2312" w:hAnsi="楷体_GB2312" w:eastAsia="楷体_GB2312" w:cs="Times New Roman"/>
          <w:b w:val="0"/>
          <w:bCs w:val="0"/>
          <w:color w:val="auto"/>
          <w:sz w:val="32"/>
          <w:szCs w:val="32"/>
          <w:lang w:val="en-US" w:eastAsia="zh-CN"/>
        </w:rPr>
        <w:t>（二）全面防范自然灾害风险。</w:t>
      </w:r>
      <w:r>
        <w:rPr>
          <w:rFonts w:hint="eastAsia" w:ascii="仿宋_GB2312" w:hAnsi="仿宋_GB2312" w:eastAsia="仿宋_GB2312" w:cs="Times New Roman"/>
          <w:b w:val="0"/>
          <w:bCs w:val="0"/>
          <w:color w:val="auto"/>
          <w:sz w:val="32"/>
          <w:szCs w:val="32"/>
          <w:lang w:val="en-US" w:eastAsia="zh-CN"/>
        </w:rPr>
        <w:t>不断巩固提升防灾减灾能力，构筑自然灾害防治的坚强防线，为我区经济社会高质量发展保驾护航。强化自然灾害监测预警，根据中央、省、市自然灾害风险提示，迅速响应预警，及时向群众传达预警信息，提前做好各项防范准备，保障预警无死角；提升灾害风险隐患排查治理能力，组织专业技术力量，深入开展隐患排查，建立隐患台账，实行动态管理，逐步实现隐患治理闭环，严防隐患演变为灾害事故；推进防灾减灾宣传教育常态化，结合“防灾减灾日”“安全生产月”等活动，针对不同行业、不同人群，组织开展分众化、精准化的防灾减灾培训，切实增强全社会的防灾减灾意识与自救互救能力。</w:t>
      </w:r>
    </w:p>
    <w:p w14:paraId="3AE4361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Times New Roman"/>
          <w:b w:val="0"/>
          <w:bCs w:val="0"/>
          <w:color w:val="auto"/>
          <w:sz w:val="32"/>
          <w:szCs w:val="32"/>
          <w:lang w:val="en-US" w:eastAsia="zh-CN"/>
        </w:rPr>
      </w:pPr>
      <w:r>
        <w:rPr>
          <w:rFonts w:hint="eastAsia" w:ascii="楷体_GB2312" w:hAnsi="楷体_GB2312" w:eastAsia="楷体_GB2312" w:cs="Times New Roman"/>
          <w:b w:val="0"/>
          <w:bCs w:val="0"/>
          <w:i w:val="0"/>
          <w:iCs w:val="0"/>
          <w:caps w:val="0"/>
          <w:color w:val="auto"/>
          <w:spacing w:val="0"/>
          <w:sz w:val="32"/>
          <w:szCs w:val="32"/>
          <w:shd w:val="clear" w:color="auto" w:fill="FFFFFF"/>
          <w:lang w:val="en-US" w:eastAsia="zh-CN"/>
        </w:rPr>
        <w:t>（三）全面提升综合应急能力。</w:t>
      </w:r>
      <w:r>
        <w:rPr>
          <w:rFonts w:hint="eastAsia" w:ascii="仿宋_GB2312" w:hAnsi="仿宋_GB2312" w:eastAsia="仿宋_GB2312" w:cs="Times New Roman"/>
          <w:i w:val="0"/>
          <w:iCs w:val="0"/>
          <w:caps w:val="0"/>
          <w:color w:val="auto"/>
          <w:spacing w:val="0"/>
          <w:sz w:val="32"/>
          <w:szCs w:val="32"/>
          <w:shd w:val="clear" w:color="auto" w:fill="FFFFFF"/>
          <w:lang w:val="en-US" w:eastAsia="zh-CN"/>
        </w:rPr>
        <w:t>多措并举</w:t>
      </w:r>
      <w:r>
        <w:rPr>
          <w:rFonts w:hint="eastAsia" w:ascii="仿宋_GB2312" w:hAnsi="仿宋_GB2312" w:eastAsia="仿宋_GB2312" w:cs="Times New Roman"/>
          <w:i w:val="0"/>
          <w:iCs w:val="0"/>
          <w:caps w:val="0"/>
          <w:color w:val="auto"/>
          <w:spacing w:val="0"/>
          <w:sz w:val="32"/>
          <w:szCs w:val="32"/>
          <w:shd w:val="clear" w:color="auto" w:fill="FFFFFF"/>
        </w:rPr>
        <w:t>提升综合应急能力，筑牢应急管理坚固防线，确保在面对各类突发事件时，能够快速响应、科学处置，最大程度保障人民生命财产安全和社会稳定。持续优化应急预案体系，增强</w:t>
      </w:r>
      <w:r>
        <w:rPr>
          <w:rFonts w:hint="eastAsia" w:ascii="仿宋_GB2312" w:hAnsi="仿宋_GB2312" w:eastAsia="仿宋_GB2312" w:cs="Times New Roman"/>
          <w:i w:val="0"/>
          <w:iCs w:val="0"/>
          <w:caps w:val="0"/>
          <w:color w:val="auto"/>
          <w:spacing w:val="0"/>
          <w:sz w:val="32"/>
          <w:szCs w:val="32"/>
          <w:shd w:val="clear" w:color="auto" w:fill="FFFFFF"/>
          <w:lang w:val="en-US" w:eastAsia="zh-CN"/>
        </w:rPr>
        <w:t>预案的</w:t>
      </w:r>
      <w:r>
        <w:rPr>
          <w:rFonts w:hint="eastAsia" w:ascii="仿宋_GB2312" w:hAnsi="仿宋_GB2312" w:eastAsia="仿宋_GB2312" w:cs="Times New Roman"/>
          <w:i w:val="0"/>
          <w:iCs w:val="0"/>
          <w:caps w:val="0"/>
          <w:color w:val="auto"/>
          <w:spacing w:val="0"/>
          <w:sz w:val="32"/>
          <w:szCs w:val="32"/>
          <w:shd w:val="clear" w:color="auto" w:fill="FFFFFF"/>
        </w:rPr>
        <w:t>针对性与实用性</w:t>
      </w:r>
      <w:r>
        <w:rPr>
          <w:rFonts w:hint="eastAsia" w:ascii="仿宋_GB2312" w:hAnsi="仿宋_GB2312" w:eastAsia="仿宋_GB2312" w:cs="Times New Roman"/>
          <w:i w:val="0"/>
          <w:iCs w:val="0"/>
          <w:caps w:val="0"/>
          <w:color w:val="auto"/>
          <w:spacing w:val="0"/>
          <w:sz w:val="32"/>
          <w:szCs w:val="32"/>
          <w:shd w:val="clear" w:color="auto" w:fill="FFFFFF"/>
          <w:lang w:eastAsia="zh-CN"/>
        </w:rPr>
        <w:t>；</w:t>
      </w:r>
      <w:r>
        <w:rPr>
          <w:rFonts w:hint="eastAsia" w:ascii="仿宋_GB2312" w:hAnsi="仿宋_GB2312" w:eastAsia="仿宋_GB2312" w:cs="Times New Roman"/>
          <w:i w:val="0"/>
          <w:iCs w:val="0"/>
          <w:caps w:val="0"/>
          <w:color w:val="auto"/>
          <w:spacing w:val="0"/>
          <w:sz w:val="32"/>
          <w:szCs w:val="32"/>
          <w:shd w:val="clear" w:color="auto" w:fill="FFFFFF"/>
        </w:rPr>
        <w:t>强化部门协同联动，构建高效应急指挥体系，</w:t>
      </w:r>
      <w:r>
        <w:rPr>
          <w:rFonts w:hint="eastAsia" w:ascii="仿宋_GB2312" w:hAnsi="仿宋_GB2312" w:eastAsia="仿宋_GB2312" w:cs="Times New Roman"/>
          <w:i w:val="0"/>
          <w:iCs w:val="0"/>
          <w:caps w:val="0"/>
          <w:color w:val="auto"/>
          <w:spacing w:val="0"/>
          <w:sz w:val="32"/>
          <w:szCs w:val="32"/>
          <w:shd w:val="clear" w:color="auto" w:fill="FFFFFF"/>
          <w:lang w:val="en-US" w:eastAsia="zh-CN"/>
        </w:rPr>
        <w:t>优化应急资源统筹调配，</w:t>
      </w:r>
      <w:r>
        <w:rPr>
          <w:rFonts w:hint="eastAsia" w:ascii="仿宋_GB2312" w:hAnsi="仿宋_GB2312" w:eastAsia="仿宋_GB2312" w:cs="Times New Roman"/>
          <w:i w:val="0"/>
          <w:iCs w:val="0"/>
          <w:caps w:val="0"/>
          <w:color w:val="auto"/>
          <w:spacing w:val="0"/>
          <w:sz w:val="32"/>
          <w:szCs w:val="32"/>
          <w:shd w:val="clear" w:color="auto" w:fill="FFFFFF"/>
        </w:rPr>
        <w:t>常态化</w:t>
      </w:r>
      <w:r>
        <w:rPr>
          <w:rFonts w:hint="eastAsia" w:ascii="仿宋_GB2312" w:hAnsi="仿宋_GB2312" w:eastAsia="仿宋_GB2312" w:cs="Times New Roman"/>
          <w:i w:val="0"/>
          <w:iCs w:val="0"/>
          <w:caps w:val="0"/>
          <w:color w:val="auto"/>
          <w:spacing w:val="0"/>
          <w:sz w:val="32"/>
          <w:szCs w:val="32"/>
          <w:shd w:val="clear" w:color="auto" w:fill="FFFFFF"/>
          <w:lang w:val="en-US" w:eastAsia="zh-CN"/>
        </w:rPr>
        <w:t>组织</w:t>
      </w:r>
      <w:r>
        <w:rPr>
          <w:rFonts w:hint="eastAsia" w:ascii="仿宋_GB2312" w:hAnsi="仿宋_GB2312" w:eastAsia="仿宋_GB2312" w:cs="Times New Roman"/>
          <w:i w:val="0"/>
          <w:iCs w:val="0"/>
          <w:caps w:val="0"/>
          <w:color w:val="auto"/>
          <w:spacing w:val="0"/>
          <w:sz w:val="32"/>
          <w:szCs w:val="32"/>
          <w:shd w:val="clear" w:color="auto" w:fill="FFFFFF"/>
        </w:rPr>
        <w:t>联合培训与实战演练</w:t>
      </w:r>
      <w:r>
        <w:rPr>
          <w:rFonts w:hint="eastAsia" w:ascii="仿宋_GB2312" w:hAnsi="仿宋_GB2312" w:eastAsia="仿宋_GB2312" w:cs="Times New Roman"/>
          <w:i w:val="0"/>
          <w:iCs w:val="0"/>
          <w:caps w:val="0"/>
          <w:color w:val="auto"/>
          <w:spacing w:val="0"/>
          <w:sz w:val="32"/>
          <w:szCs w:val="32"/>
          <w:shd w:val="clear" w:color="auto" w:fill="FFFFFF"/>
          <w:lang w:eastAsia="zh-CN"/>
        </w:rPr>
        <w:t>；</w:t>
      </w:r>
      <w:r>
        <w:rPr>
          <w:rFonts w:hint="eastAsia" w:ascii="仿宋_GB2312" w:hAnsi="仿宋_GB2312" w:eastAsia="仿宋_GB2312" w:cs="Times New Roman"/>
          <w:i w:val="0"/>
          <w:iCs w:val="0"/>
          <w:caps w:val="0"/>
          <w:color w:val="auto"/>
          <w:spacing w:val="0"/>
          <w:sz w:val="32"/>
          <w:szCs w:val="32"/>
          <w:shd w:val="clear" w:color="auto" w:fill="FFFFFF"/>
        </w:rPr>
        <w:t>加大基层应急建设投入，</w:t>
      </w:r>
      <w:r>
        <w:rPr>
          <w:rFonts w:hint="eastAsia" w:ascii="仿宋_GB2312" w:hAnsi="仿宋_GB2312" w:eastAsia="仿宋_GB2312" w:cs="Times New Roman"/>
          <w:i w:val="0"/>
          <w:iCs w:val="0"/>
          <w:caps w:val="0"/>
          <w:color w:val="auto"/>
          <w:spacing w:val="0"/>
          <w:sz w:val="32"/>
          <w:szCs w:val="32"/>
          <w:shd w:val="clear" w:color="auto" w:fill="FFFFFF"/>
          <w:lang w:val="en-US" w:eastAsia="zh-CN"/>
        </w:rPr>
        <w:t>优化应急救援技术力量</w:t>
      </w:r>
      <w:r>
        <w:rPr>
          <w:rFonts w:hint="eastAsia" w:ascii="仿宋_GB2312" w:hAnsi="仿宋_GB2312" w:eastAsia="仿宋_GB2312" w:cs="Times New Roman"/>
          <w:i w:val="0"/>
          <w:iCs w:val="0"/>
          <w:caps w:val="0"/>
          <w:color w:val="auto"/>
          <w:spacing w:val="0"/>
          <w:sz w:val="32"/>
          <w:szCs w:val="32"/>
          <w:shd w:val="clear" w:color="auto" w:fill="FFFFFF"/>
        </w:rPr>
        <w:t>，</w:t>
      </w:r>
      <w:r>
        <w:rPr>
          <w:rFonts w:hint="eastAsia" w:ascii="仿宋_GB2312" w:hAnsi="仿宋_GB2312" w:eastAsia="仿宋_GB2312" w:cs="Times New Roman"/>
          <w:i w:val="0"/>
          <w:iCs w:val="0"/>
          <w:caps w:val="0"/>
          <w:color w:val="auto"/>
          <w:spacing w:val="0"/>
          <w:sz w:val="32"/>
          <w:szCs w:val="32"/>
          <w:shd w:val="clear" w:color="auto" w:fill="FFFFFF"/>
          <w:lang w:val="en-US" w:eastAsia="zh-CN"/>
        </w:rPr>
        <w:t>盘底补充储备物资</w:t>
      </w:r>
      <w:r>
        <w:rPr>
          <w:rFonts w:hint="eastAsia" w:ascii="仿宋_GB2312" w:hAnsi="仿宋_GB2312" w:eastAsia="仿宋_GB2312" w:cs="Times New Roman"/>
          <w:i w:val="0"/>
          <w:iCs w:val="0"/>
          <w:caps w:val="0"/>
          <w:color w:val="auto"/>
          <w:spacing w:val="0"/>
          <w:sz w:val="32"/>
          <w:szCs w:val="32"/>
          <w:shd w:val="clear" w:color="auto" w:fill="FFFFFF"/>
        </w:rPr>
        <w:t>，</w:t>
      </w:r>
      <w:r>
        <w:rPr>
          <w:rFonts w:hint="eastAsia" w:ascii="仿宋_GB2312" w:hAnsi="仿宋_GB2312" w:eastAsia="仿宋_GB2312" w:cs="Times New Roman"/>
          <w:i w:val="0"/>
          <w:iCs w:val="0"/>
          <w:caps w:val="0"/>
          <w:color w:val="auto"/>
          <w:spacing w:val="0"/>
          <w:sz w:val="32"/>
          <w:szCs w:val="32"/>
          <w:shd w:val="clear" w:color="auto" w:fill="FFFFFF"/>
          <w:lang w:val="en-US" w:eastAsia="zh-CN"/>
        </w:rPr>
        <w:t>强化</w:t>
      </w:r>
      <w:r>
        <w:rPr>
          <w:rFonts w:hint="eastAsia" w:ascii="仿宋_GB2312" w:hAnsi="仿宋_GB2312" w:eastAsia="仿宋_GB2312" w:cs="Times New Roman"/>
          <w:b w:val="0"/>
          <w:bCs w:val="0"/>
          <w:color w:val="auto"/>
          <w:sz w:val="32"/>
          <w:szCs w:val="32"/>
          <w:lang w:val="en-US" w:eastAsia="zh-CN"/>
        </w:rPr>
        <w:t>物资储备管理，不断提升应急物资保障能力。</w:t>
      </w:r>
    </w:p>
    <w:p w14:paraId="55352420">
      <w:pPr>
        <w:pStyle w:val="2"/>
        <w:rPr>
          <w:rFonts w:hint="eastAsia" w:ascii="仿宋_GB2312" w:hAnsi="仿宋_GB2312" w:eastAsia="仿宋_GB2312" w:cs="Times New Roman"/>
          <w:b w:val="0"/>
          <w:bCs w:val="0"/>
          <w:color w:val="auto"/>
          <w:sz w:val="32"/>
          <w:szCs w:val="32"/>
          <w:lang w:val="en-US" w:eastAsia="zh-CN"/>
        </w:rPr>
      </w:pPr>
    </w:p>
    <w:p w14:paraId="10292119">
      <w:pPr>
        <w:rPr>
          <w:rFonts w:hint="eastAsia" w:ascii="仿宋_GB2312" w:hAnsi="仿宋_GB2312" w:eastAsia="仿宋_GB2312" w:cs="Times New Roman"/>
          <w:b w:val="0"/>
          <w:bCs w:val="0"/>
          <w:color w:val="auto"/>
          <w:sz w:val="32"/>
          <w:szCs w:val="32"/>
          <w:lang w:val="en-US" w:eastAsia="zh-CN"/>
        </w:rPr>
      </w:pPr>
    </w:p>
    <w:p w14:paraId="684B63AF">
      <w:pPr>
        <w:pStyle w:val="2"/>
        <w:rPr>
          <w:rFonts w:hint="eastAsia" w:ascii="仿宋_GB2312" w:hAnsi="仿宋_GB2312" w:eastAsia="仿宋_GB2312" w:cs="Times New Roman"/>
          <w:b w:val="0"/>
          <w:bCs w:val="0"/>
          <w:color w:val="auto"/>
          <w:sz w:val="32"/>
          <w:szCs w:val="32"/>
          <w:lang w:val="en-US" w:eastAsia="zh-CN"/>
        </w:rPr>
      </w:pPr>
    </w:p>
    <w:p w14:paraId="6721A28A">
      <w:pPr>
        <w:rPr>
          <w:rFonts w:hint="eastAsia" w:ascii="仿宋_GB2312" w:hAnsi="仿宋_GB2312" w:eastAsia="仿宋_GB2312" w:cs="Times New Roman"/>
          <w:b w:val="0"/>
          <w:bCs w:val="0"/>
          <w:color w:val="auto"/>
          <w:sz w:val="32"/>
          <w:szCs w:val="32"/>
          <w:lang w:val="en-US" w:eastAsia="zh-CN"/>
        </w:rPr>
      </w:pPr>
    </w:p>
    <w:p w14:paraId="27FDDD78">
      <w:pPr>
        <w:pStyle w:val="2"/>
        <w:rPr>
          <w:rFonts w:hint="eastAsia"/>
          <w:lang w:val="en-US" w:eastAsia="zh-CN"/>
        </w:rPr>
      </w:pPr>
    </w:p>
    <w:p w14:paraId="5BC66E98">
      <w:pPr>
        <w:pStyle w:val="3"/>
        <w:keepNext w:val="0"/>
        <w:keepLines w:val="0"/>
        <w:pageBreakBefore w:val="0"/>
        <w:numPr>
          <w:ilvl w:val="0"/>
          <w:numId w:val="0"/>
        </w:numPr>
        <w:kinsoku/>
        <w:wordWrap/>
        <w:topLinePunct w:val="0"/>
        <w:bidi w:val="0"/>
        <w:adjustRightInd/>
        <w:snapToGrid/>
        <w:spacing w:line="360" w:lineRule="auto"/>
        <w:ind w:left="0" w:firstLine="640" w:firstLineChars="200"/>
        <w:jc w:val="center"/>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                        益阳市</w:t>
      </w:r>
      <w:r>
        <w:rPr>
          <w:rFonts w:hint="eastAsia" w:ascii="Times New Roman" w:hAnsi="Times New Roman" w:eastAsia="仿宋_GB2312" w:cs="Times New Roman"/>
          <w:color w:val="000000"/>
          <w:kern w:val="0"/>
          <w:sz w:val="32"/>
          <w:szCs w:val="32"/>
          <w:lang w:val="en" w:eastAsia="zh-CN" w:bidi="ar"/>
        </w:rPr>
        <w:t>大通湖区</w:t>
      </w:r>
      <w:r>
        <w:rPr>
          <w:rFonts w:hint="eastAsia" w:ascii="Times New Roman" w:hAnsi="Times New Roman" w:eastAsia="仿宋_GB2312" w:cs="Times New Roman"/>
          <w:color w:val="000000"/>
          <w:kern w:val="0"/>
          <w:sz w:val="32"/>
          <w:szCs w:val="32"/>
          <w:lang w:val="en-US" w:eastAsia="zh-CN" w:bidi="ar"/>
        </w:rPr>
        <w:t>应急管理局</w:t>
      </w:r>
    </w:p>
    <w:p w14:paraId="07D0F5CF">
      <w:pPr>
        <w:pStyle w:val="3"/>
        <w:keepNext w:val="0"/>
        <w:keepLines w:val="0"/>
        <w:pageBreakBefore w:val="0"/>
        <w:numPr>
          <w:ilvl w:val="0"/>
          <w:numId w:val="0"/>
        </w:numPr>
        <w:kinsoku/>
        <w:wordWrap/>
        <w:topLinePunct w:val="0"/>
        <w:bidi w:val="0"/>
        <w:adjustRightInd/>
        <w:snapToGrid/>
        <w:spacing w:line="360" w:lineRule="auto"/>
        <w:ind w:left="0" w:firstLine="640" w:firstLineChars="200"/>
        <w:jc w:val="center"/>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                         2025年9月25日</w:t>
      </w:r>
    </w:p>
    <w:p w14:paraId="4E007BDA">
      <w:pPr>
        <w:jc w:val="left"/>
        <w:rPr>
          <w:rFonts w:cs="黑体" w:asciiTheme="minorEastAsia" w:hAnsiTheme="minorEastAsia"/>
          <w:color w:val="000000"/>
          <w:kern w:val="0"/>
          <w:sz w:val="32"/>
          <w:szCs w:val="32"/>
        </w:rPr>
      </w:pPr>
    </w:p>
    <w:sectPr>
      <w:pgSz w:w="11906" w:h="16838"/>
      <w:pgMar w:top="1928" w:right="1531" w:bottom="1928" w:left="1531"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CD994D-B03B-4F31-A9BB-DB5EE61F16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592018-D44E-46BC-BA3B-734472151E99}"/>
  </w:font>
  <w:font w:name="楷体">
    <w:panose1 w:val="02010609060101010101"/>
    <w:charset w:val="86"/>
    <w:family w:val="auto"/>
    <w:pitch w:val="default"/>
    <w:sig w:usb0="800002BF" w:usb1="38CF7CFA" w:usb2="00000016" w:usb3="00000000" w:csb0="00040001" w:csb1="00000000"/>
    <w:embedRegular r:id="rId3" w:fontKey="{89F08697-415B-4C6A-A010-C370536E2AC8}"/>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42926E3A-F31D-4798-A61C-725F7D247E64}"/>
  </w:font>
  <w:font w:name="仿宋">
    <w:panose1 w:val="02010609060101010101"/>
    <w:charset w:val="86"/>
    <w:family w:val="auto"/>
    <w:pitch w:val="default"/>
    <w:sig w:usb0="800002BF" w:usb1="38CF7CFA" w:usb2="00000016" w:usb3="00000000" w:csb0="00040001" w:csb1="00000000"/>
    <w:embedRegular r:id="rId5" w:fontKey="{82632B01-FDA4-4624-AC56-9F80BE4269C3}"/>
  </w:font>
  <w:font w:name="方正小标宋_GBK">
    <w:altName w:val="微软雅黑"/>
    <w:panose1 w:val="03000509000000000000"/>
    <w:charset w:val="86"/>
    <w:family w:val="script"/>
    <w:pitch w:val="default"/>
    <w:sig w:usb0="00000000" w:usb1="00000000" w:usb2="00000000" w:usb3="00000000" w:csb0="00040000" w:csb1="00000000"/>
    <w:embedRegular r:id="rId6" w:fontKey="{372FA691-C519-4C98-992C-811F5125FB05}"/>
  </w:font>
  <w:font w:name="华文中宋">
    <w:panose1 w:val="02010600040101010101"/>
    <w:charset w:val="86"/>
    <w:family w:val="auto"/>
    <w:pitch w:val="default"/>
    <w:sig w:usb0="00000287" w:usb1="080F0000" w:usb2="00000000" w:usb3="00000000" w:csb0="0004009F" w:csb1="DFD70000"/>
    <w:embedRegular r:id="rId7" w:fontKey="{CC3D2FD2-2499-4074-8332-859C4B1AC5C9}"/>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8" w:fontKey="{BAAEBEBE-C3C3-451B-B750-C0DEDCB0B96D}"/>
  </w:font>
  <w:font w:name="微软雅黑 Light">
    <w:panose1 w:val="020B0502040204020203"/>
    <w:charset w:val="86"/>
    <w:family w:val="auto"/>
    <w:pitch w:val="default"/>
    <w:sig w:usb0="80000287" w:usb1="2ACF0010" w:usb2="00000016" w:usb3="00000000" w:csb0="0004001F" w:csb1="00000000"/>
    <w:embedRegular r:id="rId9" w:fontKey="{ADD3A5D8-DDB9-4CCB-8A44-402242FBDD52}"/>
  </w:font>
  <w:font w:name="方正仿宋_GB2312">
    <w:altName w:val="仿宋"/>
    <w:panose1 w:val="02000000000000000000"/>
    <w:charset w:val="86"/>
    <w:family w:val="auto"/>
    <w:pitch w:val="default"/>
    <w:sig w:usb0="00000000" w:usb1="00000000" w:usb2="00000012" w:usb3="00000000" w:csb0="00040001" w:csb1="00000000"/>
    <w:embedRegular r:id="rId10" w:fontKey="{EDC8BC57-CFEC-4A94-89FE-B8891C21E962}"/>
  </w:font>
  <w:font w:name="KSOF8080F95D">
    <w:panose1 w:val="020B0503020204020204"/>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D3A9E"/>
    <w:multiLevelType w:val="singleLevel"/>
    <w:tmpl w:val="D4DD3A9E"/>
    <w:lvl w:ilvl="0" w:tentative="0">
      <w:start w:val="1"/>
      <w:numFmt w:val="chineseCounting"/>
      <w:suff w:val="nothing"/>
      <w:lvlText w:val="（%1）"/>
      <w:lvlJc w:val="left"/>
      <w:rPr>
        <w:rFonts w:hint="eastAsia"/>
      </w:rPr>
    </w:lvl>
  </w:abstractNum>
  <w:abstractNum w:abstractNumId="1">
    <w:nsid w:val="1F839EF9"/>
    <w:multiLevelType w:val="singleLevel"/>
    <w:tmpl w:val="1F839EF9"/>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2">
    <w:nsid w:val="330AD544"/>
    <w:multiLevelType w:val="singleLevel"/>
    <w:tmpl w:val="330AD544"/>
    <w:lvl w:ilvl="0" w:tentative="0">
      <w:start w:val="1"/>
      <w:numFmt w:val="chineseCounting"/>
      <w:suff w:val="nothing"/>
      <w:lvlText w:val="（%1）"/>
      <w:lvlJc w:val="left"/>
      <w:rPr>
        <w:rFonts w:hint="eastAsia"/>
      </w:rPr>
    </w:lvl>
  </w:abstractNum>
  <w:abstractNum w:abstractNumId="3">
    <w:nsid w:val="53E4B4BA"/>
    <w:multiLevelType w:val="singleLevel"/>
    <w:tmpl w:val="53E4B4BA"/>
    <w:lvl w:ilvl="0" w:tentative="0">
      <w:start w:val="4"/>
      <w:numFmt w:val="chineseCounting"/>
      <w:suff w:val="nothing"/>
      <w:lvlText w:val="%1、"/>
      <w:lvlJc w:val="left"/>
      <w:rPr>
        <w:rFonts w:hint="eastAsia"/>
      </w:rPr>
    </w:lvl>
  </w:abstractNum>
  <w:abstractNum w:abstractNumId="4">
    <w:nsid w:val="71A1761F"/>
    <w:multiLevelType w:val="singleLevel"/>
    <w:tmpl w:val="71A1761F"/>
    <w:lvl w:ilvl="0" w:tentative="0">
      <w:start w:val="2"/>
      <w:numFmt w:val="decimal"/>
      <w:suff w:val="space"/>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OGYyMzZlMjU1M2Q2YzRhMzFkZmZlNmYwM2Jh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27E6B"/>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034CB"/>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23C4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01675"/>
    <w:rsid w:val="02054F52"/>
    <w:rsid w:val="02383A72"/>
    <w:rsid w:val="02AB358F"/>
    <w:rsid w:val="03773C2D"/>
    <w:rsid w:val="039842CF"/>
    <w:rsid w:val="03A05064"/>
    <w:rsid w:val="03A34A22"/>
    <w:rsid w:val="03FE4C3A"/>
    <w:rsid w:val="041B6CAE"/>
    <w:rsid w:val="051931EE"/>
    <w:rsid w:val="05886C0F"/>
    <w:rsid w:val="064C083B"/>
    <w:rsid w:val="06B01930"/>
    <w:rsid w:val="06CC603E"/>
    <w:rsid w:val="075C1AB8"/>
    <w:rsid w:val="07632E46"/>
    <w:rsid w:val="076F24AD"/>
    <w:rsid w:val="07795343"/>
    <w:rsid w:val="07D23B28"/>
    <w:rsid w:val="08296A04"/>
    <w:rsid w:val="0865674A"/>
    <w:rsid w:val="08713341"/>
    <w:rsid w:val="09265ED9"/>
    <w:rsid w:val="09480D5F"/>
    <w:rsid w:val="099B68C7"/>
    <w:rsid w:val="09AF2373"/>
    <w:rsid w:val="0A0C44C5"/>
    <w:rsid w:val="0BE333E9"/>
    <w:rsid w:val="0C2C2EF8"/>
    <w:rsid w:val="0D54653C"/>
    <w:rsid w:val="0DAA3566"/>
    <w:rsid w:val="0DBF4B4E"/>
    <w:rsid w:val="0DC43F13"/>
    <w:rsid w:val="0DE85E53"/>
    <w:rsid w:val="0E7B2823"/>
    <w:rsid w:val="0ED62150"/>
    <w:rsid w:val="0F5F3EF3"/>
    <w:rsid w:val="0F666785"/>
    <w:rsid w:val="0F7109E2"/>
    <w:rsid w:val="0F841BAC"/>
    <w:rsid w:val="0FB104C7"/>
    <w:rsid w:val="104F540B"/>
    <w:rsid w:val="10646594"/>
    <w:rsid w:val="10F32F94"/>
    <w:rsid w:val="11B74C4C"/>
    <w:rsid w:val="12307DC9"/>
    <w:rsid w:val="12E67BA2"/>
    <w:rsid w:val="13234ACE"/>
    <w:rsid w:val="13405DEA"/>
    <w:rsid w:val="13815B74"/>
    <w:rsid w:val="13ED78C4"/>
    <w:rsid w:val="13FD017F"/>
    <w:rsid w:val="142B4605"/>
    <w:rsid w:val="1475216E"/>
    <w:rsid w:val="14977C8B"/>
    <w:rsid w:val="14A470BD"/>
    <w:rsid w:val="14D93EB5"/>
    <w:rsid w:val="15835041"/>
    <w:rsid w:val="158C5316"/>
    <w:rsid w:val="161D15C5"/>
    <w:rsid w:val="163C4F8E"/>
    <w:rsid w:val="16B33BA3"/>
    <w:rsid w:val="17923020"/>
    <w:rsid w:val="17FD5DDC"/>
    <w:rsid w:val="18504D21"/>
    <w:rsid w:val="186474C4"/>
    <w:rsid w:val="188E5849"/>
    <w:rsid w:val="189F0476"/>
    <w:rsid w:val="18AD3F21"/>
    <w:rsid w:val="19577A05"/>
    <w:rsid w:val="19B66E06"/>
    <w:rsid w:val="1A147FD0"/>
    <w:rsid w:val="1A202551"/>
    <w:rsid w:val="1A46462D"/>
    <w:rsid w:val="1A8C4ED3"/>
    <w:rsid w:val="1B431E94"/>
    <w:rsid w:val="1B4D73EC"/>
    <w:rsid w:val="1B544B28"/>
    <w:rsid w:val="1CCC4B92"/>
    <w:rsid w:val="1D97DEFF"/>
    <w:rsid w:val="1DAA586E"/>
    <w:rsid w:val="1DFF72E5"/>
    <w:rsid w:val="1EFC6F07"/>
    <w:rsid w:val="1F1A3993"/>
    <w:rsid w:val="1F4924CA"/>
    <w:rsid w:val="1FED2FD3"/>
    <w:rsid w:val="20060634"/>
    <w:rsid w:val="201C198C"/>
    <w:rsid w:val="20E368C8"/>
    <w:rsid w:val="21350F58"/>
    <w:rsid w:val="21B56DFE"/>
    <w:rsid w:val="21B93937"/>
    <w:rsid w:val="21C2179D"/>
    <w:rsid w:val="2249286A"/>
    <w:rsid w:val="22BB704A"/>
    <w:rsid w:val="235A4DD4"/>
    <w:rsid w:val="236C6787"/>
    <w:rsid w:val="242D23BA"/>
    <w:rsid w:val="24DE1906"/>
    <w:rsid w:val="24E80611"/>
    <w:rsid w:val="252D1955"/>
    <w:rsid w:val="25457290"/>
    <w:rsid w:val="257847FC"/>
    <w:rsid w:val="25C54C0D"/>
    <w:rsid w:val="25DD396C"/>
    <w:rsid w:val="2642366F"/>
    <w:rsid w:val="26EA3A7A"/>
    <w:rsid w:val="27035654"/>
    <w:rsid w:val="275A34C6"/>
    <w:rsid w:val="27E514A2"/>
    <w:rsid w:val="28C64B8B"/>
    <w:rsid w:val="28C7498F"/>
    <w:rsid w:val="28F96D0F"/>
    <w:rsid w:val="2927387C"/>
    <w:rsid w:val="29A924E3"/>
    <w:rsid w:val="29AF561F"/>
    <w:rsid w:val="29D05CC2"/>
    <w:rsid w:val="29F251A1"/>
    <w:rsid w:val="2A3744FF"/>
    <w:rsid w:val="2AAF0F5C"/>
    <w:rsid w:val="2B2C33CC"/>
    <w:rsid w:val="2BA47406"/>
    <w:rsid w:val="2CB21253"/>
    <w:rsid w:val="2D680378"/>
    <w:rsid w:val="2E734E6D"/>
    <w:rsid w:val="2E913546"/>
    <w:rsid w:val="2EB55486"/>
    <w:rsid w:val="2F592A6B"/>
    <w:rsid w:val="2F880DEC"/>
    <w:rsid w:val="2FAA1E44"/>
    <w:rsid w:val="2FDF85B8"/>
    <w:rsid w:val="2FFFEE04"/>
    <w:rsid w:val="30B321FC"/>
    <w:rsid w:val="314174A5"/>
    <w:rsid w:val="323668DE"/>
    <w:rsid w:val="33093FF2"/>
    <w:rsid w:val="3310712F"/>
    <w:rsid w:val="33980436"/>
    <w:rsid w:val="344F1ED9"/>
    <w:rsid w:val="34BC77EC"/>
    <w:rsid w:val="34DF85B0"/>
    <w:rsid w:val="35D733CF"/>
    <w:rsid w:val="36EE5F2B"/>
    <w:rsid w:val="380C1EAE"/>
    <w:rsid w:val="382256A7"/>
    <w:rsid w:val="38962395"/>
    <w:rsid w:val="38E5105E"/>
    <w:rsid w:val="39C23FE0"/>
    <w:rsid w:val="39CC57D3"/>
    <w:rsid w:val="3A267238"/>
    <w:rsid w:val="3A361B71"/>
    <w:rsid w:val="3A4122C4"/>
    <w:rsid w:val="3AB605BC"/>
    <w:rsid w:val="3AD2116E"/>
    <w:rsid w:val="3AF647F9"/>
    <w:rsid w:val="3B284E27"/>
    <w:rsid w:val="3B3A1A3F"/>
    <w:rsid w:val="3B710987"/>
    <w:rsid w:val="3B8F36BC"/>
    <w:rsid w:val="3C357C06"/>
    <w:rsid w:val="3C3D096F"/>
    <w:rsid w:val="3CA566DE"/>
    <w:rsid w:val="3CA803D8"/>
    <w:rsid w:val="3CD63197"/>
    <w:rsid w:val="3CD72A6B"/>
    <w:rsid w:val="3D664A24"/>
    <w:rsid w:val="3E3143FA"/>
    <w:rsid w:val="3F7275DF"/>
    <w:rsid w:val="407A38DF"/>
    <w:rsid w:val="40C41282"/>
    <w:rsid w:val="40F279CF"/>
    <w:rsid w:val="40FA31CC"/>
    <w:rsid w:val="41701BF2"/>
    <w:rsid w:val="417B290E"/>
    <w:rsid w:val="41C25122"/>
    <w:rsid w:val="42176587"/>
    <w:rsid w:val="42B07FE6"/>
    <w:rsid w:val="43300A21"/>
    <w:rsid w:val="436D237B"/>
    <w:rsid w:val="446E7BE0"/>
    <w:rsid w:val="448654A3"/>
    <w:rsid w:val="44A72A10"/>
    <w:rsid w:val="44F14FD5"/>
    <w:rsid w:val="4578538F"/>
    <w:rsid w:val="45A43E69"/>
    <w:rsid w:val="45E86437"/>
    <w:rsid w:val="461F7F9A"/>
    <w:rsid w:val="46396545"/>
    <w:rsid w:val="46535859"/>
    <w:rsid w:val="46D81B58"/>
    <w:rsid w:val="46F26E20"/>
    <w:rsid w:val="474F22D3"/>
    <w:rsid w:val="48100449"/>
    <w:rsid w:val="48E05270"/>
    <w:rsid w:val="48EB63F7"/>
    <w:rsid w:val="491FF225"/>
    <w:rsid w:val="49301D4A"/>
    <w:rsid w:val="49852229"/>
    <w:rsid w:val="49CF1FA2"/>
    <w:rsid w:val="4A405DBF"/>
    <w:rsid w:val="4A5676C5"/>
    <w:rsid w:val="4ADF76BB"/>
    <w:rsid w:val="4AE23A25"/>
    <w:rsid w:val="4AF6238D"/>
    <w:rsid w:val="4C1177E5"/>
    <w:rsid w:val="4C182778"/>
    <w:rsid w:val="4C2D4456"/>
    <w:rsid w:val="4C8C73CE"/>
    <w:rsid w:val="4C9D782D"/>
    <w:rsid w:val="4CC42862"/>
    <w:rsid w:val="4CD55219"/>
    <w:rsid w:val="4D2C06DD"/>
    <w:rsid w:val="4D435F79"/>
    <w:rsid w:val="4D935553"/>
    <w:rsid w:val="4F561F16"/>
    <w:rsid w:val="4F645431"/>
    <w:rsid w:val="4F750192"/>
    <w:rsid w:val="4FFD214C"/>
    <w:rsid w:val="504679D9"/>
    <w:rsid w:val="515D0122"/>
    <w:rsid w:val="516528E4"/>
    <w:rsid w:val="517A638F"/>
    <w:rsid w:val="51FF182A"/>
    <w:rsid w:val="52410C5B"/>
    <w:rsid w:val="5257222D"/>
    <w:rsid w:val="52E91998"/>
    <w:rsid w:val="5328420C"/>
    <w:rsid w:val="53AC47FA"/>
    <w:rsid w:val="54714405"/>
    <w:rsid w:val="566F245E"/>
    <w:rsid w:val="57253018"/>
    <w:rsid w:val="5777D4F5"/>
    <w:rsid w:val="58613E05"/>
    <w:rsid w:val="58CC429A"/>
    <w:rsid w:val="592941F7"/>
    <w:rsid w:val="592E08AF"/>
    <w:rsid w:val="5947124D"/>
    <w:rsid w:val="59DD8326"/>
    <w:rsid w:val="59F64A21"/>
    <w:rsid w:val="5A1A7284"/>
    <w:rsid w:val="5A715C9D"/>
    <w:rsid w:val="5AAB4DA9"/>
    <w:rsid w:val="5B3C6437"/>
    <w:rsid w:val="5BE07CF7"/>
    <w:rsid w:val="5C1D430F"/>
    <w:rsid w:val="5D663C6C"/>
    <w:rsid w:val="5DEF592A"/>
    <w:rsid w:val="5E203E1A"/>
    <w:rsid w:val="5F154BF8"/>
    <w:rsid w:val="5FC6BB1E"/>
    <w:rsid w:val="5FF720F1"/>
    <w:rsid w:val="619F599E"/>
    <w:rsid w:val="61BF7DEE"/>
    <w:rsid w:val="62731616"/>
    <w:rsid w:val="62774225"/>
    <w:rsid w:val="62CF59B4"/>
    <w:rsid w:val="63690012"/>
    <w:rsid w:val="63D915A6"/>
    <w:rsid w:val="63F62B77"/>
    <w:rsid w:val="64025D70"/>
    <w:rsid w:val="651F79E6"/>
    <w:rsid w:val="66246472"/>
    <w:rsid w:val="6646463A"/>
    <w:rsid w:val="67024A05"/>
    <w:rsid w:val="6751773B"/>
    <w:rsid w:val="6778275D"/>
    <w:rsid w:val="67980EC5"/>
    <w:rsid w:val="67F26828"/>
    <w:rsid w:val="67F847ED"/>
    <w:rsid w:val="67FF5C0B"/>
    <w:rsid w:val="68E85E7D"/>
    <w:rsid w:val="693E052C"/>
    <w:rsid w:val="694D1762"/>
    <w:rsid w:val="6A570BC4"/>
    <w:rsid w:val="6A9A6D03"/>
    <w:rsid w:val="6B3709F5"/>
    <w:rsid w:val="6B5B52DD"/>
    <w:rsid w:val="6C4B29AA"/>
    <w:rsid w:val="6C52747B"/>
    <w:rsid w:val="6C5C6966"/>
    <w:rsid w:val="6C9E6EC7"/>
    <w:rsid w:val="6CD823DF"/>
    <w:rsid w:val="6D255340"/>
    <w:rsid w:val="6D3E1298"/>
    <w:rsid w:val="6DE52008"/>
    <w:rsid w:val="6DED7568"/>
    <w:rsid w:val="6E3148BF"/>
    <w:rsid w:val="6EFC0924"/>
    <w:rsid w:val="6F7915DC"/>
    <w:rsid w:val="6F9878D6"/>
    <w:rsid w:val="6FB74722"/>
    <w:rsid w:val="6FC565D0"/>
    <w:rsid w:val="6FEF8B7E"/>
    <w:rsid w:val="70A56ED3"/>
    <w:rsid w:val="70D54F38"/>
    <w:rsid w:val="71A6591B"/>
    <w:rsid w:val="71AF12E6"/>
    <w:rsid w:val="71B132B0"/>
    <w:rsid w:val="71C965BE"/>
    <w:rsid w:val="71CD79BE"/>
    <w:rsid w:val="720F3474"/>
    <w:rsid w:val="720F602D"/>
    <w:rsid w:val="726245AA"/>
    <w:rsid w:val="72A77E7B"/>
    <w:rsid w:val="7330175C"/>
    <w:rsid w:val="73665094"/>
    <w:rsid w:val="737D59BA"/>
    <w:rsid w:val="738A689B"/>
    <w:rsid w:val="739B4217"/>
    <w:rsid w:val="74AA0E02"/>
    <w:rsid w:val="74B347F5"/>
    <w:rsid w:val="75385A96"/>
    <w:rsid w:val="75970A0E"/>
    <w:rsid w:val="77C37683"/>
    <w:rsid w:val="783B490C"/>
    <w:rsid w:val="794B2979"/>
    <w:rsid w:val="79EF28AA"/>
    <w:rsid w:val="79FF515B"/>
    <w:rsid w:val="7A3D1CB8"/>
    <w:rsid w:val="7A3E58FC"/>
    <w:rsid w:val="7B5A49B8"/>
    <w:rsid w:val="7B684125"/>
    <w:rsid w:val="7B9568A8"/>
    <w:rsid w:val="7D5E3CE0"/>
    <w:rsid w:val="7DD50326"/>
    <w:rsid w:val="7E9E1962"/>
    <w:rsid w:val="7E9F11B4"/>
    <w:rsid w:val="7F37EC1E"/>
    <w:rsid w:val="7F3A4B9A"/>
    <w:rsid w:val="7F737DF6"/>
    <w:rsid w:val="7F7DCD9D"/>
    <w:rsid w:val="7F970A6F"/>
    <w:rsid w:val="7F9D30C5"/>
    <w:rsid w:val="7FC1FFF3"/>
    <w:rsid w:val="7FC69637"/>
    <w:rsid w:val="7FCA378E"/>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Indent"/>
    <w:basedOn w:val="1"/>
    <w:qFormat/>
    <w:uiPriority w:val="0"/>
    <w:pPr>
      <w:ind w:firstLine="420" w:firstLineChars="200"/>
    </w:pPr>
  </w:style>
  <w:style w:type="paragraph" w:styleId="4">
    <w:name w:val="index 5"/>
    <w:basedOn w:val="1"/>
    <w:next w:val="1"/>
    <w:qFormat/>
    <w:uiPriority w:val="0"/>
    <w:pPr>
      <w:adjustRightInd w:val="0"/>
      <w:snapToGrid w:val="0"/>
      <w:spacing w:line="592" w:lineRule="exact"/>
      <w:ind w:left="1680" w:firstLine="200" w:firstLineChars="200"/>
    </w:pPr>
    <w:rPr>
      <w:rFonts w:ascii="楷体" w:eastAsia="楷体"/>
    </w:rPr>
  </w:style>
  <w:style w:type="paragraph" w:styleId="5">
    <w:name w:val="Body Text"/>
    <w:basedOn w:val="1"/>
    <w:next w:val="1"/>
    <w:qFormat/>
    <w:uiPriority w:val="0"/>
    <w:pPr>
      <w:widowControl w:val="0"/>
      <w:adjustRightInd w:val="0"/>
      <w:snapToGrid w:val="0"/>
      <w:spacing w:after="120"/>
      <w:jc w:val="both"/>
    </w:pPr>
    <w:rPr>
      <w:rFonts w:ascii="Times New Roman" w:hAnsi="Times New Roman" w:eastAsia="微软雅黑" w:cs="Times New Roman"/>
      <w:kern w:val="2"/>
      <w:sz w:val="22"/>
      <w:szCs w:val="22"/>
      <w:lang w:val="en-US" w:eastAsia="zh-CN" w:bidi="ar-SA"/>
    </w:rPr>
  </w:style>
  <w:style w:type="paragraph" w:styleId="6">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1"/>
    <w:semiHidden/>
    <w:qFormat/>
    <w:uiPriority w:val="0"/>
    <w:pPr>
      <w:snapToGrid w:val="0"/>
      <w:jc w:val="left"/>
    </w:pPr>
    <w:rPr>
      <w:sz w:val="18"/>
      <w:szCs w:val="18"/>
    </w:rPr>
  </w:style>
  <w:style w:type="paragraph" w:styleId="11">
    <w:name w:val="Body Text First Indent 2"/>
    <w:basedOn w:val="6"/>
    <w:unhideWhenUsed/>
    <w:qFormat/>
    <w:uiPriority w:val="99"/>
    <w:pPr>
      <w:ind w:firstLine="420" w:firstLine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000FF"/>
      <w:u w:val="singl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Char"/>
    <w:basedOn w:val="15"/>
    <w:link w:val="7"/>
    <w:semiHidden/>
    <w:qFormat/>
    <w:uiPriority w:val="99"/>
    <w:rPr>
      <w:sz w:val="18"/>
      <w:szCs w:val="18"/>
    </w:rPr>
  </w:style>
  <w:style w:type="character" w:customStyle="1" w:styleId="23">
    <w:name w:val="font01"/>
    <w:basedOn w:val="15"/>
    <w:qFormat/>
    <w:uiPriority w:val="0"/>
    <w:rPr>
      <w:rFonts w:hint="eastAsia" w:ascii="宋体" w:hAnsi="宋体" w:eastAsia="宋体" w:cs="宋体"/>
      <w:color w:val="000000"/>
      <w:sz w:val="22"/>
      <w:szCs w:val="22"/>
      <w:u w:val="none"/>
    </w:rPr>
  </w:style>
  <w:style w:type="character" w:customStyle="1" w:styleId="24">
    <w:name w:val="font21"/>
    <w:basedOn w:val="15"/>
    <w:qFormat/>
    <w:uiPriority w:val="0"/>
    <w:rPr>
      <w:rFonts w:hint="eastAsia" w:ascii="宋体" w:hAnsi="宋体" w:eastAsia="宋体" w:cs="宋体"/>
      <w:color w:val="000000"/>
      <w:sz w:val="24"/>
      <w:szCs w:val="24"/>
      <w:u w:val="none"/>
    </w:rPr>
  </w:style>
  <w:style w:type="character" w:customStyle="1" w:styleId="25">
    <w:name w:val="font11"/>
    <w:basedOn w:val="15"/>
    <w:qFormat/>
    <w:uiPriority w:val="0"/>
    <w:rPr>
      <w:rFonts w:hint="eastAsia" w:ascii="宋体" w:hAnsi="宋体" w:eastAsia="宋体" w:cs="宋体"/>
      <w:color w:val="000000"/>
      <w:sz w:val="24"/>
      <w:szCs w:val="24"/>
      <w:u w:val="none"/>
    </w:rPr>
  </w:style>
  <w:style w:type="paragraph" w:customStyle="1" w:styleId="26">
    <w:name w:val="新正文"/>
    <w:basedOn w:val="1"/>
    <w:qFormat/>
    <w:uiPriority w:val="99"/>
    <w:pPr>
      <w:spacing w:line="610" w:lineRule="exact"/>
      <w:ind w:firstLine="880" w:firstLineChars="200"/>
    </w:pPr>
    <w:rPr>
      <w:rFonts w:eastAsia="仿宋_GB2312"/>
      <w:sz w:val="32"/>
    </w:rPr>
  </w:style>
  <w:style w:type="paragraph" w:customStyle="1" w:styleId="27">
    <w:name w:val="BodyText1I2"/>
    <w:basedOn w:val="28"/>
    <w:next w:val="1"/>
    <w:qFormat/>
    <w:uiPriority w:val="0"/>
    <w:pPr>
      <w:ind w:firstLine="420" w:firstLineChars="200"/>
    </w:pPr>
  </w:style>
  <w:style w:type="paragraph" w:customStyle="1" w:styleId="28">
    <w:name w:val="BodyTextIndent"/>
    <w:basedOn w:val="1"/>
    <w:next w:val="29"/>
    <w:qFormat/>
    <w:uiPriority w:val="0"/>
    <w:pPr>
      <w:spacing w:after="120"/>
      <w:ind w:left="420" w:leftChars="200"/>
      <w:textAlignment w:val="baseline"/>
    </w:pPr>
    <w:rPr>
      <w:rFonts w:ascii="Calibri" w:hAnsi="Calibri"/>
    </w:rPr>
  </w:style>
  <w:style w:type="paragraph" w:customStyle="1" w:styleId="29">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4477</Words>
  <Characters>7028</Characters>
  <Lines>63</Lines>
  <Paragraphs>18</Paragraphs>
  <TotalTime>28</TotalTime>
  <ScaleCrop>false</ScaleCrop>
  <LinksUpToDate>false</LinksUpToDate>
  <CharactersWithSpaces>7120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涂征</cp:lastModifiedBy>
  <cp:lastPrinted>2024-09-19T07:21:00Z</cp:lastPrinted>
  <dcterms:modified xsi:type="dcterms:W3CDTF">2026-02-10T08:15:59Z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6C69E55181DA4659B3D1D394B15C4868_13</vt:lpwstr>
  </property>
  <property fmtid="{D5CDD505-2E9C-101B-9397-08002B2CF9AE}" pid="4" name="KSOTemplateDocerSaveRecord">
    <vt:lpwstr>eyJoZGlkIjoiNTNjYmMxOTFkYWZkZTNlMmI3YjkxNGExNzNjMGVlOWIiLCJ1c2VySWQiOiI1NDEzODE2NDIifQ==</vt:lpwstr>
  </property>
</Properties>
</file>