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益阳市大通湖区千山红镇中心卫生院</w:t>
      </w:r>
      <w:r>
        <w:rPr>
          <w:rFonts w:hint="eastAsia" w:ascii="方正小标宋_GBK" w:hAnsi="方正小标宋_GBK" w:eastAsia="方正小标宋_GBK" w:cs="方正小标宋_GBK"/>
          <w:sz w:val="84"/>
          <w:szCs w:val="84"/>
        </w:rPr>
        <w:t>部门决算</w:t>
      </w: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益阳市大通湖区千山红镇中心卫生院</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pPr>
        <w:pStyle w:val="13"/>
        <w:ind w:left="2520" w:hanging="2520" w:hangingChars="300"/>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益阳市大通湖区千山红镇</w:t>
      </w:r>
    </w:p>
    <w:p>
      <w:pPr>
        <w:pStyle w:val="13"/>
        <w:ind w:left="2520" w:hanging="2520" w:hangingChars="300"/>
        <w:jc w:val="center"/>
        <w:rPr>
          <w:sz w:val="72"/>
          <w:szCs w:val="72"/>
        </w:rPr>
      </w:pPr>
      <w:r>
        <w:rPr>
          <w:rFonts w:hint="eastAsia" w:ascii="方正小标宋_GBK" w:hAnsi="方正小标宋_GBK" w:eastAsia="方正小标宋_GBK" w:cs="方正小标宋_GBK"/>
          <w:sz w:val="84"/>
          <w:szCs w:val="84"/>
          <w:lang w:val="en-US" w:eastAsia="zh-CN"/>
        </w:rPr>
        <w:t>中心卫生院</w:t>
      </w:r>
      <w:r>
        <w:rPr>
          <w:rFonts w:hint="eastAsia" w:ascii="方正小标宋_GBK" w:hAnsi="方正小标宋_GBK" w:eastAsia="方正小标宋_GBK" w:cs="方正小标宋_GBK"/>
          <w:sz w:val="84"/>
          <w:szCs w:val="84"/>
        </w:rPr>
        <w:t>概况</w:t>
      </w:r>
    </w:p>
    <w:p>
      <w:pPr>
        <w:jc w:val="both"/>
        <w:rPr>
          <w:sz w:val="72"/>
          <w:szCs w:val="72"/>
        </w:rPr>
      </w:pPr>
    </w:p>
    <w:p>
      <w:pPr>
        <w:jc w:val="center"/>
        <w:rPr>
          <w:sz w:val="72"/>
          <w:szCs w:val="72"/>
        </w:rPr>
      </w:pPr>
    </w:p>
    <w:p>
      <w:pPr>
        <w:pStyle w:val="14"/>
        <w:numPr>
          <w:ilvl w:val="0"/>
          <w:numId w:val="0"/>
        </w:numPr>
        <w:ind w:leftChars="0"/>
        <w:jc w:val="left"/>
        <w:rPr>
          <w:rFonts w:hint="eastAsia" w:ascii="黑体" w:hAnsi="黑体" w:eastAsia="黑体" w:cs="黑体"/>
          <w:b w:val="0"/>
          <w:bCs w:val="0"/>
          <w:sz w:val="32"/>
          <w:szCs w:val="32"/>
        </w:rPr>
      </w:pPr>
    </w:p>
    <w:p>
      <w:pPr>
        <w:pStyle w:val="14"/>
        <w:numPr>
          <w:ilvl w:val="0"/>
          <w:numId w:val="0"/>
        </w:numPr>
        <w:ind w:leftChars="0"/>
        <w:jc w:val="left"/>
        <w:rPr>
          <w:rFonts w:hint="eastAsia" w:ascii="黑体" w:hAnsi="黑体" w:eastAsia="黑体" w:cs="黑体"/>
          <w:b w:val="0"/>
          <w:bCs w:val="0"/>
          <w:sz w:val="32"/>
          <w:szCs w:val="32"/>
        </w:rPr>
      </w:pPr>
    </w:p>
    <w:p>
      <w:pPr>
        <w:pStyle w:val="14"/>
        <w:numPr>
          <w:ilvl w:val="0"/>
          <w:numId w:val="0"/>
        </w:numPr>
        <w:ind w:leftChars="0"/>
        <w:jc w:val="left"/>
        <w:rPr>
          <w:rFonts w:hint="eastAsia" w:ascii="黑体" w:hAnsi="黑体" w:eastAsia="黑体" w:cs="黑体"/>
          <w:b w:val="0"/>
          <w:bCs w:val="0"/>
          <w:sz w:val="32"/>
          <w:szCs w:val="32"/>
        </w:rPr>
      </w:pPr>
    </w:p>
    <w:p>
      <w:pPr>
        <w:pStyle w:val="14"/>
        <w:numPr>
          <w:ilvl w:val="0"/>
          <w:numId w:val="0"/>
        </w:numPr>
        <w:ind w:leftChars="0"/>
        <w:jc w:val="left"/>
        <w:rPr>
          <w:rFonts w:hint="eastAsia" w:ascii="黑体" w:hAnsi="黑体" w:eastAsia="黑体" w:cs="黑体"/>
          <w:b w:val="0"/>
          <w:bCs w:val="0"/>
          <w:sz w:val="32"/>
          <w:szCs w:val="32"/>
        </w:rPr>
      </w:pPr>
    </w:p>
    <w:p>
      <w:pPr>
        <w:pStyle w:val="14"/>
        <w:numPr>
          <w:ilvl w:val="0"/>
          <w:numId w:val="0"/>
        </w:numPr>
        <w:ind w:leftChars="0"/>
        <w:jc w:val="left"/>
        <w:rPr>
          <w:rFonts w:hint="eastAsia" w:ascii="黑体" w:hAnsi="黑体" w:eastAsia="黑体" w:cs="黑体"/>
          <w:b w:val="0"/>
          <w:bCs w:val="0"/>
          <w:sz w:val="32"/>
          <w:szCs w:val="32"/>
        </w:rPr>
      </w:pPr>
    </w:p>
    <w:p>
      <w:pPr>
        <w:pStyle w:val="14"/>
        <w:numPr>
          <w:ilvl w:val="0"/>
          <w:numId w:val="0"/>
        </w:numPr>
        <w:ind w:leftChars="0"/>
        <w:jc w:val="left"/>
        <w:rPr>
          <w:rFonts w:hint="eastAsia" w:ascii="黑体" w:hAnsi="黑体" w:eastAsia="黑体" w:cs="黑体"/>
          <w:b w:val="0"/>
          <w:bCs w:val="0"/>
          <w:sz w:val="32"/>
          <w:szCs w:val="32"/>
        </w:rPr>
      </w:pPr>
    </w:p>
    <w:p>
      <w:pPr>
        <w:pStyle w:val="14"/>
        <w:numPr>
          <w:ilvl w:val="0"/>
          <w:numId w:val="0"/>
        </w:numPr>
        <w:ind w:leftChars="0"/>
        <w:jc w:val="left"/>
        <w:rPr>
          <w:rFonts w:hint="eastAsia" w:ascii="黑体" w:hAnsi="黑体" w:eastAsia="黑体" w:cs="黑体"/>
          <w:b w:val="0"/>
          <w:bCs w:val="0"/>
          <w:sz w:val="32"/>
          <w:szCs w:val="32"/>
        </w:rPr>
      </w:pPr>
    </w:p>
    <w:p>
      <w:pPr>
        <w:pStyle w:val="14"/>
        <w:keepNext w:val="0"/>
        <w:keepLines w:val="0"/>
        <w:pageBreakBefore w:val="0"/>
        <w:numPr>
          <w:ilvl w:val="0"/>
          <w:numId w:val="1"/>
        </w:numPr>
        <w:kinsoku/>
        <w:wordWrap/>
        <w:overflowPunct/>
        <w:topLinePunct w:val="0"/>
        <w:autoSpaceDE/>
        <w:autoSpaceDN/>
        <w:bidi w:val="0"/>
        <w:adjustRightInd/>
        <w:spacing w:line="570" w:lineRule="exact"/>
        <w:ind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numPr>
          <w:ilvl w:val="0"/>
          <w:numId w:val="2"/>
        </w:numPr>
        <w:kinsoku/>
        <w:wordWrap/>
        <w:overflowPunct/>
        <w:topLinePunct w:val="0"/>
        <w:autoSpaceDE/>
        <w:autoSpaceDN/>
        <w:bidi w:val="0"/>
        <w:adjustRightInd/>
        <w:spacing w:line="570" w:lineRule="exact"/>
        <w:ind w:leftChars="0" w:firstLine="640" w:firstLineChars="200"/>
        <w:jc w:val="left"/>
        <w:textAlignment w:val="auto"/>
        <w:rPr>
          <w:rFonts w:hint="eastAsia" w:ascii="楷体_GB2312" w:hAnsi="楷体_GB2312" w:eastAsia="楷体_GB2312" w:cs="楷体_GB2312"/>
          <w:color w:val="333333"/>
          <w:sz w:val="32"/>
          <w:szCs w:val="32"/>
          <w:lang w:val="en-US" w:eastAsia="zh-CN"/>
        </w:rPr>
      </w:pPr>
      <w:r>
        <w:rPr>
          <w:rFonts w:hint="eastAsia" w:ascii="楷体_GB2312" w:hAnsi="楷体_GB2312" w:eastAsia="楷体_GB2312" w:cs="楷体_GB2312"/>
          <w:color w:val="333333"/>
          <w:sz w:val="32"/>
          <w:szCs w:val="32"/>
        </w:rPr>
        <w:t>主要职能</w:t>
      </w:r>
      <w:r>
        <w:rPr>
          <w:rFonts w:hint="eastAsia" w:ascii="楷体_GB2312" w:hAnsi="楷体_GB2312" w:eastAsia="楷体_GB2312" w:cs="楷体_GB2312"/>
          <w:color w:val="333333"/>
          <w:sz w:val="32"/>
          <w:szCs w:val="32"/>
          <w:lang w:val="en-US" w:eastAsia="zh-CN"/>
        </w:rPr>
        <w:t xml:space="preserve"> </w:t>
      </w:r>
    </w:p>
    <w:p>
      <w:pPr>
        <w:pStyle w:val="2"/>
        <w:keepNext w:val="0"/>
        <w:keepLines w:val="0"/>
        <w:pageBreakBefore w:val="0"/>
        <w:numPr>
          <w:ilvl w:val="0"/>
          <w:numId w:val="0"/>
        </w:numPr>
        <w:tabs>
          <w:tab w:val="left" w:pos="1925"/>
        </w:tabs>
        <w:kinsoku/>
        <w:wordWrap/>
        <w:overflowPunct/>
        <w:topLinePunct w:val="0"/>
        <w:autoSpaceDE/>
        <w:autoSpaceDN/>
        <w:bidi w:val="0"/>
        <w:adjustRightInd/>
        <w:spacing w:line="570" w:lineRule="exact"/>
        <w:ind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color w:val="333333"/>
          <w:sz w:val="32"/>
          <w:szCs w:val="32"/>
        </w:rPr>
        <w:t>以公共卫生服务为主，综合提供预防保健和基本医疗服务，其主要职能职责是：制定和实施卫生编制规划和卫生人才发展规划；</w:t>
      </w:r>
      <w:r>
        <w:rPr>
          <w:rFonts w:hint="eastAsia" w:ascii="仿宋_GB2312" w:hAnsi="仿宋_GB2312" w:eastAsia="仿宋_GB2312" w:cs="仿宋_GB2312"/>
          <w:color w:val="333333"/>
          <w:sz w:val="32"/>
          <w:szCs w:val="32"/>
          <w:lang w:val="en-US" w:eastAsia="zh-CN"/>
        </w:rPr>
        <w:t>负责辖区内居民的健康保健和疾病预防工作，提供基本的医疗和预防服务。</w:t>
      </w:r>
    </w:p>
    <w:p>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70" w:lineRule="exact"/>
        <w:ind w:leftChars="0" w:firstLine="640" w:firstLineChars="200"/>
        <w:jc w:val="both"/>
        <w:textAlignment w:val="auto"/>
        <w:rPr>
          <w:rFonts w:hint="eastAsia" w:ascii="楷体_GB2312" w:hAnsi="楷体_GB2312" w:eastAsia="楷体_GB2312" w:cs="楷体_GB2312"/>
          <w:color w:val="333333"/>
          <w:kern w:val="2"/>
          <w:sz w:val="32"/>
          <w:szCs w:val="32"/>
          <w:lang w:val="en-US" w:eastAsia="zh-CN" w:bidi="ar-SA"/>
        </w:rPr>
      </w:pPr>
      <w:r>
        <w:rPr>
          <w:rFonts w:hint="eastAsia" w:ascii="楷体_GB2312" w:hAnsi="楷体_GB2312" w:eastAsia="楷体_GB2312" w:cs="楷体_GB2312"/>
          <w:color w:val="333333"/>
          <w:kern w:val="2"/>
          <w:sz w:val="32"/>
          <w:szCs w:val="32"/>
          <w:lang w:val="en-US" w:eastAsia="zh-CN" w:bidi="ar-SA"/>
        </w:rPr>
        <w:t>（二）人员情况</w:t>
      </w:r>
    </w:p>
    <w:p>
      <w:pPr>
        <w:keepNext w:val="0"/>
        <w:keepLines w:val="0"/>
        <w:pageBreakBefore w:val="0"/>
        <w:tabs>
          <w:tab w:val="left" w:pos="1803"/>
        </w:tabs>
        <w:kinsoku/>
        <w:wordWrap/>
        <w:overflowPunct/>
        <w:topLinePunct w:val="0"/>
        <w:autoSpaceDE/>
        <w:autoSpaceDN/>
        <w:bidi w:val="0"/>
        <w:adjustRightInd/>
        <w:spacing w:line="570" w:lineRule="exact"/>
        <w:ind w:leftChars="0" w:firstLine="640" w:firstLineChars="200"/>
        <w:jc w:val="left"/>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color w:val="333333"/>
          <w:sz w:val="32"/>
          <w:szCs w:val="32"/>
        </w:rPr>
        <w:t>202</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年本单位编制人数4</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人，年末在编在岗</w:t>
      </w:r>
      <w:r>
        <w:rPr>
          <w:rFonts w:hint="eastAsia" w:ascii="仿宋_GB2312" w:hAnsi="仿宋_GB2312" w:eastAsia="仿宋_GB2312" w:cs="仿宋_GB2312"/>
          <w:color w:val="333333"/>
          <w:sz w:val="32"/>
          <w:szCs w:val="32"/>
          <w:lang w:val="en-US" w:eastAsia="zh-CN"/>
        </w:rPr>
        <w:t>23</w:t>
      </w:r>
      <w:r>
        <w:rPr>
          <w:rFonts w:hint="eastAsia" w:ascii="仿宋_GB2312" w:hAnsi="仿宋_GB2312" w:eastAsia="仿宋_GB2312" w:cs="仿宋_GB2312"/>
          <w:color w:val="333333"/>
          <w:sz w:val="32"/>
          <w:szCs w:val="32"/>
        </w:rPr>
        <w:t>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临聘26人。</w:t>
      </w:r>
    </w:p>
    <w:p>
      <w:pPr>
        <w:keepNext w:val="0"/>
        <w:keepLines w:val="0"/>
        <w:pageBreakBefore w:val="0"/>
        <w:widowControl/>
        <w:kinsoku/>
        <w:wordWrap/>
        <w:overflowPunct/>
        <w:topLinePunct w:val="0"/>
        <w:autoSpaceDE/>
        <w:autoSpaceDN/>
        <w:bidi w:val="0"/>
        <w:adjustRightInd/>
        <w:spacing w:line="570" w:lineRule="exac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bCs/>
          <w:kern w:val="0"/>
          <w:sz w:val="32"/>
          <w:szCs w:val="32"/>
          <w:lang w:eastAsia="zh-CN"/>
        </w:rPr>
      </w:pPr>
      <w:r>
        <w:rPr>
          <w:rFonts w:hint="eastAsia" w:ascii="楷体_GB2312" w:hAnsi="楷体_GB2312" w:eastAsia="楷体_GB2312" w:cs="楷体_GB2312"/>
          <w:bCs/>
          <w:kern w:val="0"/>
          <w:sz w:val="32"/>
          <w:szCs w:val="32"/>
        </w:rPr>
        <w:t>（一）</w:t>
      </w:r>
      <w:r>
        <w:rPr>
          <w:rFonts w:hint="eastAsia" w:ascii="楷体_GB2312" w:hAnsi="楷体_GB2312" w:eastAsia="楷体_GB2312" w:cs="楷体_GB2312"/>
          <w:bCs/>
          <w:kern w:val="0"/>
          <w:sz w:val="32"/>
          <w:szCs w:val="32"/>
          <w:lang w:val="en-US" w:eastAsia="zh-CN"/>
        </w:rPr>
        <w:t>益阳市大通湖区千山红镇</w:t>
      </w:r>
      <w:r>
        <w:rPr>
          <w:rFonts w:hint="eastAsia" w:ascii="楷体_GB2312" w:hAnsi="楷体_GB2312" w:eastAsia="楷体_GB2312" w:cs="楷体_GB2312"/>
          <w:color w:val="333333"/>
          <w:sz w:val="32"/>
          <w:szCs w:val="32"/>
        </w:rPr>
        <w:t>中心卫生院</w:t>
      </w:r>
      <w:r>
        <w:rPr>
          <w:rFonts w:hint="eastAsia" w:ascii="楷体_GB2312" w:hAnsi="楷体_GB2312" w:eastAsia="楷体_GB2312" w:cs="楷体_GB2312"/>
          <w:kern w:val="0"/>
          <w:sz w:val="32"/>
          <w:szCs w:val="32"/>
        </w:rPr>
        <w:t>设置</w:t>
      </w:r>
      <w:r>
        <w:rPr>
          <w:rFonts w:hint="eastAsia" w:ascii="楷体_GB2312" w:hAnsi="楷体_GB2312" w:eastAsia="楷体_GB2312" w:cs="楷体_GB2312"/>
          <w:kern w:val="0"/>
          <w:sz w:val="32"/>
          <w:szCs w:val="32"/>
          <w:lang w:val="en-US" w:eastAsia="zh-CN"/>
        </w:rPr>
        <w:t>1个综合科室</w:t>
      </w:r>
      <w:r>
        <w:rPr>
          <w:rFonts w:hint="eastAsia" w:ascii="楷体_GB2312" w:hAnsi="楷体_GB2312" w:eastAsia="楷体_GB2312" w:cs="楷体_GB2312"/>
          <w:kern w:val="0"/>
          <w:sz w:val="32"/>
          <w:szCs w:val="32"/>
        </w:rPr>
        <w:t>，无二级机构</w:t>
      </w:r>
      <w:r>
        <w:rPr>
          <w:rFonts w:hint="eastAsia" w:ascii="楷体_GB2312" w:hAnsi="楷体_GB2312" w:eastAsia="楷体_GB2312" w:cs="楷体_GB2312"/>
          <w:kern w:val="0"/>
          <w:sz w:val="32"/>
          <w:szCs w:val="32"/>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Cs/>
          <w:kern w:val="0"/>
          <w:sz w:val="32"/>
          <w:szCs w:val="32"/>
        </w:rPr>
        <w:t>（二）</w:t>
      </w:r>
      <w:r>
        <w:rPr>
          <w:rFonts w:hint="eastAsia" w:ascii="楷体_GB2312" w:hAnsi="楷体_GB2312" w:eastAsia="楷体_GB2312" w:cs="楷体_GB2312"/>
          <w:bCs/>
          <w:kern w:val="0"/>
          <w:sz w:val="32"/>
          <w:szCs w:val="32"/>
          <w:lang w:val="en-US" w:eastAsia="zh-CN"/>
        </w:rPr>
        <w:t>益阳市大通湖区千山红镇</w:t>
      </w:r>
      <w:r>
        <w:rPr>
          <w:rFonts w:hint="eastAsia" w:ascii="楷体_GB2312" w:hAnsi="楷体_GB2312" w:eastAsia="楷体_GB2312" w:cs="楷体_GB2312"/>
          <w:color w:val="000000"/>
          <w:kern w:val="0"/>
          <w:sz w:val="32"/>
          <w:szCs w:val="32"/>
        </w:rPr>
        <w:t>中心卫生院为单位202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年部门决算</w:t>
      </w:r>
      <w:r>
        <w:rPr>
          <w:rFonts w:hint="eastAsia" w:ascii="楷体_GB2312" w:hAnsi="楷体_GB2312" w:eastAsia="楷体_GB2312" w:cs="楷体_GB2312"/>
          <w:color w:val="333333"/>
          <w:sz w:val="32"/>
          <w:szCs w:val="32"/>
        </w:rPr>
        <w:t>汇总单位构成</w:t>
      </w:r>
      <w:r>
        <w:rPr>
          <w:rFonts w:hint="eastAsia" w:ascii="楷体_GB2312" w:hAnsi="楷体_GB2312" w:eastAsia="楷体_GB2312" w:cs="楷体_GB2312"/>
          <w:color w:val="000000"/>
          <w:kern w:val="0"/>
          <w:sz w:val="32"/>
          <w:szCs w:val="32"/>
        </w:rPr>
        <w:t>只包括</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益阳市大通湖区千山红镇</w:t>
      </w:r>
      <w:r>
        <w:rPr>
          <w:rFonts w:hint="eastAsia" w:ascii="仿宋_GB2312" w:hAnsi="仿宋_GB2312" w:eastAsia="仿宋_GB2312" w:cs="仿宋_GB2312"/>
          <w:color w:val="333333"/>
          <w:sz w:val="32"/>
          <w:szCs w:val="32"/>
        </w:rPr>
        <w:t>中心卫生院</w:t>
      </w:r>
      <w:r>
        <w:rPr>
          <w:rFonts w:hint="eastAsia" w:ascii="仿宋_GB2312" w:hAnsi="仿宋_GB2312" w:eastAsia="仿宋_GB2312" w:cs="仿宋_GB2312"/>
          <w:color w:val="000000"/>
          <w:kern w:val="0"/>
          <w:sz w:val="32"/>
          <w:szCs w:val="32"/>
        </w:rPr>
        <w:t>本级决算。</w:t>
      </w:r>
    </w:p>
    <w:p>
      <w:pPr>
        <w:keepNext w:val="0"/>
        <w:keepLines w:val="0"/>
        <w:pageBreakBefore w:val="0"/>
        <w:kinsoku/>
        <w:wordWrap/>
        <w:overflowPunct/>
        <w:topLinePunct w:val="0"/>
        <w:autoSpaceDE/>
        <w:autoSpaceDN/>
        <w:bidi w:val="0"/>
        <w:adjustRightInd/>
        <w:snapToGrid/>
        <w:ind w:firstLine="560" w:firstLineChars="200"/>
        <w:jc w:val="left"/>
        <w:textAlignment w:val="auto"/>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3"/>
        <w:ind w:firstLine="3360" w:firstLineChars="400"/>
        <w:jc w:val="both"/>
        <w:rPr>
          <w:rFonts w:hint="eastAsia" w:ascii="方正小标宋_GBK" w:hAnsi="方正小标宋_GBK" w:eastAsia="方正小标宋_GBK" w:cs="方正小标宋_GBK"/>
          <w:sz w:val="84"/>
          <w:szCs w:val="84"/>
        </w:rPr>
      </w:pPr>
    </w:p>
    <w:p>
      <w:pPr>
        <w:pStyle w:val="13"/>
        <w:ind w:firstLine="3360" w:firstLineChars="400"/>
        <w:jc w:val="both"/>
        <w:rPr>
          <w:rFonts w:hint="eastAsia" w:ascii="方正小标宋_GBK" w:hAnsi="方正小标宋_GBK" w:eastAsia="方正小标宋_GBK" w:cs="方正小标宋_GBK"/>
          <w:sz w:val="84"/>
          <w:szCs w:val="84"/>
        </w:rPr>
      </w:pPr>
    </w:p>
    <w:p>
      <w:pPr>
        <w:pStyle w:val="13"/>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4961" w:type="dxa"/>
        <w:tblInd w:w="0" w:type="dxa"/>
        <w:tblLayout w:type="fixed"/>
        <w:tblCellMar>
          <w:top w:w="0" w:type="dxa"/>
          <w:left w:w="0" w:type="dxa"/>
          <w:bottom w:w="0" w:type="dxa"/>
          <w:right w:w="0" w:type="dxa"/>
        </w:tblCellMar>
      </w:tblPr>
      <w:tblGrid>
        <w:gridCol w:w="266"/>
        <w:gridCol w:w="609"/>
        <w:gridCol w:w="1336"/>
        <w:gridCol w:w="1612"/>
        <w:gridCol w:w="1808"/>
        <w:gridCol w:w="1808"/>
        <w:gridCol w:w="1808"/>
        <w:gridCol w:w="1808"/>
        <w:gridCol w:w="1808"/>
        <w:gridCol w:w="2098"/>
      </w:tblGrid>
      <w:tr>
        <w:tblPrEx>
          <w:tblCellMar>
            <w:top w:w="0" w:type="dxa"/>
            <w:left w:w="0" w:type="dxa"/>
            <w:bottom w:w="0" w:type="dxa"/>
            <w:right w:w="0" w:type="dxa"/>
          </w:tblCellMar>
        </w:tblPrEx>
        <w:trPr>
          <w:trHeight w:val="435" w:hRule="atLeast"/>
        </w:trPr>
        <w:tc>
          <w:tcPr>
            <w:tcW w:w="14961"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6"/>
              <w:gridCol w:w="577"/>
              <w:gridCol w:w="1319"/>
              <w:gridCol w:w="4707"/>
              <w:gridCol w:w="1525"/>
              <w:gridCol w:w="635"/>
              <w:gridCol w:w="849"/>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5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7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1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0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6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79"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15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p>
              </w:tc>
              <w:tc>
                <w:tcPr>
                  <w:tcW w:w="57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1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707"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160"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79" w:type="dxa"/>
                  <w:gridSpan w:val="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605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62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341.7</w:t>
                  </w: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288.46</w:t>
                  </w: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六、社会保障和就业支出</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w:t>
                  </w:r>
                  <w:r>
                    <w:rPr>
                      <w:rFonts w:hint="eastAsia" w:ascii="宋体" w:hAnsi="宋体" w:eastAsia="宋体" w:cs="宋体"/>
                      <w:i w:val="0"/>
                      <w:color w:val="000000"/>
                      <w:kern w:val="0"/>
                      <w:sz w:val="22"/>
                      <w:szCs w:val="22"/>
                      <w:u w:val="none"/>
                      <w:lang w:val="en-US" w:eastAsia="zh-CN" w:bidi="ar"/>
                    </w:rPr>
                    <w:t>卫生健康支出</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663.93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33.78</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663.93</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663.93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62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30" w:type="dxa"/>
                <w:trHeight w:val="448" w:hRule="atLeast"/>
              </w:trPr>
              <w:tc>
                <w:tcPr>
                  <w:tcW w:w="4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663.93</w:t>
                  </w:r>
                </w:p>
              </w:tc>
              <w:tc>
                <w:tcPr>
                  <w:tcW w:w="4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663.93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2863" w:type="dxa"/>
            <w:gridSpan w:val="9"/>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color w:val="000000"/>
                <w:sz w:val="20"/>
                <w:szCs w:val="20"/>
              </w:rPr>
              <w:t>部门</w:t>
            </w:r>
            <w:r>
              <w:rPr>
                <w:rFonts w:hint="eastAsia"/>
                <w:color w:val="000000"/>
                <w:sz w:val="20"/>
                <w:szCs w:val="20"/>
                <w:lang w:eastAsia="zh-CN"/>
              </w:rPr>
              <w:t>：</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p>
        </w:tc>
        <w:tc>
          <w:tcPr>
            <w:tcW w:w="20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21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0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87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3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87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3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9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2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0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2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791"/>
                <w:tab w:val="right" w:pos="1912"/>
              </w:tabs>
              <w:jc w:val="left"/>
              <w:rPr>
                <w:rFonts w:hint="default" w:eastAsia="宋体" w:cs="宋体" w:asciiTheme="minorAscii" w:hAnsiTheme="minorAscii"/>
                <w:sz w:val="24"/>
                <w:szCs w:val="24"/>
              </w:rPr>
            </w:pP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lang w:val="en-US" w:eastAsia="zh-CN"/>
              </w:rPr>
              <w:t>663.93</w:t>
            </w: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28"/>
                <w:tab w:val="right" w:pos="2108"/>
              </w:tabs>
              <w:jc w:val="left"/>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rPr>
              <w:t>　</w:t>
            </w:r>
            <w:r>
              <w:rPr>
                <w:rFonts w:hint="default" w:eastAsia="宋体" w:cs="宋体" w:asciiTheme="minorAscii" w:hAnsiTheme="minorAscii"/>
                <w:sz w:val="24"/>
                <w:szCs w:val="24"/>
                <w:lang w:val="en-US" w:eastAsia="zh-CN"/>
              </w:rPr>
              <w:t>341.7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宋体" w:asciiTheme="minorAscii" w:hAnsiTheme="minorAscii"/>
                <w:sz w:val="24"/>
                <w:szCs w:val="24"/>
              </w:rPr>
            </w:pPr>
            <w:r>
              <w:rPr>
                <w:rFonts w:hint="default" w:asciiTheme="minorAscii" w:hAnsiTheme="minorAscii"/>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宋体" w:cs="宋体" w:asciiTheme="minorAscii" w:hAnsiTheme="minorAscii"/>
                <w:sz w:val="24"/>
                <w:szCs w:val="24"/>
                <w:lang w:val="en-US" w:eastAsia="zh-CN"/>
              </w:rPr>
            </w:pPr>
            <w:r>
              <w:rPr>
                <w:rFonts w:hint="eastAsia" w:eastAsia="宋体" w:cs="宋体" w:asciiTheme="minorAscii" w:hAnsiTheme="minorAscii"/>
                <w:sz w:val="24"/>
                <w:szCs w:val="24"/>
                <w:lang w:val="en-US" w:eastAsia="zh-CN"/>
              </w:rPr>
              <w:t>288.46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p>
        </w:tc>
        <w:tc>
          <w:tcPr>
            <w:tcW w:w="20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rPr>
            </w:pPr>
            <w:r>
              <w:rPr>
                <w:rFonts w:hint="eastAsia"/>
                <w:lang w:val="en-US" w:eastAsia="zh-CN"/>
              </w:rPr>
              <w:t>33.78</w:t>
            </w:r>
          </w:p>
        </w:tc>
      </w:tr>
      <w:tr>
        <w:tblPrEx>
          <w:tblCellMar>
            <w:top w:w="0" w:type="dxa"/>
            <w:left w:w="0" w:type="dxa"/>
            <w:bottom w:w="0" w:type="dxa"/>
            <w:right w:w="0" w:type="dxa"/>
          </w:tblCellMar>
        </w:tblPrEx>
        <w:trPr>
          <w:trHeight w:val="450" w:hRule="atLeast"/>
        </w:trPr>
        <w:tc>
          <w:tcPr>
            <w:tcW w:w="87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2100102</w:t>
            </w:r>
          </w:p>
        </w:tc>
        <w:tc>
          <w:tcPr>
            <w:tcW w:w="13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一般行政管理事务　</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89"/>
                <w:tab w:val="right" w:pos="2108"/>
              </w:tabs>
              <w:jc w:val="left"/>
              <w:rPr>
                <w:rFonts w:hint="default" w:eastAsia="宋体" w:cs="宋体" w:asciiTheme="minorAscii" w:hAnsiTheme="minorAscii"/>
                <w:sz w:val="24"/>
                <w:szCs w:val="24"/>
              </w:rPr>
            </w:pP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lang w:val="en-US" w:eastAsia="zh-CN"/>
              </w:rPr>
              <w:t>88.8</w:t>
            </w: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88.8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宋体" w:asciiTheme="minorAscii" w:hAnsiTheme="minorAscii"/>
                <w:sz w:val="24"/>
                <w:szCs w:val="24"/>
              </w:rPr>
            </w:pPr>
            <w:r>
              <w:rPr>
                <w:rFonts w:hint="default" w:asciiTheme="minorAscii" w:hAnsiTheme="minorAscii"/>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宋体" w:asciiTheme="minorAscii" w:hAnsiTheme="minorAscii"/>
                <w:sz w:val="24"/>
                <w:szCs w:val="24"/>
              </w:rPr>
            </w:pPr>
            <w:r>
              <w:rPr>
                <w:rFonts w:hint="default" w:asciiTheme="minorAscii" w:hAnsiTheme="minorAscii"/>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7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2100302</w:t>
            </w:r>
          </w:p>
        </w:tc>
        <w:tc>
          <w:tcPr>
            <w:tcW w:w="13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乡镇卫生院</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791"/>
                <w:tab w:val="right" w:pos="1912"/>
              </w:tabs>
              <w:jc w:val="left"/>
              <w:rPr>
                <w:rFonts w:hint="default" w:eastAsia="宋体" w:cs="宋体" w:asciiTheme="minorAscii" w:hAnsiTheme="minorAscii"/>
                <w:sz w:val="24"/>
                <w:szCs w:val="24"/>
              </w:rPr>
            </w:pP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lang w:val="en-US" w:eastAsia="zh-CN"/>
              </w:rPr>
              <w:t>402.01</w:t>
            </w: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89"/>
                <w:tab w:val="right" w:pos="2108"/>
              </w:tabs>
              <w:jc w:val="left"/>
              <w:rPr>
                <w:rFonts w:hint="default" w:eastAsia="宋体" w:cs="宋体" w:asciiTheme="minorAscii" w:hAnsiTheme="minorAscii"/>
                <w:sz w:val="24"/>
                <w:szCs w:val="24"/>
              </w:rPr>
            </w:pP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lang w:val="en-US" w:eastAsia="zh-CN"/>
              </w:rPr>
              <w:t>79.77</w:t>
            </w:r>
            <w:r>
              <w:rPr>
                <w:rFonts w:hint="default" w:eastAsia="宋体" w:cs="宋体" w:asciiTheme="minorAscii" w:hAnsiTheme="minorAscii"/>
                <w:sz w:val="24"/>
                <w:szCs w:val="24"/>
                <w:lang w:eastAsia="zh-CN"/>
              </w:rPr>
              <w:tab/>
            </w:r>
            <w:r>
              <w:rPr>
                <w:rFonts w:hint="default" w:eastAsia="宋体" w:cs="宋体" w:asciiTheme="minorAscii" w:hAnsiTheme="minorAscii"/>
                <w:sz w:val="24"/>
                <w:szCs w:val="24"/>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宋体" w:asciiTheme="minorAscii" w:hAnsiTheme="minorAscii"/>
                <w:sz w:val="24"/>
                <w:szCs w:val="24"/>
              </w:rPr>
            </w:pPr>
            <w:r>
              <w:rPr>
                <w:rFonts w:hint="default" w:asciiTheme="minorAscii" w:hAnsiTheme="minorAscii"/>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526"/>
                <w:tab w:val="right" w:pos="2108"/>
              </w:tabs>
              <w:jc w:val="left"/>
              <w:rPr>
                <w:rFonts w:hint="default" w:eastAsia="宋体" w:cs="宋体" w:asciiTheme="minorAscii" w:hAnsiTheme="minorAscii"/>
                <w:sz w:val="24"/>
                <w:szCs w:val="24"/>
              </w:rPr>
            </w:pPr>
            <w:r>
              <w:rPr>
                <w:rFonts w:hint="default" w:asciiTheme="minorAscii" w:hAnsiTheme="minorAscii"/>
                <w:lang w:eastAsia="zh-CN"/>
              </w:rPr>
              <w:tab/>
            </w:r>
            <w:r>
              <w:rPr>
                <w:rFonts w:hint="eastAsia" w:asciiTheme="minorAscii" w:hAnsiTheme="minorAscii"/>
                <w:lang w:val="en-US" w:eastAsia="zh-CN"/>
              </w:rPr>
              <w:t>288.46</w:t>
            </w:r>
            <w:r>
              <w:rPr>
                <w:rFonts w:hint="default" w:asciiTheme="minorAscii" w:hAnsiTheme="minorAscii"/>
                <w:lang w:eastAsia="zh-CN"/>
              </w:rPr>
              <w:tab/>
            </w:r>
            <w:r>
              <w:rPr>
                <w:rFonts w:hint="default" w:asciiTheme="minorAscii" w:hAnsiTheme="minorAscii"/>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1034"/>
                <w:tab w:val="right" w:pos="2398"/>
              </w:tabs>
              <w:jc w:val="left"/>
              <w:rPr>
                <w:rFonts w:ascii="宋体" w:hAnsi="宋体" w:eastAsia="宋体" w:cs="宋体"/>
                <w:sz w:val="24"/>
                <w:szCs w:val="24"/>
              </w:rPr>
            </w:pPr>
            <w:r>
              <w:rPr>
                <w:rFonts w:hint="eastAsia"/>
                <w:lang w:eastAsia="zh-CN"/>
              </w:rPr>
              <w:tab/>
            </w:r>
            <w:r>
              <w:rPr>
                <w:rFonts w:hint="eastAsia"/>
                <w:lang w:val="en-US" w:eastAsia="zh-CN"/>
              </w:rPr>
              <w:t>33.78</w:t>
            </w:r>
            <w:r>
              <w:rPr>
                <w:rFonts w:hint="eastAsia"/>
                <w:lang w:eastAsia="zh-CN"/>
              </w:rPr>
              <w:tab/>
            </w:r>
            <w:r>
              <w:rPr>
                <w:rFonts w:hint="eastAsia"/>
              </w:rPr>
              <w:t>　</w:t>
            </w:r>
          </w:p>
        </w:tc>
      </w:tr>
      <w:tr>
        <w:tblPrEx>
          <w:tblCellMar>
            <w:top w:w="0" w:type="dxa"/>
            <w:left w:w="0" w:type="dxa"/>
            <w:bottom w:w="0" w:type="dxa"/>
            <w:right w:w="0" w:type="dxa"/>
          </w:tblCellMar>
        </w:tblPrEx>
        <w:trPr>
          <w:trHeight w:val="450" w:hRule="atLeast"/>
        </w:trPr>
        <w:tc>
          <w:tcPr>
            <w:tcW w:w="87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2100408</w:t>
            </w:r>
          </w:p>
        </w:tc>
        <w:tc>
          <w:tcPr>
            <w:tcW w:w="13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基本公共卫生服务</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159.62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kern w:val="2"/>
                <w:sz w:val="24"/>
                <w:szCs w:val="24"/>
                <w:lang w:val="en-US" w:eastAsia="zh-CN" w:bidi="ar-SA"/>
              </w:rPr>
              <w:t>159.62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宋体" w:asciiTheme="minorAscii" w:hAnsiTheme="minorAscii"/>
                <w:sz w:val="24"/>
                <w:szCs w:val="24"/>
              </w:rPr>
            </w:pPr>
            <w:r>
              <w:rPr>
                <w:rFonts w:hint="default" w:asciiTheme="minorAscii" w:hAnsiTheme="minorAscii"/>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宋体" w:cs="宋体" w:asciiTheme="minorAscii" w:hAnsiTheme="minorAscii"/>
                <w:sz w:val="24"/>
                <w:szCs w:val="24"/>
              </w:rPr>
            </w:pPr>
            <w:r>
              <w:rPr>
                <w:rFonts w:hint="default" w:asciiTheme="minorAscii" w:hAnsiTheme="minorAscii"/>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87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2100409</w:t>
            </w:r>
          </w:p>
        </w:tc>
        <w:tc>
          <w:tcPr>
            <w:tcW w:w="13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重大公共卫生服务</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宋体" w:cs="宋体" w:asciiTheme="minorAscii" w:hAnsiTheme="minorAscii"/>
                <w:sz w:val="24"/>
                <w:szCs w:val="24"/>
                <w:lang w:val="en-US" w:eastAsia="zh-CN"/>
              </w:rPr>
            </w:pPr>
            <w:r>
              <w:rPr>
                <w:rFonts w:hint="default" w:eastAsia="宋体" w:cs="宋体" w:asciiTheme="minorAscii" w:hAnsiTheme="minorAscii"/>
                <w:sz w:val="24"/>
                <w:szCs w:val="24"/>
                <w:lang w:val="en-US" w:eastAsia="zh-CN"/>
              </w:rPr>
              <w:t>13.5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eastAsia="宋体" w:cs="宋体" w:asciiTheme="minorAscii" w:hAnsiTheme="minorAscii"/>
                <w:kern w:val="2"/>
                <w:sz w:val="24"/>
                <w:szCs w:val="24"/>
                <w:lang w:val="en-US" w:eastAsia="zh-CN" w:bidi="ar-SA"/>
              </w:rPr>
            </w:pPr>
            <w:r>
              <w:rPr>
                <w:rFonts w:hint="default" w:eastAsia="宋体" w:cs="宋体" w:asciiTheme="minorAscii" w:hAnsiTheme="minorAscii"/>
                <w:kern w:val="2"/>
                <w:sz w:val="24"/>
                <w:szCs w:val="24"/>
                <w:lang w:val="en-US" w:eastAsia="zh-CN" w:bidi="ar-SA"/>
              </w:rPr>
              <w:t>13.5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Ascii" w:hAnsiTheme="minorAscii"/>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Ascii" w:hAnsiTheme="minorAscii"/>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4961"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896" w:type="dxa"/>
            <w:gridSpan w:val="8"/>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31"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663.93</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663.93</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2100102</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一般行政管理事务　</w:t>
            </w:r>
          </w:p>
        </w:tc>
        <w:tc>
          <w:tcPr>
            <w:tcW w:w="1952" w:type="dxa"/>
            <w:tcBorders>
              <w:top w:val="nil"/>
              <w:left w:val="nil"/>
              <w:bottom w:val="single" w:color="auto" w:sz="4" w:space="0"/>
              <w:right w:val="single" w:color="auto" w:sz="4" w:space="0"/>
            </w:tcBorders>
            <w:shd w:val="clear" w:color="auto" w:fill="auto"/>
            <w:noWrap/>
            <w:vAlign w:val="center"/>
          </w:tcPr>
          <w:p>
            <w:pPr>
              <w:tabs>
                <w:tab w:val="center" w:pos="889"/>
                <w:tab w:val="right" w:pos="2108"/>
              </w:tabs>
              <w:jc w:val="center"/>
              <w:rPr>
                <w:rFonts w:hint="default" w:ascii="宋体" w:hAnsi="宋体" w:eastAsia="华文中宋" w:cs="宋体"/>
                <w:kern w:val="0"/>
                <w:sz w:val="24"/>
                <w:szCs w:val="24"/>
                <w:lang w:val="en-US" w:eastAsia="zh-CN" w:bidi="ar-SA"/>
              </w:rPr>
            </w:pPr>
            <w:r>
              <w:rPr>
                <w:rFonts w:hint="eastAsia" w:ascii="华文中宋" w:hAnsi="华文中宋" w:eastAsia="华文中宋"/>
                <w:lang w:val="en-US" w:eastAsia="zh-CN"/>
              </w:rPr>
              <w:t>88.8</w:t>
            </w:r>
          </w:p>
        </w:tc>
        <w:tc>
          <w:tcPr>
            <w:tcW w:w="1991" w:type="dxa"/>
            <w:tcBorders>
              <w:top w:val="nil"/>
              <w:left w:val="nil"/>
              <w:bottom w:val="single" w:color="auto" w:sz="4" w:space="0"/>
              <w:right w:val="single" w:color="auto" w:sz="4" w:space="0"/>
            </w:tcBorders>
            <w:shd w:val="clear" w:color="auto" w:fill="auto"/>
            <w:noWrap/>
            <w:vAlign w:val="center"/>
          </w:tcPr>
          <w:p>
            <w:pPr>
              <w:tabs>
                <w:tab w:val="center" w:pos="889"/>
                <w:tab w:val="right" w:pos="2108"/>
              </w:tabs>
              <w:jc w:val="center"/>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88.8</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2100302</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乡镇卫生院</w:t>
            </w:r>
          </w:p>
        </w:tc>
        <w:tc>
          <w:tcPr>
            <w:tcW w:w="1952" w:type="dxa"/>
            <w:tcBorders>
              <w:top w:val="nil"/>
              <w:left w:val="nil"/>
              <w:bottom w:val="single" w:color="auto" w:sz="4" w:space="0"/>
              <w:right w:val="single" w:color="auto" w:sz="4" w:space="0"/>
            </w:tcBorders>
            <w:shd w:val="clear" w:color="auto" w:fill="auto"/>
            <w:noWrap/>
            <w:vAlign w:val="center"/>
          </w:tcPr>
          <w:p>
            <w:pPr>
              <w:tabs>
                <w:tab w:val="center" w:pos="791"/>
                <w:tab w:val="right" w:pos="1912"/>
              </w:tabs>
              <w:jc w:val="center"/>
              <w:rPr>
                <w:rFonts w:ascii="宋体" w:hAnsi="宋体" w:eastAsia="宋体" w:cs="宋体"/>
                <w:kern w:val="0"/>
                <w:sz w:val="24"/>
                <w:szCs w:val="24"/>
                <w:lang w:val="en-US" w:eastAsia="zh-CN" w:bidi="ar-SA"/>
              </w:rPr>
            </w:pPr>
            <w:r>
              <w:rPr>
                <w:rFonts w:hint="eastAsia"/>
                <w:lang w:val="en-US" w:eastAsia="zh-CN"/>
              </w:rPr>
              <w:t>402.01</w:t>
            </w:r>
          </w:p>
        </w:tc>
        <w:tc>
          <w:tcPr>
            <w:tcW w:w="1991" w:type="dxa"/>
            <w:tcBorders>
              <w:top w:val="nil"/>
              <w:left w:val="nil"/>
              <w:bottom w:val="single" w:color="auto" w:sz="4" w:space="0"/>
              <w:right w:val="single" w:color="auto" w:sz="4" w:space="0"/>
            </w:tcBorders>
            <w:shd w:val="clear" w:color="auto" w:fill="auto"/>
            <w:noWrap/>
            <w:vAlign w:val="center"/>
          </w:tcPr>
          <w:p>
            <w:pPr>
              <w:tabs>
                <w:tab w:val="center" w:pos="791"/>
                <w:tab w:val="right" w:pos="1912"/>
              </w:tabs>
              <w:jc w:val="center"/>
              <w:rPr>
                <w:rFonts w:ascii="宋体" w:hAnsi="宋体" w:eastAsia="宋体" w:cs="宋体"/>
                <w:kern w:val="2"/>
                <w:sz w:val="24"/>
                <w:szCs w:val="24"/>
                <w:lang w:val="en-US" w:eastAsia="zh-CN" w:bidi="ar-SA"/>
              </w:rPr>
            </w:pPr>
            <w:r>
              <w:rPr>
                <w:rFonts w:hint="eastAsia"/>
                <w:lang w:val="en-US" w:eastAsia="zh-CN"/>
              </w:rPr>
              <w:t>402.01</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kern w:val="2"/>
                <w:sz w:val="24"/>
                <w:szCs w:val="24"/>
                <w:lang w:val="en-US" w:eastAsia="zh-CN" w:bidi="ar-SA"/>
              </w:rPr>
            </w:pPr>
            <w:r>
              <w:rPr>
                <w:rFonts w:hint="eastAsia"/>
              </w:rPr>
              <w:t>2100408</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rPr>
              <w:t>基本公共卫生服务</w:t>
            </w:r>
          </w:p>
        </w:tc>
        <w:tc>
          <w:tcPr>
            <w:tcW w:w="1952"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159.62</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159.62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2100409</w:t>
            </w:r>
          </w:p>
        </w:tc>
        <w:tc>
          <w:tcPr>
            <w:tcW w:w="1481"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rPr>
              <w:t>重大公共卫生服务</w:t>
            </w:r>
          </w:p>
        </w:tc>
        <w:tc>
          <w:tcPr>
            <w:tcW w:w="1952" w:type="dxa"/>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13.5</w:t>
            </w:r>
          </w:p>
        </w:tc>
        <w:tc>
          <w:tcPr>
            <w:tcW w:w="1991" w:type="dxa"/>
            <w:tcBorders>
              <w:top w:val="nil"/>
              <w:left w:val="nil"/>
              <w:bottom w:val="single" w:color="auto" w:sz="4" w:space="0"/>
              <w:right w:val="single" w:color="auto" w:sz="4" w:space="0"/>
            </w:tcBorders>
            <w:shd w:val="clear" w:color="auto" w:fill="auto"/>
            <w:noWrap/>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13.5</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rPr>
            </w:pP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13948" w:type="dxa"/>
            <w:gridSpan w:val="10"/>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341.7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六、社会保障和就业支出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w:t>
            </w:r>
            <w:r>
              <w:rPr>
                <w:rFonts w:hint="eastAsia" w:ascii="宋体" w:hAnsi="宋体" w:eastAsia="宋体" w:cs="宋体"/>
                <w:i w:val="0"/>
                <w:color w:val="000000"/>
                <w:kern w:val="0"/>
                <w:sz w:val="22"/>
                <w:szCs w:val="22"/>
                <w:u w:val="none"/>
                <w:lang w:val="en-US" w:eastAsia="zh-CN" w:bidi="ar"/>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341.7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341.7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341.7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341.7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341.7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341.7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341.7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341.7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341.7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341.7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宋体" w:hAnsi="宋体" w:eastAsia="宋体" w:cs="宋体"/>
                <w:kern w:val="2"/>
                <w:sz w:val="24"/>
                <w:szCs w:val="24"/>
                <w:lang w:val="en-US" w:eastAsia="zh-CN" w:bidi="ar-SA"/>
              </w:rPr>
            </w:pPr>
            <w:r>
              <w:rPr>
                <w:rFonts w:hint="eastAsia"/>
              </w:rPr>
              <w:t>2100102</w:t>
            </w:r>
          </w:p>
        </w:tc>
        <w:tc>
          <w:tcPr>
            <w:tcW w:w="352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kern w:val="2"/>
                <w:sz w:val="24"/>
                <w:szCs w:val="24"/>
                <w:lang w:val="en-US" w:eastAsia="zh-CN" w:bidi="ar-SA"/>
              </w:rPr>
            </w:pPr>
            <w:r>
              <w:rPr>
                <w:rFonts w:hint="eastAsia"/>
              </w:rPr>
              <w:t>一般行政管理事务　</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88.8</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88.8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宋体" w:hAnsi="宋体" w:eastAsia="宋体" w:cs="宋体"/>
                <w:kern w:val="2"/>
                <w:sz w:val="24"/>
                <w:szCs w:val="24"/>
                <w:lang w:val="en-US" w:eastAsia="zh-CN" w:bidi="ar-SA"/>
              </w:rPr>
            </w:pPr>
            <w:r>
              <w:rPr>
                <w:rFonts w:hint="eastAsia"/>
              </w:rPr>
              <w:t>2100302</w:t>
            </w:r>
          </w:p>
        </w:tc>
        <w:tc>
          <w:tcPr>
            <w:tcW w:w="352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kern w:val="2"/>
                <w:sz w:val="24"/>
                <w:szCs w:val="24"/>
                <w:lang w:val="en-US" w:eastAsia="zh-CN" w:bidi="ar-SA"/>
              </w:rPr>
            </w:pPr>
            <w:r>
              <w:rPr>
                <w:rFonts w:hint="eastAsia"/>
              </w:rPr>
              <w:t>乡镇卫生院</w:t>
            </w:r>
          </w:p>
        </w:tc>
        <w:tc>
          <w:tcPr>
            <w:tcW w:w="3000" w:type="dxa"/>
            <w:tcBorders>
              <w:top w:val="nil"/>
              <w:left w:val="nil"/>
              <w:bottom w:val="single" w:color="auto" w:sz="4" w:space="0"/>
              <w:right w:val="single" w:color="auto" w:sz="4" w:space="0"/>
            </w:tcBorders>
            <w:shd w:val="clear" w:color="auto" w:fill="auto"/>
            <w:vAlign w:val="center"/>
          </w:tcPr>
          <w:p>
            <w:pPr>
              <w:tabs>
                <w:tab w:val="center" w:pos="889"/>
                <w:tab w:val="right" w:pos="2108"/>
              </w:tabs>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79.77</w:t>
            </w:r>
          </w:p>
        </w:tc>
        <w:tc>
          <w:tcPr>
            <w:tcW w:w="3492" w:type="dxa"/>
            <w:tcBorders>
              <w:top w:val="nil"/>
              <w:left w:val="nil"/>
              <w:bottom w:val="single" w:color="auto" w:sz="4" w:space="0"/>
              <w:right w:val="single" w:color="auto" w:sz="4" w:space="0"/>
            </w:tcBorders>
            <w:shd w:val="clear" w:color="auto" w:fill="auto"/>
            <w:vAlign w:val="center"/>
          </w:tcPr>
          <w:p>
            <w:pPr>
              <w:tabs>
                <w:tab w:val="center" w:pos="889"/>
                <w:tab w:val="right" w:pos="2108"/>
              </w:tabs>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79.77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center"/>
              <w:rPr>
                <w:rFonts w:ascii="宋体" w:hAnsi="宋体" w:eastAsia="宋体" w:cs="宋体"/>
                <w:kern w:val="2"/>
                <w:sz w:val="24"/>
                <w:szCs w:val="24"/>
                <w:lang w:val="en-US" w:eastAsia="zh-CN" w:bidi="ar-SA"/>
              </w:rPr>
            </w:pPr>
            <w:r>
              <w:rPr>
                <w:rFonts w:hint="eastAsia"/>
              </w:rPr>
              <w:t>2100408</w:t>
            </w:r>
          </w:p>
        </w:tc>
        <w:tc>
          <w:tcPr>
            <w:tcW w:w="3527" w:type="dxa"/>
            <w:tcBorders>
              <w:top w:val="nil"/>
              <w:left w:val="nil"/>
              <w:bottom w:val="single" w:color="auto" w:sz="4" w:space="0"/>
              <w:right w:val="single" w:color="auto" w:sz="4" w:space="0"/>
            </w:tcBorders>
            <w:shd w:val="clear" w:color="000000" w:fill="FFFFFF"/>
            <w:vAlign w:val="center"/>
          </w:tcPr>
          <w:p>
            <w:pPr>
              <w:rPr>
                <w:rFonts w:ascii="宋体" w:hAnsi="宋体" w:eastAsia="宋体" w:cs="宋体"/>
                <w:kern w:val="2"/>
                <w:sz w:val="24"/>
                <w:szCs w:val="24"/>
                <w:lang w:val="en-US" w:eastAsia="zh-CN" w:bidi="ar-SA"/>
              </w:rPr>
            </w:pPr>
            <w:r>
              <w:rPr>
                <w:rFonts w:hint="eastAsia"/>
              </w:rPr>
              <w:t>基本公共卫生服务</w:t>
            </w:r>
          </w:p>
        </w:tc>
        <w:tc>
          <w:tcPr>
            <w:tcW w:w="3000"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159.62</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159.62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2100409</w:t>
            </w:r>
          </w:p>
        </w:tc>
        <w:tc>
          <w:tcPr>
            <w:tcW w:w="3527" w:type="dxa"/>
            <w:tcBorders>
              <w:top w:val="nil"/>
              <w:left w:val="nil"/>
              <w:bottom w:val="single" w:color="auto" w:sz="8" w:space="0"/>
              <w:right w:val="single" w:color="auto" w:sz="4" w:space="0"/>
            </w:tcBorders>
            <w:shd w:val="clear" w:color="000000" w:fill="FFFFFF"/>
            <w:vAlign w:val="center"/>
          </w:tcPr>
          <w:p>
            <w:pPr>
              <w:rPr>
                <w:rFonts w:hint="eastAsia" w:asciiTheme="minorHAnsi" w:hAnsiTheme="minorHAnsi" w:eastAsiaTheme="minorEastAsia" w:cstheme="minorBidi"/>
                <w:kern w:val="2"/>
                <w:sz w:val="21"/>
                <w:szCs w:val="22"/>
                <w:lang w:val="en-US" w:eastAsia="zh-CN" w:bidi="ar-SA"/>
              </w:rPr>
            </w:pPr>
            <w:r>
              <w:rPr>
                <w:rFonts w:hint="eastAsia"/>
              </w:rPr>
              <w:t>重大公共卫生服务</w:t>
            </w:r>
          </w:p>
        </w:tc>
        <w:tc>
          <w:tcPr>
            <w:tcW w:w="3000" w:type="dxa"/>
            <w:tcBorders>
              <w:top w:val="nil"/>
              <w:left w:val="nil"/>
              <w:bottom w:val="single" w:color="auto" w:sz="8"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13.5</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13.5</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1003"/>
        <w:gridCol w:w="20"/>
        <w:gridCol w:w="220"/>
        <w:gridCol w:w="1402"/>
        <w:gridCol w:w="1800"/>
        <w:gridCol w:w="319"/>
        <w:gridCol w:w="587"/>
        <w:gridCol w:w="1031"/>
        <w:gridCol w:w="501"/>
        <w:gridCol w:w="1790"/>
        <w:gridCol w:w="329"/>
        <w:gridCol w:w="535"/>
        <w:gridCol w:w="949"/>
        <w:gridCol w:w="635"/>
        <w:gridCol w:w="2119"/>
        <w:gridCol w:w="1378"/>
        <w:gridCol w:w="742"/>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3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174.27</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161616167.43</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133.29</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3.34</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1.8</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11.55</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4.72</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11.54</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9.57</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24.31</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4.79</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5.46</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0.22</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2.88</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11.78</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Cs w:val="20"/>
                <w:lang w:val="en-US" w:eastAsia="zh-CN"/>
              </w:rPr>
            </w:pP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0.83</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17.16</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Cs w:val="20"/>
                <w:lang w:val="en-US" w:eastAsia="zh-CN"/>
              </w:rPr>
            </w:pP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68.1</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Cs w:val="20"/>
                <w:lang w:val="en-US" w:eastAsia="zh-CN"/>
              </w:rPr>
            </w:pP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14.02</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4.52</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Cs w:val="20"/>
                <w:lang w:val="en-US" w:eastAsia="zh-CN"/>
              </w:rPr>
            </w:pP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0"/>
                <w:lang w:val="en-US" w:eastAsia="zh-CN"/>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3"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03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91" w:type="dxa"/>
            <w:gridSpan w:val="2"/>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9.61</w:t>
            </w: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32"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18"/>
                <w:lang w:val="en-US" w:eastAsia="zh-CN"/>
              </w:rPr>
            </w:pPr>
            <w:r>
              <w:rPr>
                <w:rFonts w:hint="eastAsia" w:ascii="宋体" w:hAnsi="宋体" w:eastAsia="宋体" w:cs="宋体"/>
                <w:color w:val="000000"/>
                <w:kern w:val="0"/>
                <w:szCs w:val="18"/>
              </w:rPr>
              <w:t>　</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4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06" w:type="dxa"/>
            <w:gridSpan w:val="2"/>
            <w:tcBorders>
              <w:top w:val="nil"/>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023141747785111174.2174.27</w:t>
            </w:r>
          </w:p>
        </w:tc>
        <w:tc>
          <w:tcPr>
            <w:tcW w:w="9267"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96"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167.43</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3240" w:type="dxa"/>
            <w:gridSpan w:val="15"/>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0949" w:type="dxa"/>
            <w:gridSpan w:val="5"/>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70" w:type="dxa"/>
            <w:gridSpan w:val="11"/>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heme="minorEastAsia" w:hAnsiTheme="minorEastAsia" w:eastAsiaTheme="minorEastAsia" w:cstheme="minorEastAsia"/>
                <w:bCs/>
                <w:kern w:val="0"/>
                <w:sz w:val="20"/>
                <w:szCs w:val="20"/>
                <w:lang w:val="en-US" w:eastAsia="zh-CN"/>
              </w:rPr>
              <w:t>千山红镇</w:t>
            </w:r>
            <w:r>
              <w:rPr>
                <w:rFonts w:hint="eastAsia" w:asciiTheme="minorEastAsia" w:hAnsiTheme="minorEastAsia" w:eastAsiaTheme="minorEastAsia" w:cstheme="minorEastAsia"/>
                <w:color w:val="333333"/>
                <w:sz w:val="20"/>
                <w:szCs w:val="20"/>
              </w:rPr>
              <w:t>中心卫生院</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3"/>
        <w:ind w:firstLine="4320" w:firstLineChars="600"/>
        <w:jc w:val="both"/>
        <w:rPr>
          <w:rFonts w:hint="eastAsia" w:ascii="方正小标宋_GBK" w:hAnsi="方正小标宋_GBK" w:eastAsia="方正小标宋_GBK" w:cs="方正小标宋_GBK"/>
          <w:sz w:val="72"/>
          <w:szCs w:val="72"/>
        </w:rPr>
      </w:pPr>
    </w:p>
    <w:p>
      <w:pPr>
        <w:pStyle w:val="13"/>
        <w:ind w:firstLine="4320" w:firstLineChars="600"/>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widowControl/>
        <w:jc w:val="left"/>
        <w:rPr>
          <w:rFonts w:hint="eastAsia" w:ascii="黑体" w:hAnsi="黑体" w:eastAsia="黑体" w:cs="黑体"/>
          <w:b w:val="0"/>
          <w:bCs/>
          <w:sz w:val="32"/>
          <w:szCs w:val="32"/>
        </w:rPr>
      </w:pPr>
    </w:p>
    <w:p>
      <w:pPr>
        <w:keepNext w:val="0"/>
        <w:keepLines w:val="0"/>
        <w:pageBreakBefore w:val="0"/>
        <w:widowControl/>
        <w:kinsoku/>
        <w:wordWrap/>
        <w:overflowPunct/>
        <w:topLinePunct w:val="0"/>
        <w:bidi w:val="0"/>
        <w:snapToGrid/>
        <w:spacing w:line="570"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663.93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减少167.93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减少20.18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财政拨款其他收入）减少，减少了人员经费拨款。</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663.93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341.7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51.47</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288.46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43.45</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33.78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5.08</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663.93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663.93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ascii="Times New Roman" w:hAnsi="Times New Roman" w:eastAsia="宋体" w:cs="Times New Roman"/>
          <w:color w:val="auto"/>
          <w:sz w:val="32"/>
          <w:szCs w:val="32"/>
        </w:rPr>
        <w:t>202</w:t>
      </w:r>
      <w:r>
        <w:rPr>
          <w:rFonts w:hint="eastAsia" w:ascii="Times New Roman" w:hAnsi="Times New Roman" w:eastAsia="宋体" w:cs="Times New Roman"/>
          <w:color w:val="auto"/>
          <w:sz w:val="32"/>
          <w:szCs w:val="32"/>
          <w:lang w:val="en-US" w:eastAsia="zh-CN"/>
        </w:rPr>
        <w:t>4</w:t>
      </w:r>
      <w:r>
        <w:rPr>
          <w:rFonts w:ascii="Times New Roman" w:hAnsi="Times New Roman" w:eastAsia="宋体" w:cs="Times New Roman"/>
          <w:color w:val="auto"/>
          <w:sz w:val="32"/>
          <w:szCs w:val="32"/>
        </w:rPr>
        <w:t>年支</w:t>
      </w:r>
      <w:r>
        <w:rPr>
          <w:rFonts w:hint="eastAsia" w:ascii="仿宋_GB2312" w:hAnsi="仿宋_GB2312" w:eastAsia="仿宋_GB2312" w:cs="仿宋_GB2312"/>
          <w:color w:val="auto"/>
          <w:sz w:val="32"/>
          <w:szCs w:val="32"/>
        </w:rPr>
        <w:t>出决算</w:t>
      </w:r>
      <w:r>
        <w:rPr>
          <w:rFonts w:hint="eastAsia" w:ascii="仿宋_GB2312" w:hAnsi="仿宋_GB2312" w:eastAsia="仿宋_GB2312" w:cs="仿宋_GB2312"/>
          <w:sz w:val="32"/>
          <w:szCs w:val="32"/>
        </w:rPr>
        <w:t>与上年相比</w:t>
      </w:r>
      <w:r>
        <w:rPr>
          <w:rFonts w:hint="eastAsia" w:ascii="Times New Roman" w:hAnsi="Times New Roman" w:eastAsia="宋体" w:cs="Times New Roman"/>
          <w:sz w:val="32"/>
          <w:szCs w:val="32"/>
          <w:lang w:eastAsia="zh-CN"/>
        </w:rPr>
        <w:t>，</w:t>
      </w:r>
      <w:r>
        <w:rPr>
          <w:rFonts w:hint="eastAsia" w:cs="Times New Roman" w:asciiTheme="majorEastAsia" w:hAnsiTheme="majorEastAsia" w:eastAsiaTheme="majorEastAsia"/>
          <w:color w:val="auto"/>
          <w:kern w:val="2"/>
          <w:sz w:val="32"/>
          <w:szCs w:val="32"/>
          <w:lang w:val="en-US" w:eastAsia="zh-CN"/>
        </w:rPr>
        <w:t>减少167.93万元，</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收入减少，费用支出减少。</w:t>
      </w:r>
      <w:r>
        <w:rPr>
          <w:rFonts w:hint="eastAsia" w:ascii="Times New Roman" w:hAnsi="Times New Roman" w:eastAsia="宋体" w:cs="Times New Roman"/>
          <w:sz w:val="32"/>
          <w:szCs w:val="32"/>
          <w:lang w:val="en-US" w:eastAsia="zh-CN"/>
        </w:rPr>
        <w:t xml:space="preserve"> </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570" w:lineRule="exact"/>
        <w:ind w:lef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341.7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15.74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 xml:space="preserve">财政拨款收入增加。 </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341.7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51.47</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15.74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4.82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财政拨款收入增加。</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341.7</w:t>
      </w:r>
      <w:r>
        <w:rPr>
          <w:rFonts w:hint="eastAsia" w:ascii="Times New Roman" w:hAnsi="Times New Roman" w:eastAsia="仿宋_GB2312"/>
          <w:sz w:val="32"/>
          <w:szCs w:val="32"/>
        </w:rPr>
        <w:t>万元，主要用于以下方面</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卫生健康支出（类）</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341.7</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万元，占100%</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341.7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341.7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社会保障和就业支出（类）抚恤（款）死亡抚恤（项）。</w:t>
      </w:r>
    </w:p>
    <w:p>
      <w:pPr>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_GB2312" w:hAnsi="仿宋_GB2312" w:eastAsia="仿宋_GB2312" w:cs="仿宋_GB2312"/>
          <w:color w:val="000000"/>
          <w:kern w:val="0"/>
          <w:sz w:val="32"/>
          <w:szCs w:val="32"/>
        </w:rPr>
        <w:t>决算数大于年初预算数的主要原因是根据单位实际情况年中追加调整预算并严格按预算执行。</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卫生健康支出（类）卫生健康管理事务（款）一般行政管理事务（项）。</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0"/>
        </w:numPr>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3. </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val="en-US" w:eastAsia="zh-CN"/>
        </w:rPr>
        <w:t>基层医疗卫生机构（款)乡镇卫生院（项）。</w:t>
      </w:r>
    </w:p>
    <w:p>
      <w:pPr>
        <w:pStyle w:val="13"/>
        <w:keepNext w:val="0"/>
        <w:keepLines w:val="0"/>
        <w:pageBreakBefore w:val="0"/>
        <w:widowControl w:val="0"/>
        <w:numPr>
          <w:ilvl w:val="0"/>
          <w:numId w:val="0"/>
        </w:numPr>
        <w:tabs>
          <w:tab w:val="left" w:pos="1014"/>
        </w:tabs>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79.77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3"/>
        <w:keepNext w:val="0"/>
        <w:keepLines w:val="0"/>
        <w:pageBreakBefore w:val="0"/>
        <w:widowControl w:val="0"/>
        <w:numPr>
          <w:ilvl w:val="0"/>
          <w:numId w:val="0"/>
        </w:numPr>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4. </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val="en-US" w:eastAsia="zh-CN"/>
        </w:rPr>
        <w:t>公共卫生（款)基本公共卫生服务（项）。</w:t>
      </w:r>
    </w:p>
    <w:p>
      <w:pPr>
        <w:pStyle w:val="13"/>
        <w:keepNext w:val="0"/>
        <w:keepLines w:val="0"/>
        <w:pageBreakBefore w:val="0"/>
        <w:widowControl w:val="0"/>
        <w:numPr>
          <w:ilvl w:val="0"/>
          <w:numId w:val="0"/>
        </w:numPr>
        <w:tabs>
          <w:tab w:val="left" w:pos="1014"/>
        </w:tabs>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173.12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173.12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341.7</w:t>
      </w:r>
      <w:r>
        <w:rPr>
          <w:rFonts w:hint="eastAsia" w:ascii="Times New Roman" w:hAnsi="Times New Roman" w:eastAsia="仿宋_GB2312"/>
          <w:sz w:val="32"/>
          <w:szCs w:val="32"/>
        </w:rPr>
        <w:t>万元，其中：</w:t>
      </w:r>
    </w:p>
    <w:p>
      <w:pPr>
        <w:pStyle w:val="8"/>
        <w:keepNext w:val="0"/>
        <w:keepLines w:val="0"/>
        <w:pageBreakBefore w:val="0"/>
        <w:shd w:val="clear" w:color="auto" w:fill="FFFFFF"/>
        <w:kinsoku/>
        <w:wordWrap/>
        <w:overflowPunct/>
        <w:topLinePunct w:val="0"/>
        <w:bidi w:val="0"/>
        <w:snapToGrid/>
        <w:spacing w:before="0" w:beforeAutospacing="0" w:after="0" w:afterAutospacing="0" w:line="570" w:lineRule="exact"/>
        <w:ind w:firstLine="640" w:firstLineChars="200"/>
        <w:textAlignment w:val="auto"/>
        <w:outlineLvl w:val="0"/>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b/>
          <w:bCs/>
          <w:sz w:val="32"/>
          <w:szCs w:val="32"/>
          <w:highlight w:val="none"/>
          <w:lang w:val="en-US" w:eastAsia="zh-CN"/>
        </w:rPr>
        <w:t>174.27</w:t>
      </w:r>
      <w:r>
        <w:rPr>
          <w:rFonts w:hint="eastAsia" w:ascii="Times New Roman" w:hAnsi="Times New Roman" w:eastAsia="仿宋_GB2312"/>
          <w:sz w:val="32"/>
          <w:szCs w:val="32"/>
          <w:highlight w:val="none"/>
        </w:rPr>
        <w:t>万元，</w:t>
      </w:r>
      <w:r>
        <w:rPr>
          <w:rFonts w:hint="eastAsia" w:ascii="仿宋_GB2312" w:hAnsi="仿宋_GB2312" w:eastAsia="仿宋_GB2312" w:cs="仿宋_GB2312"/>
          <w:sz w:val="32"/>
          <w:szCs w:val="32"/>
          <w:highlight w:val="none"/>
        </w:rPr>
        <w:t>占基本支出</w:t>
      </w:r>
      <w:r>
        <w:rPr>
          <w:rFonts w:hint="eastAsia" w:ascii="仿宋_GB2312" w:hAnsi="仿宋_GB2312" w:eastAsia="仿宋_GB2312" w:cs="仿宋_GB2312"/>
          <w:sz w:val="32"/>
          <w:szCs w:val="32"/>
          <w:highlight w:val="none"/>
          <w:lang w:val="en-US" w:eastAsia="zh-CN"/>
        </w:rPr>
        <w:t>51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sz w:val="32"/>
          <w:szCs w:val="32"/>
          <w:highlight w:val="none"/>
        </w:rPr>
        <w:t>主要包括</w:t>
      </w:r>
      <w:r>
        <w:rPr>
          <w:rFonts w:hint="eastAsia" w:ascii="仿宋_GB2312" w:hAnsi="仿宋_GB2312" w:eastAsia="仿宋_GB2312" w:cs="仿宋_GB2312"/>
          <w:b w:val="0"/>
          <w:bCs w:val="0"/>
          <w:sz w:val="32"/>
          <w:highlight w:val="none"/>
        </w:rPr>
        <w:t>主要包括基本工资、</w:t>
      </w:r>
      <w:r>
        <w:rPr>
          <w:rFonts w:hint="eastAsia" w:ascii="仿宋_GB2312" w:hAnsi="仿宋_GB2312" w:eastAsia="仿宋_GB2312" w:cs="仿宋_GB2312"/>
          <w:b w:val="0"/>
          <w:bCs w:val="0"/>
          <w:sz w:val="32"/>
          <w:szCs w:val="32"/>
          <w:highlight w:val="none"/>
        </w:rPr>
        <w:t>津贴补贴</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highlight w:val="none"/>
        </w:rPr>
        <w:t>绩效工资、</w:t>
      </w:r>
      <w:r>
        <w:rPr>
          <w:rFonts w:hint="eastAsia" w:ascii="仿宋_GB2312" w:hAnsi="仿宋_GB2312" w:eastAsia="仿宋_GB2312" w:cs="仿宋_GB2312"/>
          <w:b w:val="0"/>
          <w:bCs w:val="0"/>
          <w:sz w:val="32"/>
          <w:szCs w:val="32"/>
          <w:highlight w:val="none"/>
        </w:rPr>
        <w:t>伙食补助费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highlight w:val="none"/>
          <w:lang w:val="zh-CN"/>
        </w:rPr>
        <w:t>机关事业单位基本养老保险缴费、职工基本医疗保险缴费、其他社会保障缴费、住房公积金、</w:t>
      </w:r>
      <w:r>
        <w:rPr>
          <w:rFonts w:hint="eastAsia" w:ascii="仿宋_GB2312" w:hAnsi="仿宋_GB2312" w:eastAsia="仿宋_GB2312" w:cs="仿宋_GB2312"/>
          <w:sz w:val="32"/>
          <w:highlight w:val="none"/>
          <w:lang w:val="zh-CN"/>
        </w:rPr>
        <w:t>其他工资福利支出</w:t>
      </w:r>
      <w:r>
        <w:rPr>
          <w:rFonts w:hint="eastAsia" w:ascii="仿宋_GB2312" w:hAnsi="仿宋_GB2312" w:eastAsia="仿宋_GB2312" w:cs="仿宋_GB2312"/>
          <w:b w:val="0"/>
          <w:bCs w:val="0"/>
          <w:sz w:val="32"/>
          <w:highlight w:val="none"/>
          <w:lang w:val="zh-CN"/>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b/>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167.43</w:t>
      </w:r>
      <w:r>
        <w:rPr>
          <w:rFonts w:hint="eastAsia" w:ascii="Times New Roman" w:hAnsi="Times New Roman" w:eastAsia="仿宋_GB2312"/>
          <w:sz w:val="32"/>
          <w:szCs w:val="32"/>
        </w:rPr>
        <w:t>万元，</w:t>
      </w:r>
      <w:r>
        <w:rPr>
          <w:rFonts w:hint="eastAsia" w:ascii="仿宋_GB2312" w:hAnsi="仿宋_GB2312" w:eastAsia="仿宋_GB2312" w:cs="仿宋_GB2312"/>
          <w:sz w:val="32"/>
          <w:szCs w:val="32"/>
        </w:rPr>
        <w:t>占基本支出的</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%，主要包</w:t>
      </w:r>
      <w:r>
        <w:rPr>
          <w:rFonts w:hint="eastAsia" w:ascii="仿宋_GB2312" w:hAnsi="仿宋_GB2312" w:eastAsia="仿宋_GB2312" w:cs="仿宋_GB2312"/>
          <w:sz w:val="32"/>
          <w:szCs w:val="32"/>
          <w:highlight w:val="none"/>
        </w:rPr>
        <w:t>括</w:t>
      </w:r>
      <w:r>
        <w:rPr>
          <w:rFonts w:hint="eastAsia" w:ascii="仿宋_GB2312" w:hAnsi="仿宋_GB2312" w:eastAsia="仿宋_GB2312" w:cs="仿宋_GB2312"/>
          <w:sz w:val="32"/>
          <w:highlight w:val="none"/>
        </w:rPr>
        <w:t>办公费、印刷费、</w:t>
      </w:r>
      <w:r>
        <w:rPr>
          <w:rFonts w:hint="eastAsia" w:ascii="仿宋_GB2312" w:hAnsi="仿宋_GB2312" w:eastAsia="仿宋_GB2312" w:cs="仿宋_GB2312"/>
          <w:sz w:val="32"/>
          <w:highlight w:val="none"/>
          <w:lang w:val="en-US" w:eastAsia="zh-CN"/>
        </w:rPr>
        <w:t>水费</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电费、差旅费、</w:t>
      </w:r>
      <w:r>
        <w:rPr>
          <w:rFonts w:hint="eastAsia" w:ascii="仿宋_GB2312" w:hAnsi="仿宋_GB2312" w:eastAsia="仿宋_GB2312" w:cs="仿宋_GB2312"/>
          <w:sz w:val="32"/>
          <w:highlight w:val="none"/>
          <w:lang w:val="en-US" w:eastAsia="zh-CN"/>
        </w:rPr>
        <w:t>培训</w:t>
      </w:r>
      <w:r>
        <w:rPr>
          <w:rFonts w:hint="eastAsia" w:ascii="仿宋_GB2312" w:hAnsi="仿宋_GB2312" w:eastAsia="仿宋_GB2312" w:cs="仿宋_GB2312"/>
          <w:sz w:val="32"/>
          <w:highlight w:val="none"/>
        </w:rPr>
        <w:t>费、</w:t>
      </w:r>
      <w:r>
        <w:rPr>
          <w:rFonts w:hint="eastAsia" w:ascii="仿宋_GB2312" w:hAnsi="仿宋_GB2312" w:eastAsia="仿宋_GB2312" w:cs="仿宋_GB2312"/>
          <w:sz w:val="32"/>
          <w:highlight w:val="none"/>
          <w:lang w:val="en-US" w:eastAsia="zh-CN"/>
        </w:rPr>
        <w:t>专用材料费、</w:t>
      </w:r>
      <w:r>
        <w:rPr>
          <w:rFonts w:hint="eastAsia" w:ascii="仿宋_GB2312" w:hAnsi="仿宋_GB2312" w:eastAsia="仿宋_GB2312" w:cs="仿宋_GB2312"/>
          <w:sz w:val="32"/>
          <w:highlight w:val="none"/>
        </w:rPr>
        <w:t>劳务费、工会经费、其他交通费用</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其他商品服务性支出</w:t>
      </w:r>
      <w:r>
        <w:rPr>
          <w:rFonts w:hint="eastAsia" w:ascii="仿宋_GB2312" w:hAnsi="仿宋_GB2312" w:eastAsia="仿宋_GB2312" w:cs="仿宋_GB2312"/>
          <w:sz w:val="32"/>
          <w:highlight w:val="none"/>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val="0"/>
          <w:bCs/>
          <w:sz w:val="32"/>
          <w:szCs w:val="32"/>
        </w:rPr>
        <w:t>（一）“三公”经费财政拨款支出决算总体情况说明</w:t>
      </w:r>
    </w:p>
    <w:p>
      <w:pPr>
        <w:keepNext w:val="0"/>
        <w:keepLines w:val="0"/>
        <w:pageBreakBefore w:val="0"/>
        <w:widowControl/>
        <w:shd w:val="clear" w:color="auto" w:fill="FFFFFF"/>
        <w:kinsoku/>
        <w:wordWrap/>
        <w:overflowPunct/>
        <w:topLinePunct w:val="0"/>
        <w:bidi w:val="0"/>
        <w:snapToGrid/>
        <w:spacing w:line="570" w:lineRule="exact"/>
        <w:ind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2024年度“三公”经费财政拨款支出预算为0万元，支出决算为0万元，其中：</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8"/>
        <w:keepNext w:val="0"/>
        <w:keepLines w:val="0"/>
        <w:pageBreakBefore w:val="0"/>
        <w:shd w:val="clear" w:color="auto" w:fill="FFFFFF"/>
        <w:kinsoku/>
        <w:wordWrap/>
        <w:overflowPunct/>
        <w:topLinePunct w:val="0"/>
        <w:bidi w:val="0"/>
        <w:snapToGrid/>
        <w:spacing w:before="0" w:beforeAutospacing="0" w:after="0" w:afterAutospacing="0" w:line="570" w:lineRule="exact"/>
        <w:textAlignment w:val="auto"/>
        <w:rPr>
          <w:rFonts w:hint="eastAsia"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决算数等于预算数，主要是因为今年未安排出国出境。与上年相比无变化，主要是因为今年及去年均未安排出国出境。</w:t>
      </w:r>
    </w:p>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bidi w:val="0"/>
        <w:snapToGrid/>
        <w:spacing w:line="570" w:lineRule="exact"/>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决算数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等于</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预算数，</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主要是</w:t>
      </w:r>
      <w:r>
        <w:rPr>
          <w:rFonts w:hint="eastAsia" w:ascii="仿宋_GB2312" w:hAnsi="仿宋_GB2312" w:eastAsia="仿宋_GB2312" w:cs="仿宋_GB2312"/>
          <w:color w:val="000000" w:themeColor="text1"/>
          <w:sz w:val="32"/>
          <w:szCs w:val="32"/>
          <w:highlight w:val="none"/>
          <w14:textFill>
            <w14:solidFill>
              <w14:schemeClr w14:val="tx1"/>
            </w14:solidFill>
          </w14:textFill>
        </w:rPr>
        <w:t>因为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认真贯彻落实厉行节约要求，从严控制“三公”经费开支</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与上年相比无变化主要是因为认真贯彻落实厉行节约要求，从严控制“三公”经费开支。</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70" w:lineRule="exact"/>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我单位没有公务车辆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公务用车运行维护费预算为公务租车费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与上年相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w:t>
      </w:r>
      <w:r>
        <w:rPr>
          <w:rFonts w:hint="eastAsia" w:ascii="仿宋_GB2312" w:hAnsi="仿宋_GB2312" w:eastAsia="仿宋_GB2312" w:cs="仿宋_GB2312"/>
          <w:color w:val="000000" w:themeColor="text1"/>
          <w:kern w:val="0"/>
          <w:sz w:val="32"/>
          <w:szCs w:val="32"/>
          <w14:textFill>
            <w14:solidFill>
              <w14:schemeClr w14:val="tx1"/>
            </w14:solidFill>
          </w14:textFill>
        </w:rPr>
        <w:t>无变化</w:t>
      </w:r>
      <w:r>
        <w:rPr>
          <w:rFonts w:hint="eastAsia" w:ascii="仿宋_GB2312" w:hAnsi="仿宋_GB2312" w:eastAsia="仿宋_GB2312" w:cs="仿宋_GB2312"/>
          <w:color w:val="000000" w:themeColor="text1"/>
          <w:sz w:val="32"/>
          <w:szCs w:val="32"/>
          <w14:textFill>
            <w14:solidFill>
              <w14:schemeClr w14:val="tx1"/>
            </w14:solidFill>
          </w14:textFill>
        </w:rPr>
        <w:t>主要是因为</w:t>
      </w:r>
      <w:r>
        <w:rPr>
          <w:rFonts w:hint="eastAsia" w:ascii="仿宋_GB2312" w:hAnsi="仿宋_GB2312" w:eastAsia="仿宋_GB2312" w:cs="仿宋_GB2312"/>
          <w:color w:val="000000" w:themeColor="text1"/>
          <w:kern w:val="0"/>
          <w:sz w:val="32"/>
          <w:szCs w:val="32"/>
          <w14:textFill>
            <w14:solidFill>
              <w14:schemeClr w14:val="tx1"/>
            </w14:solidFill>
          </w14:textFill>
        </w:rPr>
        <w:t>我单位厉行节约，严格控制“三公”经费，大力压减公务用车运行费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rPr>
        <w:t>决</w:t>
      </w:r>
      <w:r>
        <w:rPr>
          <w:rFonts w:hint="eastAsia" w:ascii="仿宋_GB2312" w:hAnsi="仿宋_GB2312" w:eastAsia="仿宋_GB2312" w:cs="仿宋_GB2312"/>
          <w:color w:val="000000" w:themeColor="text1"/>
          <w:sz w:val="32"/>
          <w:szCs w:val="32"/>
          <w14:textFill>
            <w14:solidFill>
              <w14:schemeClr w14:val="tx1"/>
            </w14:solidFill>
          </w14:textFill>
        </w:rPr>
        <w:t>算数</w:t>
      </w:r>
      <w:r>
        <w:rPr>
          <w:rFonts w:hint="eastAsia" w:ascii="仿宋_GB2312" w:hAnsi="仿宋_GB2312" w:eastAsia="仿宋_GB2312" w:cs="仿宋_GB2312"/>
          <w:color w:val="000000" w:themeColor="text1"/>
          <w:kern w:val="0"/>
          <w:sz w:val="32"/>
          <w:szCs w:val="32"/>
          <w14:textFill>
            <w14:solidFill>
              <w14:schemeClr w14:val="tx1"/>
            </w14:solidFill>
          </w14:textFill>
        </w:rPr>
        <w:t>等于</w:t>
      </w:r>
      <w:r>
        <w:rPr>
          <w:rFonts w:hint="eastAsia" w:ascii="仿宋_GB2312" w:hAnsi="仿宋_GB2312" w:eastAsia="仿宋_GB2312" w:cs="仿宋_GB2312"/>
          <w:color w:val="000000" w:themeColor="text1"/>
          <w:sz w:val="32"/>
          <w:szCs w:val="32"/>
          <w14:textFill>
            <w14:solidFill>
              <w14:schemeClr w14:val="tx1"/>
            </w14:solidFill>
          </w14:textFill>
        </w:rPr>
        <w:t>预算数，</w:t>
      </w:r>
      <w:r>
        <w:rPr>
          <w:rFonts w:hint="eastAsia" w:ascii="仿宋_GB2312" w:hAnsi="仿宋_GB2312" w:eastAsia="仿宋_GB2312" w:cs="仿宋_GB2312"/>
          <w:color w:val="000000" w:themeColor="text1"/>
          <w:kern w:val="0"/>
          <w:sz w:val="32"/>
          <w:szCs w:val="32"/>
          <w14:textFill>
            <w14:solidFill>
              <w14:schemeClr w14:val="tx1"/>
            </w14:solidFill>
          </w14:textFill>
        </w:rPr>
        <w:t>主要是</w:t>
      </w:r>
      <w:r>
        <w:rPr>
          <w:rFonts w:hint="eastAsia" w:ascii="仿宋_GB2312" w:hAnsi="仿宋_GB2312" w:eastAsia="仿宋_GB2312" w:cs="仿宋_GB2312"/>
          <w:color w:val="000000" w:themeColor="text1"/>
          <w:sz w:val="32"/>
          <w:szCs w:val="32"/>
          <w14:textFill>
            <w14:solidFill>
              <w14:schemeClr w14:val="tx1"/>
            </w14:solidFill>
          </w14:textFill>
        </w:rPr>
        <w:t>因为</w:t>
      </w:r>
      <w:r>
        <w:rPr>
          <w:rFonts w:hint="eastAsia" w:ascii="仿宋_GB2312" w:hAnsi="仿宋_GB2312" w:eastAsia="仿宋_GB2312" w:cs="仿宋_GB2312"/>
          <w:color w:val="000000" w:themeColor="text1"/>
          <w:kern w:val="0"/>
          <w:sz w:val="32"/>
          <w:szCs w:val="32"/>
          <w14:textFill>
            <w14:solidFill>
              <w14:schemeClr w14:val="tx1"/>
            </w14:solidFill>
          </w14:textFill>
        </w:rPr>
        <w:t>一是认真贯彻落实厉行节约要求，从严控制“三公”经费开支。</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3"/>
        <w:keepNext w:val="0"/>
        <w:keepLines w:val="0"/>
        <w:pageBreakBefore w:val="0"/>
        <w:widowControl w:val="0"/>
        <w:numPr>
          <w:ilvl w:val="0"/>
          <w:numId w:val="0"/>
        </w:numPr>
        <w:kinsoku/>
        <w:wordWrap/>
        <w:overflowPunct/>
        <w:topLinePunct w:val="0"/>
        <w:bidi w:val="0"/>
        <w:snapToGrid/>
        <w:spacing w:line="57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 xml:space="preserve">1. </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_GB2312" w:hAnsi="仿宋_GB2312" w:eastAsia="仿宋_GB2312" w:cs="仿宋_GB2312"/>
          <w:sz w:val="32"/>
          <w:szCs w:val="32"/>
        </w:rPr>
        <w:t>具体情况如下：</w:t>
      </w:r>
      <w:r>
        <w:rPr>
          <w:rFonts w:hint="eastAsia" w:ascii="仿宋_GB2312" w:hAnsi="仿宋_GB2312" w:eastAsia="仿宋_GB2312" w:cs="仿宋_GB2312"/>
          <w:sz w:val="32"/>
          <w:szCs w:val="32"/>
          <w:lang w:val="en-US" w:eastAsia="zh-CN"/>
        </w:rPr>
        <w:t>益阳市大通湖区千山红镇2024年</w:t>
      </w:r>
      <w:r>
        <w:rPr>
          <w:rFonts w:hint="eastAsia" w:ascii="仿宋_GB2312" w:hAnsi="仿宋_GB2312" w:eastAsia="仿宋_GB2312" w:cs="仿宋_GB2312"/>
          <w:b w:val="0"/>
          <w:bCs w:val="0"/>
          <w:i w:val="0"/>
          <w:iCs/>
          <w:color w:val="auto"/>
          <w:kern w:val="0"/>
          <w:sz w:val="32"/>
          <w:szCs w:val="32"/>
          <w:lang w:val="en-US" w:eastAsia="zh-CN" w:bidi="ar-SA"/>
        </w:rPr>
        <w:t>无政府性基金收支。</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pPr>
        <w:keepNext w:val="0"/>
        <w:keepLines w:val="0"/>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益阳市大通湖区千山红镇</w:t>
      </w:r>
      <w:r>
        <w:rPr>
          <w:rFonts w:hint="eastAsia" w:ascii="仿宋_GB2312" w:hAnsi="仿宋_GB2312" w:eastAsia="仿宋_GB2312" w:cs="仿宋_GB2312"/>
          <w:kern w:val="0"/>
          <w:sz w:val="32"/>
          <w:szCs w:val="32"/>
        </w:rPr>
        <w:t>中心卫生院</w:t>
      </w:r>
      <w:r>
        <w:rPr>
          <w:rFonts w:hint="eastAsia" w:ascii="仿宋_GB2312" w:hAnsi="仿宋_GB2312" w:eastAsia="仿宋_GB2312" w:cs="仿宋_GB2312"/>
          <w:sz w:val="32"/>
          <w:szCs w:val="24"/>
          <w:highlight w:val="white"/>
        </w:rPr>
        <w:t>不属于行政单位和参照公务员法管理事业单位，无机关运行经费支出</w:t>
      </w:r>
      <w:r>
        <w:rPr>
          <w:rFonts w:hint="eastAsia" w:ascii="仿宋_GB2312" w:hAnsi="仿宋_GB2312" w:eastAsia="仿宋_GB2312" w:cs="仿宋_GB2312"/>
          <w:sz w:val="32"/>
          <w:szCs w:val="24"/>
          <w:highlight w:val="white"/>
          <w:lang w:eastAsia="zh-CN"/>
        </w:rPr>
        <w:t>。</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color w:val="auto"/>
          <w:kern w:val="2"/>
          <w:sz w:val="32"/>
          <w:szCs w:val="24"/>
          <w:highlight w:val="none"/>
          <w:lang w:val="en-US" w:eastAsia="zh-CN" w:bidi="ar-SA"/>
        </w:rPr>
      </w:pPr>
      <w:r>
        <w:rPr>
          <w:rFonts w:hint="eastAsia" w:ascii="黑体" w:hAnsi="黑体" w:eastAsia="黑体" w:cs="黑体"/>
          <w:color w:val="auto"/>
          <w:kern w:val="2"/>
          <w:sz w:val="32"/>
          <w:szCs w:val="24"/>
          <w:highlight w:val="none"/>
          <w:lang w:val="en-US" w:eastAsia="zh-CN" w:bidi="ar-SA"/>
        </w:rPr>
        <w:t>十、一般性支出情况说明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textAlignment w:val="auto"/>
        <w:outlineLvl w:val="0"/>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 xml:space="preserve">2024年本部门开支会议费0万元；开支培训费0万元（只存在医务人员去市里培训的费用）；未举办节庆、晚会、论坛、赛事活动。 </w:t>
      </w:r>
    </w:p>
    <w:p>
      <w:pPr>
        <w:pStyle w:val="13"/>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益阳市大通湖区千山红镇</w:t>
      </w:r>
      <w:r>
        <w:rPr>
          <w:rFonts w:hint="eastAsia" w:ascii="仿宋_GB2312" w:hAnsi="仿宋_GB2312" w:eastAsia="仿宋_GB2312" w:cs="仿宋_GB2312"/>
          <w:sz w:val="32"/>
          <w:szCs w:val="32"/>
        </w:rPr>
        <w:t>中心卫生院202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2"/>
          <w:szCs w:val="32"/>
        </w:rPr>
        <w:t>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年本单位按照有关政策文件要求开展预算绩效管理工作，一是加强绩效目标管理。在编制202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年部门预算时，本部门将所有预算资金纳入绩效目标管理，实现了绩效目标与部门预算同步编制、同步申报。二是做好绩效自评。根据财政局文件要求，本单位对202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年部门整体支出开展了绩效自评。</w:t>
      </w:r>
    </w:p>
    <w:p>
      <w:pPr>
        <w:pStyle w:val="13"/>
        <w:jc w:val="both"/>
        <w:rPr>
          <w:sz w:val="72"/>
          <w:szCs w:val="72"/>
        </w:rPr>
      </w:pP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13"/>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pStyle w:val="13"/>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color w:val="000000"/>
          <w:kern w:val="0"/>
          <w:sz w:val="70"/>
          <w:szCs w:val="70"/>
        </w:rPr>
      </w:pPr>
    </w:p>
    <w:p>
      <w:pPr>
        <w:ind w:firstLine="640" w:firstLineChars="200"/>
        <w:rPr>
          <w:rFonts w:hint="eastAsia" w:ascii="宋体" w:hAnsi="Times New Roman" w:eastAsia="宋体" w:cs="宋体"/>
          <w:b/>
          <w:color w:val="000000"/>
          <w:kern w:val="0"/>
          <w:sz w:val="32"/>
          <w:szCs w:val="32"/>
          <w:highlight w:val="none"/>
        </w:rPr>
      </w:pPr>
    </w:p>
    <w:p>
      <w:pPr>
        <w:ind w:firstLine="640" w:firstLineChars="200"/>
        <w:rPr>
          <w:rFonts w:hint="eastAsia" w:ascii="宋体" w:hAnsi="Times New Roman" w:eastAsia="宋体" w:cs="宋体"/>
          <w:b/>
          <w:color w:val="000000"/>
          <w:kern w:val="0"/>
          <w:sz w:val="32"/>
          <w:szCs w:val="32"/>
          <w:highlight w:val="none"/>
        </w:rPr>
      </w:pPr>
    </w:p>
    <w:p>
      <w:pPr>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b/>
          <w:color w:val="000000"/>
          <w:kern w:val="0"/>
          <w:sz w:val="32"/>
          <w:szCs w:val="32"/>
          <w:highlight w:val="none"/>
        </w:rPr>
      </w:pPr>
      <w:r>
        <w:rPr>
          <w:rFonts w:hint="eastAsia" w:ascii="黑体" w:hAnsi="黑体" w:eastAsia="黑体" w:cs="黑体"/>
          <w:b w:val="0"/>
          <w:bCs/>
          <w:color w:val="000000"/>
          <w:kern w:val="0"/>
          <w:sz w:val="32"/>
          <w:szCs w:val="32"/>
          <w:highlight w:val="none"/>
        </w:rPr>
        <w:t>财政拨款收入：</w:t>
      </w:r>
      <w:r>
        <w:rPr>
          <w:rFonts w:hint="eastAsia" w:ascii="仿宋_GB2312" w:hAnsi="仿宋_GB2312" w:eastAsia="仿宋_GB2312" w:cs="仿宋_GB2312"/>
          <w:color w:val="000000"/>
          <w:kern w:val="0"/>
          <w:sz w:val="32"/>
          <w:szCs w:val="32"/>
          <w:highlight w:val="none"/>
        </w:rPr>
        <w:t>指本级财政当年拨付的资金。</w:t>
      </w:r>
    </w:p>
    <w:p>
      <w:pPr>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b/>
          <w:color w:val="000000"/>
          <w:kern w:val="0"/>
          <w:sz w:val="32"/>
          <w:szCs w:val="32"/>
          <w:highlight w:val="none"/>
        </w:rPr>
      </w:pPr>
      <w:r>
        <w:rPr>
          <w:rFonts w:hint="eastAsia" w:ascii="黑体" w:hAnsi="黑体" w:eastAsia="黑体" w:cs="黑体"/>
          <w:b w:val="0"/>
          <w:bCs/>
          <w:color w:val="000000"/>
          <w:kern w:val="0"/>
          <w:sz w:val="32"/>
          <w:szCs w:val="32"/>
          <w:highlight w:val="none"/>
        </w:rPr>
        <w:t>事业收入：</w:t>
      </w:r>
      <w:r>
        <w:rPr>
          <w:rFonts w:hint="eastAsia" w:ascii="仿宋_GB2312" w:hAnsi="仿宋_GB2312" w:eastAsia="仿宋_GB2312" w:cs="仿宋_GB2312"/>
          <w:color w:val="000000"/>
          <w:kern w:val="0"/>
          <w:sz w:val="32"/>
          <w:szCs w:val="32"/>
          <w:highlight w:val="none"/>
        </w:rPr>
        <w:t>指事业单位开展专业业务活动及辅助活动所取得的收入。</w:t>
      </w:r>
    </w:p>
    <w:p>
      <w:pPr>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b/>
          <w:color w:val="000000"/>
          <w:kern w:val="0"/>
          <w:sz w:val="32"/>
          <w:szCs w:val="32"/>
          <w:highlight w:val="none"/>
        </w:rPr>
      </w:pPr>
      <w:r>
        <w:rPr>
          <w:rFonts w:hint="eastAsia" w:ascii="黑体" w:hAnsi="黑体" w:eastAsia="黑体" w:cs="黑体"/>
          <w:b w:val="0"/>
          <w:bCs/>
          <w:color w:val="000000"/>
          <w:kern w:val="0"/>
          <w:sz w:val="32"/>
          <w:szCs w:val="32"/>
          <w:highlight w:val="none"/>
        </w:rPr>
        <w:t>卫生健康支出（类）：</w:t>
      </w:r>
      <w:r>
        <w:rPr>
          <w:rFonts w:hint="eastAsia" w:ascii="仿宋_GB2312" w:hAnsi="仿宋_GB2312" w:eastAsia="仿宋_GB2312" w:cs="仿宋_GB2312"/>
          <w:color w:val="000000"/>
          <w:kern w:val="0"/>
          <w:sz w:val="32"/>
          <w:szCs w:val="32"/>
          <w:highlight w:val="none"/>
        </w:rPr>
        <w:t>是指用于医疗卫生与计划生育方面的支出，包括保障机构正常运转、完成日常和特定的工作任务或事业发展目标的支出。</w:t>
      </w:r>
    </w:p>
    <w:p>
      <w:pPr>
        <w:pageBreakBefore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b/>
          <w:color w:val="000000"/>
          <w:kern w:val="0"/>
          <w:sz w:val="32"/>
          <w:szCs w:val="32"/>
          <w:highlight w:val="none"/>
        </w:rPr>
      </w:pPr>
      <w:r>
        <w:rPr>
          <w:rFonts w:hint="eastAsia" w:ascii="黑体" w:hAnsi="黑体" w:eastAsia="黑体" w:cs="黑体"/>
          <w:b w:val="0"/>
          <w:bCs/>
          <w:color w:val="000000"/>
          <w:kern w:val="0"/>
          <w:sz w:val="32"/>
          <w:szCs w:val="32"/>
          <w:highlight w:val="none"/>
        </w:rPr>
        <w:t>基本支出：</w:t>
      </w:r>
      <w:r>
        <w:rPr>
          <w:rFonts w:hint="eastAsia" w:ascii="仿宋_GB2312" w:hAnsi="仿宋_GB2312" w:eastAsia="仿宋_GB2312" w:cs="仿宋_GB2312"/>
          <w:color w:val="000000"/>
          <w:kern w:val="0"/>
          <w:sz w:val="32"/>
          <w:szCs w:val="32"/>
          <w:highlight w:val="none"/>
        </w:rPr>
        <w:t>指保障机构正常运转、完成支日常工作任务而发生的人员支出和公用支出。</w:t>
      </w:r>
    </w:p>
    <w:p>
      <w:pPr>
        <w:pageBreakBefore w:val="0"/>
        <w:widowControl/>
        <w:shd w:val="clear" w:color="auto" w:fill="FFFFFF"/>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工资福利支出：</w:t>
      </w:r>
      <w:r>
        <w:rPr>
          <w:rFonts w:hint="eastAsia" w:ascii="仿宋_GB2312" w:hAnsi="仿宋_GB2312" w:eastAsia="仿宋_GB2312" w:cs="仿宋_GB2312"/>
          <w:color w:val="000000"/>
          <w:kern w:val="0"/>
          <w:sz w:val="32"/>
          <w:szCs w:val="32"/>
          <w:highlight w:val="none"/>
        </w:rPr>
        <w:t>反映单位开支的在职职工和编制外长期聘用人员的各类劳动报酬，以及为上述人员缴纳的各项社会保险费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ageBreakBefore w:val="0"/>
        <w:widowControl/>
        <w:shd w:val="clear" w:color="auto" w:fill="FFFFFF"/>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机关事业单位基本养老保险缴费：</w:t>
      </w:r>
      <w:r>
        <w:rPr>
          <w:rFonts w:hint="eastAsia" w:ascii="仿宋_GB2312" w:hAnsi="仿宋_GB2312" w:eastAsia="仿宋_GB2312" w:cs="仿宋_GB2312"/>
          <w:color w:val="000000"/>
          <w:kern w:val="0"/>
          <w:sz w:val="32"/>
          <w:szCs w:val="32"/>
          <w:highlight w:val="none"/>
        </w:rPr>
        <w:t>反映机关事业单位缴纳的基本养老保险费。由单位代扣的工作人员基本养老保险缴费，不在此科目反映。</w:t>
      </w:r>
    </w:p>
    <w:p>
      <w:pPr>
        <w:pageBreakBefore w:val="0"/>
        <w:widowControl/>
        <w:shd w:val="clear" w:color="auto" w:fill="FFFFFF"/>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劳务费：</w:t>
      </w:r>
      <w:r>
        <w:rPr>
          <w:rFonts w:hint="eastAsia" w:ascii="仿宋_GB2312" w:hAnsi="仿宋_GB2312" w:eastAsia="仿宋_GB2312" w:cs="仿宋_GB2312"/>
          <w:color w:val="000000"/>
          <w:kern w:val="0"/>
          <w:sz w:val="32"/>
          <w:szCs w:val="32"/>
          <w:highlight w:val="none"/>
        </w:rPr>
        <w:t>反映支付给单位和个人的劳务费用，如临时聘用人员、钟点工工资，稿费、翻译费，评审费等。</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医疗费补助：</w:t>
      </w:r>
      <w:r>
        <w:rPr>
          <w:rFonts w:hint="eastAsia" w:ascii="仿宋_GB2312" w:hAnsi="仿宋_GB2312" w:eastAsia="仿宋_GB2312" w:cs="仿宋_GB2312"/>
          <w:color w:val="000000"/>
          <w:kern w:val="0"/>
          <w:sz w:val="32"/>
          <w:szCs w:val="32"/>
          <w:highlight w:val="none"/>
        </w:rPr>
        <w:t>反映机关事业单位和军队移交政府安置的离退休人员的医疗费，学生医疗费，优抚对象医疗补助，按国家规定资助居民参加城乡居民医疗保险的支出，对城乡贫困家庭的医疗救助支出。</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退休费：</w:t>
      </w:r>
      <w:r>
        <w:rPr>
          <w:rFonts w:hint="eastAsia" w:ascii="仿宋_GB2312" w:hAnsi="仿宋_GB2312" w:eastAsia="仿宋_GB2312" w:cs="仿宋_GB2312"/>
          <w:color w:val="000000"/>
          <w:kern w:val="0"/>
          <w:sz w:val="32"/>
          <w:szCs w:val="32"/>
          <w:highlight w:val="none"/>
        </w:rPr>
        <w:t>反映行政事业单位和军队移交政府安置的退休人员的退休费和其他补贴。</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绩效工资：</w:t>
      </w:r>
      <w:r>
        <w:rPr>
          <w:rFonts w:hint="eastAsia" w:ascii="仿宋_GB2312" w:hAnsi="仿宋_GB2312" w:eastAsia="仿宋_GB2312" w:cs="仿宋_GB2312"/>
          <w:color w:val="000000"/>
          <w:kern w:val="0"/>
          <w:sz w:val="32"/>
          <w:szCs w:val="32"/>
          <w:highlight w:val="none"/>
        </w:rPr>
        <w:t>反映事业单位工作人员的绩效工资。</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职业年金缴费：</w:t>
      </w:r>
      <w:r>
        <w:rPr>
          <w:rFonts w:hint="eastAsia" w:ascii="仿宋_GB2312" w:hAnsi="仿宋_GB2312" w:eastAsia="仿宋_GB2312" w:cs="仿宋_GB2312"/>
          <w:color w:val="000000"/>
          <w:kern w:val="0"/>
          <w:sz w:val="32"/>
          <w:szCs w:val="32"/>
          <w:highlight w:val="none"/>
        </w:rPr>
        <w:t>反映机关事业单位实际缴纳的职业年金支出。由单位代扣的工作人员职业年金缴费，不在此科目反映。</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住房公积金：</w:t>
      </w:r>
      <w:r>
        <w:rPr>
          <w:rFonts w:hint="eastAsia" w:ascii="仿宋_GB2312" w:hAnsi="仿宋_GB2312" w:eastAsia="仿宋_GB2312" w:cs="仿宋_GB2312"/>
          <w:color w:val="000000"/>
          <w:kern w:val="0"/>
          <w:sz w:val="32"/>
          <w:szCs w:val="32"/>
          <w:highlight w:val="none"/>
        </w:rPr>
        <w:t>反映行政事业单位按人力资源和社会保障部、财政部规定的基本工资和津贴补贴以及规定比例为职工缴纳的住房公积金。</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对个人和家庭的补助：</w:t>
      </w:r>
      <w:r>
        <w:rPr>
          <w:rFonts w:hint="eastAsia" w:ascii="仿宋_GB2312" w:hAnsi="仿宋_GB2312" w:eastAsia="仿宋_GB2312" w:cs="仿宋_GB2312"/>
          <w:color w:val="000000"/>
          <w:kern w:val="0"/>
          <w:sz w:val="32"/>
          <w:szCs w:val="32"/>
          <w:highlight w:val="none"/>
        </w:rPr>
        <w:t>反映政府用于对个人和家庭的补助支出。</w:t>
      </w:r>
    </w:p>
    <w:p>
      <w:pPr>
        <w:keepNext/>
        <w:keepLines/>
        <w:pageBreakBefore w:val="0"/>
        <w:kinsoku/>
        <w:wordWrap/>
        <w:overflowPunct/>
        <w:topLinePunct w:val="0"/>
        <w:autoSpaceDE w:val="0"/>
        <w:autoSpaceDN w:val="0"/>
        <w:bidi w:val="0"/>
        <w:adjustRightInd w:val="0"/>
        <w:snapToGrid/>
        <w:spacing w:line="57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商品和服务支出：</w:t>
      </w:r>
      <w:r>
        <w:rPr>
          <w:rFonts w:hint="eastAsia" w:ascii="仿宋_GB2312" w:hAnsi="仿宋_GB2312" w:eastAsia="仿宋_GB2312" w:cs="仿宋_GB2312"/>
          <w:color w:val="000000"/>
          <w:kern w:val="0"/>
          <w:sz w:val="32"/>
          <w:szCs w:val="32"/>
          <w:highlight w:val="none"/>
        </w:rPr>
        <w:t>反映单位购买商品和服务的支出（不包括用于购置固定资产的支出、战略性和应急储备支出）。</w:t>
      </w:r>
    </w:p>
    <w:p>
      <w:pPr>
        <w:keepNext/>
        <w:keepLines/>
        <w:pageBreakBefore w:val="0"/>
        <w:kinsoku/>
        <w:wordWrap/>
        <w:overflowPunct/>
        <w:topLinePunct w:val="0"/>
        <w:autoSpaceDE w:val="0"/>
        <w:autoSpaceDN w:val="0"/>
        <w:bidi w:val="0"/>
        <w:adjustRightInd w:val="0"/>
        <w:snapToGrid/>
        <w:spacing w:line="57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专用材料费：</w:t>
      </w:r>
      <w:r>
        <w:rPr>
          <w:rFonts w:hint="eastAsia" w:ascii="仿宋_GB2312" w:hAnsi="仿宋_GB2312" w:eastAsia="仿宋_GB2312" w:cs="仿宋_GB2312"/>
          <w:color w:val="000000"/>
          <w:kern w:val="0"/>
          <w:sz w:val="32"/>
          <w:szCs w:val="32"/>
          <w:highlight w:val="none"/>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机关运行经费：</w:t>
      </w:r>
      <w:r>
        <w:rPr>
          <w:rFonts w:hint="eastAsia" w:ascii="仿宋_GB2312" w:hAnsi="仿宋_GB2312" w:eastAsia="仿宋_GB2312" w:cs="仿宋_GB2312"/>
          <w:color w:val="000000"/>
          <w:kern w:val="0"/>
          <w:sz w:val="32"/>
          <w:szCs w:val="32"/>
          <w:highlight w:val="none"/>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其他交通费用：</w:t>
      </w:r>
      <w:r>
        <w:rPr>
          <w:rFonts w:hint="eastAsia" w:ascii="仿宋_GB2312" w:hAnsi="仿宋_GB2312" w:eastAsia="仿宋_GB2312" w:cs="仿宋_GB2312"/>
          <w:color w:val="000000"/>
          <w:kern w:val="0"/>
          <w:sz w:val="32"/>
          <w:szCs w:val="32"/>
          <w:highlight w:val="none"/>
        </w:rPr>
        <w:t>反映单位除公务用车运行维护费以外的其他交通费用。如公务交通补贴，租车费用、出租车费用，飞机、船舶等的燃料费、维修费、保险费等。</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印刷费：</w:t>
      </w:r>
      <w:r>
        <w:rPr>
          <w:rFonts w:hint="eastAsia" w:ascii="仿宋_GB2312" w:hAnsi="仿宋_GB2312" w:eastAsia="仿宋_GB2312" w:cs="仿宋_GB2312"/>
          <w:color w:val="000000"/>
          <w:kern w:val="0"/>
          <w:sz w:val="32"/>
          <w:szCs w:val="32"/>
          <w:highlight w:val="none"/>
        </w:rPr>
        <w:t>反映单位的印刷费支出。</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电费：</w:t>
      </w:r>
      <w:r>
        <w:rPr>
          <w:rFonts w:hint="eastAsia" w:ascii="仿宋_GB2312" w:hAnsi="仿宋_GB2312" w:eastAsia="仿宋_GB2312" w:cs="仿宋_GB2312"/>
          <w:color w:val="000000"/>
          <w:kern w:val="0"/>
          <w:sz w:val="32"/>
          <w:szCs w:val="32"/>
          <w:highlight w:val="none"/>
        </w:rPr>
        <w:t>反映单位的电费支出。</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差旅费：</w:t>
      </w:r>
      <w:r>
        <w:rPr>
          <w:rFonts w:hint="eastAsia" w:ascii="仿宋_GB2312" w:hAnsi="仿宋_GB2312" w:eastAsia="仿宋_GB2312" w:cs="仿宋_GB2312"/>
          <w:color w:val="000000"/>
          <w:kern w:val="0"/>
          <w:sz w:val="32"/>
          <w:szCs w:val="32"/>
          <w:highlight w:val="none"/>
        </w:rPr>
        <w:t>反映单位工作人员出差发生的城市间交通费、住宿费、伙食补贴费和市内交通费。</w:t>
      </w:r>
    </w:p>
    <w:p>
      <w:pPr>
        <w:pageBreakBefore w:val="0"/>
        <w:widowControl/>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办公费：</w:t>
      </w:r>
      <w:r>
        <w:rPr>
          <w:rFonts w:hint="eastAsia" w:ascii="仿宋_GB2312" w:hAnsi="仿宋_GB2312" w:eastAsia="仿宋_GB2312" w:cs="仿宋_GB2312"/>
          <w:color w:val="000000"/>
          <w:kern w:val="0"/>
          <w:sz w:val="32"/>
          <w:szCs w:val="32"/>
          <w:highlight w:val="none"/>
        </w:rPr>
        <w:t>反映单位购买按财务会计制度规定不符合固定资产确认标准的日常办公用品、书报杂志等支出。</w:t>
      </w:r>
    </w:p>
    <w:p>
      <w:pPr>
        <w:pageBreakBefore w:val="0"/>
        <w:widowControl/>
        <w:shd w:val="clear" w:color="auto" w:fill="FFFFFF"/>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黑体" w:hAnsi="黑体" w:eastAsia="黑体" w:cs="黑体"/>
          <w:b w:val="0"/>
          <w:bCs/>
          <w:color w:val="000000"/>
          <w:kern w:val="0"/>
          <w:sz w:val="32"/>
          <w:szCs w:val="32"/>
          <w:highlight w:val="none"/>
        </w:rPr>
        <w:t>“三公”经费：</w:t>
      </w:r>
      <w:r>
        <w:rPr>
          <w:rFonts w:hint="eastAsia" w:ascii="仿宋_GB2312" w:hAnsi="仿宋_GB2312" w:eastAsia="仿宋_GB2312" w:cs="仿宋_GB2312"/>
          <w:color w:val="000000"/>
          <w:kern w:val="0"/>
          <w:sz w:val="32"/>
          <w:szCs w:val="32"/>
          <w:highlight w:val="none"/>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bookmarkStart w:id="3" w:name="_GoBack"/>
      <w:bookmarkEnd w:id="3"/>
    </w:p>
    <w:p>
      <w:pPr>
        <w:rPr>
          <w:rFonts w:ascii="Times New Roman" w:hAnsi="Times New Roman" w:eastAsia="仿宋"/>
          <w:sz w:val="32"/>
          <w:szCs w:val="32"/>
        </w:rPr>
      </w:pPr>
    </w:p>
    <w:p>
      <w:pPr>
        <w:pStyle w:val="13"/>
        <w:jc w:val="both"/>
        <w:rPr>
          <w:rFonts w:hint="eastAsia" w:ascii="Times New Roman" w:hAnsi="Times New Roman" w:eastAsia="仿宋"/>
          <w:sz w:val="32"/>
          <w:szCs w:val="32"/>
          <w:lang w:val="en-US" w:eastAsia="zh-CN"/>
        </w:rPr>
      </w:pPr>
    </w:p>
    <w:p>
      <w:pPr>
        <w:pStyle w:val="13"/>
        <w:jc w:val="both"/>
        <w:rPr>
          <w:rFonts w:hint="eastAsia" w:ascii="Times New Roman" w:hAnsi="Times New Roman" w:eastAsia="仿宋"/>
          <w:sz w:val="32"/>
          <w:szCs w:val="32"/>
        </w:rPr>
      </w:pPr>
    </w:p>
    <w:p>
      <w:pPr>
        <w:pStyle w:val="13"/>
        <w:jc w:val="center"/>
        <w:rPr>
          <w:sz w:val="72"/>
          <w:szCs w:val="72"/>
        </w:rPr>
      </w:pPr>
    </w:p>
    <w:p>
      <w:pPr>
        <w:pStyle w:val="13"/>
        <w:ind w:firstLine="2880" w:firstLineChars="400"/>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pStyle w:val="13"/>
        <w:ind w:firstLine="3500" w:firstLineChars="500"/>
        <w:jc w:val="both"/>
        <w:rPr>
          <w:rFonts w:hint="eastAsia" w:ascii="方正小标宋_GBK" w:hAnsi="方正小标宋_GBK" w:eastAsia="方正小标宋_GBK" w:cs="方正小标宋_GBK"/>
          <w:sz w:val="70"/>
          <w:szCs w:val="70"/>
          <w:lang w:eastAsia="zh-CN"/>
        </w:rPr>
      </w:pPr>
    </w:p>
    <w:p>
      <w:pPr>
        <w:pStyle w:val="13"/>
        <w:ind w:firstLine="3500" w:firstLineChars="500"/>
        <w:jc w:val="both"/>
        <w:rPr>
          <w:rFonts w:hint="eastAsia" w:ascii="方正小标宋_GBK" w:hAnsi="方正小标宋_GBK" w:eastAsia="方正小标宋_GBK" w:cs="方正小标宋_GBK"/>
          <w:sz w:val="70"/>
          <w:szCs w:val="70"/>
          <w:lang w:eastAsia="zh-CN"/>
        </w:rPr>
      </w:pPr>
    </w:p>
    <w:p>
      <w:pPr>
        <w:pStyle w:val="13"/>
        <w:ind w:firstLine="3500" w:firstLineChars="500"/>
        <w:jc w:val="both"/>
        <w:rPr>
          <w:rFonts w:hint="eastAsia" w:ascii="方正小标宋_GBK" w:hAnsi="方正小标宋_GBK" w:eastAsia="方正小标宋_GBK" w:cs="方正小标宋_GBK"/>
          <w:sz w:val="70"/>
          <w:szCs w:val="70"/>
          <w:lang w:eastAsia="zh-CN"/>
        </w:rPr>
      </w:pPr>
    </w:p>
    <w:p>
      <w:pPr>
        <w:pStyle w:val="13"/>
        <w:ind w:firstLine="3500" w:firstLineChars="500"/>
        <w:jc w:val="both"/>
        <w:rPr>
          <w:rFonts w:hint="eastAsia" w:ascii="方正小标宋_GBK" w:hAnsi="方正小标宋_GBK" w:eastAsia="方正小标宋_GBK" w:cs="方正小标宋_GBK"/>
          <w:sz w:val="70"/>
          <w:szCs w:val="70"/>
          <w:lang w:eastAsia="zh-CN"/>
        </w:rPr>
      </w:pPr>
    </w:p>
    <w:p>
      <w:pPr>
        <w:pStyle w:val="13"/>
        <w:ind w:firstLine="3500" w:firstLineChars="500"/>
        <w:jc w:val="both"/>
        <w:rPr>
          <w:rFonts w:hint="eastAsia" w:ascii="方正小标宋_GBK" w:hAnsi="方正小标宋_GBK" w:eastAsia="方正小标宋_GBK" w:cs="方正小标宋_GBK"/>
          <w:sz w:val="70"/>
          <w:szCs w:val="70"/>
          <w:lang w:eastAsia="zh-CN"/>
        </w:rPr>
      </w:pPr>
    </w:p>
    <w:p>
      <w:pPr>
        <w:pStyle w:val="13"/>
        <w:ind w:firstLine="3500" w:firstLineChars="500"/>
        <w:jc w:val="both"/>
        <w:rPr>
          <w:rFonts w:hint="eastAsia" w:ascii="方正小标宋_GBK" w:hAnsi="方正小标宋_GBK" w:eastAsia="方正小标宋_GBK" w:cs="方正小标宋_GBK"/>
          <w:sz w:val="70"/>
          <w:szCs w:val="70"/>
          <w:lang w:eastAsia="zh-CN"/>
        </w:rPr>
      </w:pP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eastAsia="zh-CN"/>
        </w:rPr>
        <w:t>一、</w:t>
      </w:r>
      <w:r>
        <w:rPr>
          <w:rFonts w:hint="eastAsia" w:ascii="黑体" w:hAnsi="黑体" w:eastAsia="黑体" w:cs="黑体"/>
          <w:sz w:val="32"/>
          <w:szCs w:val="32"/>
          <w:lang w:val="en-US" w:eastAsia="zh-CN"/>
        </w:rPr>
        <w:t>2024年度部门(单位)整体支出绩效自评报告</w:t>
      </w:r>
    </w:p>
    <w:p>
      <w:pPr>
        <w:pStyle w:val="13"/>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我院通过开展绩效评价，不断建立健全内部管理制度，促进部门从整体上提升预算绩效管理工作水平，强化部门支出责任，规范资金管理行为，提高财政资金使用效益，保障部门更好地履行职责，为服务社会、群众变得更有效益和效率，为此，我院积极开展相关工作：</w:t>
      </w:r>
    </w:p>
    <w:p>
      <w:pPr>
        <w:keepNext w:val="0"/>
        <w:keepLines w:val="0"/>
        <w:pageBreakBefore w:val="0"/>
        <w:widowControl w:val="0"/>
        <w:numPr>
          <w:ilvl w:val="0"/>
          <w:numId w:val="0"/>
        </w:numPr>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 加强上级补助资金的管理，强化机制运行，做好财政资金预算决算管理工作，确保绩效评价的科学性和准确性。</w:t>
      </w:r>
    </w:p>
    <w:p>
      <w:pPr>
        <w:pStyle w:val="13"/>
        <w:keepNext w:val="0"/>
        <w:keepLines w:val="0"/>
        <w:pageBreakBefore w:val="0"/>
        <w:widowControl w:val="0"/>
        <w:numPr>
          <w:ilvl w:val="0"/>
          <w:numId w:val="0"/>
        </w:numPr>
        <w:kinsoku/>
        <w:wordWrap/>
        <w:overflowPunct/>
        <w:topLinePunct w:val="0"/>
        <w:bidi w:val="0"/>
        <w:snapToGrid/>
        <w:spacing w:line="570" w:lineRule="exact"/>
        <w:ind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 加强医疗服务质量建设，规范医务人员诊疗行为，严肃查处大处方、乱检查、乱收费等行为，切实控制医疗费用不合理增长，确保广大群众得实惠。</w:t>
      </w:r>
    </w:p>
    <w:p>
      <w:pPr>
        <w:pStyle w:val="13"/>
        <w:keepNext w:val="0"/>
        <w:keepLines w:val="0"/>
        <w:pageBreakBefore w:val="0"/>
        <w:widowControl w:val="0"/>
        <w:numPr>
          <w:ilvl w:val="0"/>
          <w:numId w:val="0"/>
        </w:numPr>
        <w:kinsoku/>
        <w:wordWrap/>
        <w:overflowPunct/>
        <w:topLinePunct w:val="0"/>
        <w:bidi w:val="0"/>
        <w:snapToGrid/>
        <w:spacing w:line="570" w:lineRule="exact"/>
        <w:ind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 完善内部控制制度和预算管理制度等制度，促进党风廉政建设有序健康发展，防止财产、资金流失、浪费。</w:t>
      </w:r>
    </w:p>
    <w:p>
      <w:pPr>
        <w:pStyle w:val="13"/>
        <w:keepNext w:val="0"/>
        <w:keepLines w:val="0"/>
        <w:pageBreakBefore w:val="0"/>
        <w:widowControl w:val="0"/>
        <w:numPr>
          <w:ilvl w:val="0"/>
          <w:numId w:val="0"/>
        </w:numPr>
        <w:kinsoku/>
        <w:wordWrap/>
        <w:overflowPunct/>
        <w:topLinePunct w:val="0"/>
        <w:bidi w:val="0"/>
        <w:snapToGrid/>
        <w:spacing w:line="600" w:lineRule="exact"/>
        <w:ind w:leftChars="0"/>
        <w:jc w:val="left"/>
        <w:textAlignment w:val="auto"/>
        <w:rPr>
          <w:rFonts w:hint="eastAsia" w:ascii="仿宋" w:hAnsi="仿宋" w:eastAsia="仿宋" w:cs="仿宋"/>
          <w:color w:val="000000"/>
          <w:kern w:val="0"/>
          <w:sz w:val="32"/>
          <w:szCs w:val="32"/>
          <w:lang w:val="en-US" w:eastAsia="zh-CN" w:bidi="ar-SA"/>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CC84D1"/>
    <w:multiLevelType w:val="singleLevel"/>
    <w:tmpl w:val="51CC84D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MmM5YjM1MzM4NTg4MzI3Y2EzNzEzMmU4ODZlMG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B50904"/>
    <w:rsid w:val="04100A70"/>
    <w:rsid w:val="04A4343E"/>
    <w:rsid w:val="073C75C4"/>
    <w:rsid w:val="076512A5"/>
    <w:rsid w:val="09480D5F"/>
    <w:rsid w:val="0B24469B"/>
    <w:rsid w:val="0BCB1F0A"/>
    <w:rsid w:val="0E4C6835"/>
    <w:rsid w:val="0E80011A"/>
    <w:rsid w:val="0EC33323"/>
    <w:rsid w:val="11695D55"/>
    <w:rsid w:val="13C34866"/>
    <w:rsid w:val="152B55B5"/>
    <w:rsid w:val="16725E0F"/>
    <w:rsid w:val="196B27AF"/>
    <w:rsid w:val="197C1B46"/>
    <w:rsid w:val="1D945E47"/>
    <w:rsid w:val="1D97DEFF"/>
    <w:rsid w:val="1DBA2C3C"/>
    <w:rsid w:val="1DEF28E6"/>
    <w:rsid w:val="1DFF72E5"/>
    <w:rsid w:val="1EFC6F07"/>
    <w:rsid w:val="1FA45952"/>
    <w:rsid w:val="1FB61087"/>
    <w:rsid w:val="204D1B46"/>
    <w:rsid w:val="214E5B76"/>
    <w:rsid w:val="218F1912"/>
    <w:rsid w:val="24A826C3"/>
    <w:rsid w:val="24FB5FFD"/>
    <w:rsid w:val="284D4DD9"/>
    <w:rsid w:val="29073EF2"/>
    <w:rsid w:val="29491A44"/>
    <w:rsid w:val="2BBC7189"/>
    <w:rsid w:val="2E4C37F6"/>
    <w:rsid w:val="2FDF85B8"/>
    <w:rsid w:val="2FFFEE04"/>
    <w:rsid w:val="34BA7E9D"/>
    <w:rsid w:val="34DF85B0"/>
    <w:rsid w:val="390F6FA7"/>
    <w:rsid w:val="391333F7"/>
    <w:rsid w:val="39A2259D"/>
    <w:rsid w:val="3B8F36BC"/>
    <w:rsid w:val="3BF72C68"/>
    <w:rsid w:val="3BFB741E"/>
    <w:rsid w:val="3C086C14"/>
    <w:rsid w:val="3CD70CBD"/>
    <w:rsid w:val="3FA4677C"/>
    <w:rsid w:val="41D1217F"/>
    <w:rsid w:val="456D44EF"/>
    <w:rsid w:val="461F7F9A"/>
    <w:rsid w:val="464949DA"/>
    <w:rsid w:val="47B033CB"/>
    <w:rsid w:val="491FF225"/>
    <w:rsid w:val="4AD30D16"/>
    <w:rsid w:val="4BBA25E2"/>
    <w:rsid w:val="4C244DD9"/>
    <w:rsid w:val="4D596C84"/>
    <w:rsid w:val="4D926265"/>
    <w:rsid w:val="4FFD214C"/>
    <w:rsid w:val="51BD002A"/>
    <w:rsid w:val="530103EA"/>
    <w:rsid w:val="5777D4F5"/>
    <w:rsid w:val="57D63BF4"/>
    <w:rsid w:val="58D55AE7"/>
    <w:rsid w:val="58E33CEB"/>
    <w:rsid w:val="596D6918"/>
    <w:rsid w:val="59DD8326"/>
    <w:rsid w:val="5A3058D0"/>
    <w:rsid w:val="5C1D6157"/>
    <w:rsid w:val="5C6037B0"/>
    <w:rsid w:val="5CF8460C"/>
    <w:rsid w:val="5DEF592A"/>
    <w:rsid w:val="5FC6BB1E"/>
    <w:rsid w:val="5FF720F1"/>
    <w:rsid w:val="60F95908"/>
    <w:rsid w:val="627806C9"/>
    <w:rsid w:val="62BC497C"/>
    <w:rsid w:val="644975B6"/>
    <w:rsid w:val="651C1C5F"/>
    <w:rsid w:val="65273CE0"/>
    <w:rsid w:val="67FF5C0B"/>
    <w:rsid w:val="6B6F8936"/>
    <w:rsid w:val="6EFC0924"/>
    <w:rsid w:val="6FB74722"/>
    <w:rsid w:val="6FEF8B7E"/>
    <w:rsid w:val="719E17CE"/>
    <w:rsid w:val="71A6591B"/>
    <w:rsid w:val="737D59BA"/>
    <w:rsid w:val="746B5A5F"/>
    <w:rsid w:val="77C37683"/>
    <w:rsid w:val="79FF515B"/>
    <w:rsid w:val="7BFBFD65"/>
    <w:rsid w:val="7E5576E8"/>
    <w:rsid w:val="7E9E1962"/>
    <w:rsid w:val="7E9F11B4"/>
    <w:rsid w:val="7F37EC1E"/>
    <w:rsid w:val="7F7DCD9D"/>
    <w:rsid w:val="7F970A6F"/>
    <w:rsid w:val="7FBD5515"/>
    <w:rsid w:val="7FC1FFF3"/>
    <w:rsid w:val="7FC69637"/>
    <w:rsid w:val="7FDF8620"/>
    <w:rsid w:val="7FFB242F"/>
    <w:rsid w:val="7FFDB408"/>
    <w:rsid w:val="7FFE4EEB"/>
    <w:rsid w:val="95FB2B98"/>
    <w:rsid w:val="9A639BC2"/>
    <w:rsid w:val="9FF7D786"/>
    <w:rsid w:val="ABBFB23D"/>
    <w:rsid w:val="C3B4DA5A"/>
    <w:rsid w:val="CBFF70E0"/>
    <w:rsid w:val="CFF50B82"/>
    <w:rsid w:val="CFFFAD89"/>
    <w:rsid w:val="DDFFF16E"/>
    <w:rsid w:val="DFFE359E"/>
    <w:rsid w:val="DFFE4FFD"/>
    <w:rsid w:val="EEABED75"/>
    <w:rsid w:val="F56FDF51"/>
    <w:rsid w:val="F6B69F17"/>
    <w:rsid w:val="F77F1D61"/>
    <w:rsid w:val="F7FED3A9"/>
    <w:rsid w:val="F8C9DB26"/>
    <w:rsid w:val="F97E8EAE"/>
    <w:rsid w:val="F9DFDE45"/>
    <w:rsid w:val="FB36E1A6"/>
    <w:rsid w:val="FB3BE134"/>
    <w:rsid w:val="FCFF4275"/>
    <w:rsid w:val="FD7FEEEA"/>
    <w:rsid w:val="FDFFB577"/>
    <w:rsid w:val="FEEA50FE"/>
    <w:rsid w:val="FF6A27FB"/>
    <w:rsid w:val="FF79022F"/>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1003</Words>
  <Characters>1078</Characters>
  <Lines>63</Lines>
  <Paragraphs>18</Paragraphs>
  <TotalTime>77</TotalTime>
  <ScaleCrop>false</ScaleCrop>
  <LinksUpToDate>false</LinksUpToDate>
  <CharactersWithSpaces>1159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2020-07-09T02:32:00Z</dcterms:created>
  <dc:creator>李航 null</dc:creator>
  <cp:lastModifiedBy>shichang</cp:lastModifiedBy>
  <cp:lastPrinted>2024-11-21T04:57:00Z</cp:lastPrinted>
  <dcterms:modified xsi:type="dcterms:W3CDTF">2025-09-28T17:47:46Z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6E9223AB8B904951AB7D06D53AE91A4A_13</vt:lpwstr>
  </property>
  <property fmtid="{D5CDD505-2E9C-101B-9397-08002B2CF9AE}" pid="4" name="KSOTemplateDocerSaveRecord">
    <vt:lpwstr>eyJoZGlkIjoiN2E0YThiYTYzNTI4YmJmOGE0OWMwZTk4MGZlODNiNDYiLCJ1c2VySWQiOiIxMTQyMzcwMjQ1In0=</vt:lpwstr>
  </property>
</Properties>
</file>