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 xml:space="preserve">益阳市大通湖区人民医院 </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益阳市大通湖区人民医院</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 xml:space="preserve">益阳市大通湖区人民医院 </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both"/>
        <w:rPr>
          <w:sz w:val="72"/>
          <w:szCs w:val="72"/>
        </w:rPr>
      </w:pPr>
    </w:p>
    <w:p>
      <w:pPr>
        <w:pStyle w:val="3"/>
        <w:ind w:left="0" w:leftChars="0" w:firstLine="0" w:firstLineChars="0"/>
        <w:rPr>
          <w:sz w:val="72"/>
          <w:szCs w:val="72"/>
        </w:rPr>
      </w:pPr>
    </w:p>
    <w:p/>
    <w:p>
      <w:pPr>
        <w:pStyle w:val="13"/>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益阳市大通湖区人民医院是所集医疗、教学、科研、保健、康复于一体的非营利性的二级甲等综合医院,始建于1951年，前身为国营大通湖农场职工医院，2000年建区后更名为益阳市大湖区人民医院。主要业务范围是：为人民身体健康提供医疗与护理保健服务、医疗与护理、医学教学、医学研究、卫生医疗人员培训、卫生技术人员继续教育、保健与健康教育。</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bCs/>
          <w:kern w:val="0"/>
          <w:sz w:val="32"/>
          <w:szCs w:val="32"/>
        </w:rPr>
      </w:pPr>
      <w:r>
        <w:rPr>
          <w:rFonts w:hint="eastAsia" w:ascii="楷体_GB2312" w:hAnsi="楷体_GB2312" w:eastAsia="楷体_GB2312" w:cs="楷体_GB2312"/>
          <w:bCs/>
          <w:kern w:val="0"/>
          <w:sz w:val="32"/>
          <w:szCs w:val="32"/>
        </w:rPr>
        <w:t>（一）内设机构设置。</w:t>
      </w:r>
      <w:r>
        <w:rPr>
          <w:rFonts w:hint="eastAsia" w:ascii="Times New Roman" w:hAnsi="Times New Roman" w:eastAsia="仿宋_GB2312" w:cs="仿宋_GB2312"/>
          <w:bCs/>
          <w:kern w:val="0"/>
          <w:sz w:val="32"/>
          <w:szCs w:val="32"/>
        </w:rPr>
        <w:t>益阳市大通湖区人民医院内设机构包括：行政职能科室10个、临床科室12个、医技科室6个、医辅科室5个。</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bCs/>
          <w:kern w:val="0"/>
          <w:sz w:val="32"/>
          <w:szCs w:val="32"/>
        </w:rPr>
      </w:pPr>
      <w:r>
        <w:rPr>
          <w:rFonts w:hint="eastAsia" w:ascii="楷体_GB2312" w:hAnsi="楷体_GB2312" w:eastAsia="楷体_GB2312" w:cs="楷体_GB2312"/>
          <w:bCs/>
          <w:kern w:val="0"/>
          <w:sz w:val="32"/>
          <w:szCs w:val="32"/>
        </w:rPr>
        <w:t>（二）决算单位构成。</w:t>
      </w:r>
      <w:r>
        <w:rPr>
          <w:rFonts w:hint="eastAsia" w:ascii="Times New Roman" w:hAnsi="Times New Roman" w:eastAsia="仿宋_GB2312" w:cs="仿宋_GB2312"/>
          <w:bCs/>
          <w:kern w:val="0"/>
          <w:sz w:val="32"/>
          <w:szCs w:val="32"/>
        </w:rPr>
        <w:t>益阳市大通湖区人民医院202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年部门决算汇总公开单位构成包括：益阳市大通湖区人民医院部门决算。</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1"/>
        <w:gridCol w:w="652"/>
        <w:gridCol w:w="1483"/>
        <w:gridCol w:w="1394"/>
        <w:gridCol w:w="1722"/>
        <w:gridCol w:w="1722"/>
        <w:gridCol w:w="1722"/>
        <w:gridCol w:w="1722"/>
        <w:gridCol w:w="1722"/>
        <w:gridCol w:w="3018"/>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3"/>
              <w:gridCol w:w="827"/>
              <w:gridCol w:w="2016"/>
              <w:gridCol w:w="3830"/>
              <w:gridCol w:w="754"/>
              <w:gridCol w:w="1307"/>
              <w:gridCol w:w="1059"/>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82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1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83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6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61"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82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83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6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6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部门：益阳市大通湖区人民医院</w:t>
                  </w:r>
                </w:p>
              </w:tc>
              <w:tc>
                <w:tcPr>
                  <w:tcW w:w="82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83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6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6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704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62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592.09</w:t>
                  </w: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6956.49</w:t>
                  </w: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七、</w:t>
                  </w:r>
                  <w:r>
                    <w:rPr>
                      <w:rFonts w:hint="eastAsia" w:ascii="宋体" w:hAnsi="宋体" w:eastAsia="宋体" w:cs="宋体"/>
                      <w:i w:val="0"/>
                      <w:color w:val="000000"/>
                      <w:kern w:val="0"/>
                      <w:sz w:val="22"/>
                      <w:szCs w:val="22"/>
                      <w:u w:val="none"/>
                      <w:lang w:val="en-US" w:eastAsia="zh-CN" w:bidi="ar"/>
                    </w:rPr>
                    <w:t>卫生健康支出</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7564.39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15.81</w:t>
                  </w:r>
                </w:p>
              </w:tc>
              <w:tc>
                <w:tcPr>
                  <w:tcW w:w="3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7564.39</w:t>
                  </w:r>
                </w:p>
              </w:tc>
              <w:tc>
                <w:tcPr>
                  <w:tcW w:w="3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3564.39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62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02"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7564.39</w:t>
                  </w:r>
                </w:p>
              </w:tc>
              <w:tc>
                <w:tcPr>
                  <w:tcW w:w="3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7564.39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343" w:hRule="atLeast"/>
        </w:trPr>
        <w:tc>
          <w:tcPr>
            <w:tcW w:w="92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87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rPr>
              <w:t>　</w:t>
            </w:r>
            <w:r>
              <w:rPr>
                <w:rFonts w:hint="eastAsia" w:ascii="宋体" w:hAnsi="宋体" w:eastAsia="宋体" w:cs="宋体"/>
                <w:i w:val="0"/>
                <w:color w:val="000000"/>
                <w:kern w:val="0"/>
                <w:sz w:val="20"/>
                <w:szCs w:val="20"/>
                <w:u w:val="none"/>
                <w:lang w:val="en-US" w:eastAsia="zh-CN" w:bidi="ar"/>
              </w:rPr>
              <w:t>益阳市大通湖区人民医院</w:t>
            </w: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0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2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30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2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8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2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40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30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40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7564.39</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592.09</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6956.49</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15.81</w:t>
            </w:r>
            <w:r>
              <w:rPr>
                <w:rFonts w:hint="eastAsia"/>
              </w:rPr>
              <w:t>　</w:t>
            </w: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2100102</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一般行政管理事务</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192</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192</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2100201</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综合医院</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6972.3</w:t>
            </w:r>
            <w:r>
              <w:rPr>
                <w:rFonts w:hint="eastAsia" w:ascii="华文中宋" w:hAnsi="华文中宋" w:eastAsia="华文中宋"/>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6956.49</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15.81</w:t>
            </w:r>
            <w:r>
              <w:rPr>
                <w:rFonts w:hint="eastAsia"/>
              </w:rPr>
              <w:t>　</w:t>
            </w: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2100299</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其他公立医院支出</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12</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2100399</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kern w:val="2"/>
                <w:sz w:val="24"/>
                <w:szCs w:val="24"/>
                <w:lang w:val="en-US" w:eastAsia="zh-CN" w:bidi="ar-SA"/>
              </w:rPr>
            </w:pPr>
            <w:r>
              <w:rPr>
                <w:rFonts w:hint="eastAsia"/>
                <w:lang w:val="en-US" w:eastAsia="zh-CN"/>
              </w:rPr>
              <w:t>其他基层医疗卫生机构支出</w:t>
            </w:r>
            <w:r>
              <w:rPr>
                <w:rFonts w:hint="eastAsia"/>
              </w:rPr>
              <w:t>　</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kern w:val="2"/>
                <w:sz w:val="24"/>
                <w:szCs w:val="24"/>
                <w:lang w:val="en-US" w:eastAsia="zh-CN" w:bidi="ar-SA"/>
              </w:rPr>
            </w:pPr>
            <w:r>
              <w:rPr>
                <w:rFonts w:hint="eastAsia"/>
                <w:lang w:val="en-US" w:eastAsia="zh-CN"/>
              </w:rPr>
              <w:t>126.52</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126.52</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2100408</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基本公共卫生服务</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245.77</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245.77</w:t>
            </w: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2100409</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重大公共卫生服务</w:t>
            </w: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15.8</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15.8</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p>
        </w:tc>
        <w:tc>
          <w:tcPr>
            <w:tcW w:w="13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3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Layout w:type="fixed"/>
        <w:tblCellMar>
          <w:top w:w="0" w:type="dxa"/>
          <w:left w:w="108" w:type="dxa"/>
          <w:bottom w:w="0" w:type="dxa"/>
          <w:right w:w="108" w:type="dxa"/>
        </w:tblCellMar>
      </w:tblPr>
      <w:tblGrid>
        <w:gridCol w:w="1236"/>
        <w:gridCol w:w="263"/>
        <w:gridCol w:w="2096"/>
        <w:gridCol w:w="44"/>
        <w:gridCol w:w="392"/>
        <w:gridCol w:w="901"/>
        <w:gridCol w:w="177"/>
        <w:gridCol w:w="496"/>
        <w:gridCol w:w="1318"/>
        <w:gridCol w:w="1597"/>
        <w:gridCol w:w="394"/>
        <w:gridCol w:w="238"/>
        <w:gridCol w:w="435"/>
        <w:gridCol w:w="1318"/>
        <w:gridCol w:w="255"/>
        <w:gridCol w:w="1394"/>
        <w:gridCol w:w="342"/>
        <w:gridCol w:w="1052"/>
        <w:gridCol w:w="1573"/>
        <w:gridCol w:w="119"/>
      </w:tblGrid>
      <w:tr>
        <w:tblPrEx>
          <w:tblCellMar>
            <w:top w:w="0" w:type="dxa"/>
            <w:left w:w="108" w:type="dxa"/>
            <w:bottom w:w="0" w:type="dxa"/>
            <w:right w:w="108" w:type="dxa"/>
          </w:tblCellMar>
        </w:tblPrEx>
        <w:trPr>
          <w:trHeight w:val="807" w:hRule="atLeast"/>
        </w:trPr>
        <w:tc>
          <w:tcPr>
            <w:tcW w:w="15640" w:type="dxa"/>
            <w:gridSpan w:val="2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4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15" w:hRule="atLeast"/>
        </w:trPr>
        <w:tc>
          <w:tcPr>
            <w:tcW w:w="4932"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w:t>
            </w:r>
            <w:r>
              <w:rPr>
                <w:rFonts w:hint="eastAsia" w:ascii="宋体" w:hAnsi="宋体" w:eastAsia="宋体" w:cs="宋体"/>
                <w:i w:val="0"/>
                <w:color w:val="000000"/>
                <w:kern w:val="0"/>
                <w:sz w:val="20"/>
                <w:szCs w:val="20"/>
                <w:u w:val="none"/>
                <w:lang w:val="en-US" w:eastAsia="zh-CN" w:bidi="ar"/>
              </w:rPr>
              <w:t>益阳市大通湖区人民医院</w:t>
            </w: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6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9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40"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6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9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6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9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7564.39</w:t>
            </w: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7564.39</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2100102</w:t>
            </w: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一般行政管理事务</w:t>
            </w: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192</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192</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2100201</w:t>
            </w: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综合医院</w:t>
            </w: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6972.3</w:t>
            </w:r>
            <w:r>
              <w:rPr>
                <w:rFonts w:hint="eastAsia" w:ascii="华文中宋" w:hAnsi="华文中宋" w:eastAsia="华文中宋"/>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6972.3</w:t>
            </w:r>
            <w:r>
              <w:rPr>
                <w:rFonts w:hint="eastAsia" w:ascii="华文中宋" w:hAnsi="华文中宋" w:eastAsia="华文中宋"/>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2100299</w:t>
            </w: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其他公立医院支出</w:t>
            </w: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lang w:val="en-US" w:eastAsia="zh-CN" w:bidi="ar-SA"/>
              </w:rPr>
            </w:pPr>
            <w:r>
              <w:rPr>
                <w:rFonts w:hint="eastAsia"/>
                <w:lang w:val="en-US" w:eastAsia="zh-CN"/>
              </w:rPr>
              <w:t>12</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lang w:val="en-US" w:eastAsia="zh-CN" w:bidi="ar-SA"/>
              </w:rPr>
            </w:pPr>
            <w:r>
              <w:rPr>
                <w:rFonts w:hint="eastAsia"/>
                <w:lang w:val="en-US" w:eastAsia="zh-CN"/>
              </w:rPr>
              <w:t>12</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2100399</w:t>
            </w: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lang w:val="en-US" w:eastAsia="zh-CN" w:bidi="ar-SA"/>
              </w:rPr>
            </w:pPr>
            <w:r>
              <w:rPr>
                <w:rFonts w:hint="eastAsia"/>
                <w:lang w:val="en-US" w:eastAsia="zh-CN"/>
              </w:rPr>
              <w:t>其他基层医疗卫生机构支出</w:t>
            </w:r>
            <w:r>
              <w:rPr>
                <w:rFonts w:hint="eastAsia"/>
              </w:rPr>
              <w:t>　</w:t>
            </w: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lang w:val="en-US" w:eastAsia="zh-CN" w:bidi="ar-SA"/>
              </w:rPr>
            </w:pPr>
            <w:r>
              <w:rPr>
                <w:rFonts w:hint="eastAsia"/>
                <w:lang w:val="en-US" w:eastAsia="zh-CN"/>
              </w:rPr>
              <w:t>126.52</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lang w:val="en-US" w:eastAsia="zh-CN" w:bidi="ar-SA"/>
              </w:rPr>
            </w:pPr>
            <w:r>
              <w:rPr>
                <w:rFonts w:hint="eastAsia"/>
                <w:lang w:val="en-US" w:eastAsia="zh-CN"/>
              </w:rPr>
              <w:t>126.52</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2100408</w:t>
            </w: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基本公共卫生服务</w:t>
            </w: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245.77</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245.77</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2100409</w:t>
            </w: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重大公共卫生服务</w:t>
            </w: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15.8</w:t>
            </w: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15.8</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kern w:val="2"/>
                <w:sz w:val="21"/>
                <w:szCs w:val="22"/>
                <w:lang w:val="en-US" w:eastAsia="zh-CN" w:bidi="ar-SA"/>
              </w:rPr>
            </w:pP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Theme="minorHAnsi" w:hAnsiTheme="minorHAnsi" w:eastAsiaTheme="minorEastAsia" w:cstheme="minorBidi"/>
                <w:kern w:val="2"/>
                <w:sz w:val="21"/>
                <w:szCs w:val="22"/>
                <w:lang w:val="en-US" w:eastAsia="zh-CN" w:bidi="ar-SA"/>
              </w:rPr>
            </w:pPr>
          </w:p>
        </w:tc>
        <w:tc>
          <w:tcPr>
            <w:tcW w:w="2140" w:type="dxa"/>
            <w:gridSpan w:val="2"/>
            <w:tcBorders>
              <w:top w:val="nil"/>
              <w:left w:val="nil"/>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p>
        </w:tc>
        <w:tc>
          <w:tcPr>
            <w:tcW w:w="1293"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p>
        </w:tc>
        <w:tc>
          <w:tcPr>
            <w:tcW w:w="1991"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119" w:type="dxa"/>
          <w:trHeight w:val="285" w:hRule="atLeast"/>
        </w:trPr>
        <w:tc>
          <w:tcPr>
            <w:tcW w:w="3595" w:type="dxa"/>
            <w:gridSpan w:val="3"/>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益阳市大通湖区人民医院</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592.09</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592.09</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592.09</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592.09</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592.09</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592.09</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592.09</w:t>
            </w:r>
          </w:p>
        </w:tc>
        <w:tc>
          <w:tcPr>
            <w:tcW w:w="341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592.09</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592.09</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益阳市大通湖区人民医院</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lang w:val="en-US" w:eastAsia="zh-CN"/>
              </w:rPr>
            </w:pPr>
            <w:r>
              <w:rPr>
                <w:rFonts w:hint="eastAsia" w:ascii="Times New Roman" w:hAnsi="Times New Roman" w:eastAsia="仿宋_GB2312" w:cs="Times New Roman"/>
                <w:kern w:val="0"/>
                <w:szCs w:val="21"/>
                <w:lang w:val="en-US" w:eastAsia="zh-CN"/>
              </w:rPr>
              <w:t>592.09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592.09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default" w:ascii="宋体" w:hAnsi="宋体" w:cs="宋体" w:eastAsiaTheme="minorEastAsia"/>
                <w:kern w:val="2"/>
                <w:sz w:val="24"/>
                <w:szCs w:val="24"/>
                <w:lang w:val="en-US" w:eastAsia="zh-CN" w:bidi="ar-SA"/>
              </w:rPr>
            </w:pPr>
            <w:r>
              <w:rPr>
                <w:rFonts w:hint="eastAsia"/>
                <w:lang w:val="en-US" w:eastAsia="zh-CN"/>
              </w:rPr>
              <w:t>2100102</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lang w:val="en-US" w:eastAsia="zh-CN"/>
              </w:rPr>
              <w:t>192</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lang w:val="en-US" w:eastAsia="zh-CN"/>
              </w:rPr>
              <w:t>192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eastAsia" w:ascii="宋体" w:hAnsi="宋体" w:cs="宋体" w:eastAsiaTheme="minorEastAsia"/>
                <w:kern w:val="2"/>
                <w:sz w:val="24"/>
                <w:szCs w:val="24"/>
                <w:lang w:val="en-US" w:eastAsia="zh-CN" w:bidi="ar-SA"/>
              </w:rPr>
            </w:pPr>
            <w:r>
              <w:rPr>
                <w:rFonts w:hint="eastAsia"/>
                <w:lang w:val="en-US" w:eastAsia="zh-CN"/>
              </w:rPr>
              <w:t>2100299</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其他公立医院支出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lang w:val="en-US" w:eastAsia="zh-CN"/>
              </w:rPr>
              <w:t>12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lang w:val="en-US" w:eastAsia="zh-CN"/>
              </w:rPr>
              <w:t>12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eastAsia" w:ascii="宋体" w:hAnsi="宋体" w:cs="宋体" w:eastAsiaTheme="minorEastAsia"/>
                <w:kern w:val="2"/>
                <w:sz w:val="24"/>
                <w:szCs w:val="24"/>
                <w:lang w:val="en-US" w:eastAsia="zh-CN" w:bidi="ar-SA"/>
              </w:rPr>
            </w:pPr>
            <w:r>
              <w:rPr>
                <w:rFonts w:hint="eastAsia"/>
                <w:lang w:val="en-US" w:eastAsia="zh-CN"/>
              </w:rPr>
              <w:t>2100399</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lang w:val="en-US" w:eastAsia="zh-CN"/>
              </w:rPr>
              <w:t>其他基层医疗卫生机构支出</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lang w:val="en-US" w:eastAsia="zh-CN"/>
              </w:rPr>
              <w:t>126.52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lang w:val="en-US" w:eastAsia="zh-CN"/>
              </w:rPr>
              <w:t>126.52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default" w:ascii="宋体" w:hAnsi="宋体" w:cs="宋体" w:eastAsiaTheme="minorEastAsia"/>
                <w:kern w:val="2"/>
                <w:sz w:val="24"/>
                <w:szCs w:val="24"/>
                <w:lang w:val="en-US" w:eastAsia="zh-CN" w:bidi="ar-SA"/>
              </w:rPr>
            </w:pPr>
            <w:r>
              <w:rPr>
                <w:rFonts w:hint="eastAsia"/>
                <w:lang w:val="en-US" w:eastAsia="zh-CN"/>
              </w:rPr>
              <w:t>2100408</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基本公共卫生服务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lang w:val="en-US" w:eastAsia="zh-CN"/>
              </w:rPr>
              <w:t>245.77</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lang w:val="en-US" w:eastAsia="zh-CN"/>
              </w:rPr>
              <w:t>245.77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2100409</w:t>
            </w:r>
          </w:p>
        </w:tc>
        <w:tc>
          <w:tcPr>
            <w:tcW w:w="3527" w:type="dxa"/>
            <w:tcBorders>
              <w:top w:val="nil"/>
              <w:left w:val="nil"/>
              <w:bottom w:val="single" w:color="auto" w:sz="4" w:space="0"/>
              <w:right w:val="single" w:color="auto" w:sz="4" w:space="0"/>
            </w:tcBorders>
            <w:shd w:val="clear" w:color="000000" w:fill="FFFFFF"/>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重大公共卫生服务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15.8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15.8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p>
        </w:tc>
        <w:tc>
          <w:tcPr>
            <w:tcW w:w="3527" w:type="dxa"/>
            <w:tcBorders>
              <w:top w:val="nil"/>
              <w:left w:val="nil"/>
              <w:bottom w:val="single" w:color="auto" w:sz="4" w:space="0"/>
              <w:right w:val="single" w:color="auto" w:sz="4" w:space="0"/>
            </w:tcBorders>
            <w:shd w:val="clear" w:color="000000" w:fill="FFFFFF"/>
            <w:vAlign w:val="center"/>
          </w:tcPr>
          <w:p>
            <w:pPr>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p>
        </w:tc>
        <w:tc>
          <w:tcPr>
            <w:tcW w:w="3527" w:type="dxa"/>
            <w:tcBorders>
              <w:top w:val="nil"/>
              <w:left w:val="nil"/>
              <w:bottom w:val="single" w:color="auto" w:sz="8" w:space="0"/>
              <w:right w:val="single" w:color="auto" w:sz="4" w:space="0"/>
            </w:tcBorders>
            <w:shd w:val="clear" w:color="000000" w:fill="FFFFFF"/>
            <w:vAlign w:val="center"/>
          </w:tcPr>
          <w:p>
            <w:pPr>
              <w:rPr>
                <w:rFonts w:hint="default"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882"/>
        <w:gridCol w:w="109"/>
        <w:gridCol w:w="240"/>
        <w:gridCol w:w="1385"/>
        <w:gridCol w:w="1633"/>
        <w:gridCol w:w="475"/>
        <w:gridCol w:w="508"/>
        <w:gridCol w:w="967"/>
        <w:gridCol w:w="797"/>
        <w:gridCol w:w="1620"/>
        <w:gridCol w:w="471"/>
        <w:gridCol w:w="645"/>
        <w:gridCol w:w="850"/>
        <w:gridCol w:w="599"/>
        <w:gridCol w:w="2091"/>
        <w:gridCol w:w="1260"/>
        <w:gridCol w:w="831"/>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益阳市大通湖区人民医院</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365.92</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226.17</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233.84</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8.85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0.07</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57.22</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21.99</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2.31</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18.59</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3.62</w:t>
            </w: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0.46</w:t>
            </w:r>
          </w:p>
          <w:p>
            <w:pPr>
              <w:pStyle w:val="2"/>
              <w:rPr>
                <w:rFonts w:hint="default"/>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109.45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85.63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8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365.92</w:t>
            </w:r>
          </w:p>
        </w:tc>
        <w:tc>
          <w:tcPr>
            <w:tcW w:w="930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8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226.17</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bookmarkStart w:id="3" w:name="_GoBack" w:colFirst="0" w:colLast="8"/>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24"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部门：益阳市大通湖区人民医院</w:t>
            </w: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bookmarkEnd w:id="3"/>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部门：益阳市大通湖区人民医院</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部门：益阳市大通湖区人民医院</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7564.39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减少1373.82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下降16.36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医疗收入下降。</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7564.39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592.09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7.83</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6956.49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91.96</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15.81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7564.39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7564.39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592.09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减少171.84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下降22.49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重大公共卫生服务</w:t>
      </w:r>
      <w:r>
        <w:rPr>
          <w:rFonts w:hint="eastAsia" w:ascii="Times New Roman" w:hAnsi="Times New Roman" w:eastAsia="仿宋_GB2312"/>
          <w:sz w:val="32"/>
          <w:szCs w:val="32"/>
        </w:rPr>
        <w:t>拨款</w:t>
      </w:r>
      <w:r>
        <w:rPr>
          <w:rFonts w:hint="eastAsia" w:ascii="Times New Roman" w:hAnsi="Times New Roman" w:eastAsia="仿宋_GB2312"/>
          <w:sz w:val="32"/>
          <w:szCs w:val="32"/>
          <w:lang w:val="en-US" w:eastAsia="zh-CN"/>
        </w:rPr>
        <w:t>减少。</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592.09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7.83</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减少171.84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下降22.49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重大</w:t>
      </w:r>
      <w:r>
        <w:rPr>
          <w:rFonts w:hint="eastAsia" w:ascii="Times New Roman" w:hAnsi="Times New Roman" w:eastAsia="仿宋_GB2312"/>
          <w:sz w:val="32"/>
          <w:szCs w:val="32"/>
        </w:rPr>
        <w:t>公共卫生服务</w:t>
      </w:r>
      <w:r>
        <w:rPr>
          <w:rFonts w:hint="eastAsia" w:ascii="Times New Roman" w:hAnsi="Times New Roman" w:eastAsia="仿宋_GB2312"/>
          <w:sz w:val="32"/>
          <w:szCs w:val="32"/>
          <w:lang w:val="en-US" w:eastAsia="zh-CN"/>
        </w:rPr>
        <w:t>支出减少。</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592.09</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卫生健康支出592.09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592.1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592.09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1. </w:t>
      </w:r>
      <w:r>
        <w:rPr>
          <w:rFonts w:hint="eastAsia" w:ascii="Times New Roman" w:hAnsi="Times New Roman" w:eastAsia="仿宋_GB2312"/>
          <w:color w:val="auto"/>
          <w:sz w:val="32"/>
          <w:szCs w:val="32"/>
        </w:rPr>
        <w:t>卫生健康支出（类）公立医院（款）其他公立医院支出（项）。</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万元，完成年初预算的100%。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2. </w:t>
      </w:r>
      <w:r>
        <w:rPr>
          <w:rFonts w:hint="eastAsia" w:ascii="Times New Roman" w:hAnsi="Times New Roman" w:eastAsia="仿宋_GB2312"/>
          <w:color w:val="auto"/>
          <w:sz w:val="32"/>
          <w:szCs w:val="32"/>
        </w:rPr>
        <w:t>卫生健康支出（类）基层医疗卫生机构（款）其他基层医疗卫生机构支出（项）。</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126.52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126.52</w:t>
      </w:r>
      <w:r>
        <w:rPr>
          <w:rFonts w:hint="eastAsia" w:ascii="Times New Roman" w:hAnsi="Times New Roman" w:eastAsia="仿宋_GB2312"/>
          <w:color w:val="auto"/>
          <w:sz w:val="32"/>
          <w:szCs w:val="32"/>
        </w:rPr>
        <w:t>万元，完成年初预算的100%。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卫生健康支出（类）</w:t>
      </w:r>
      <w:r>
        <w:rPr>
          <w:rFonts w:hint="eastAsia" w:ascii="Times New Roman" w:hAnsi="Times New Roman" w:eastAsia="仿宋_GB2312"/>
          <w:color w:val="auto"/>
          <w:sz w:val="32"/>
          <w:szCs w:val="32"/>
          <w:lang w:val="en-US" w:eastAsia="zh-CN"/>
        </w:rPr>
        <w:t>卫生健康管理事务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一般行政管理事务</w:t>
      </w:r>
      <w:r>
        <w:rPr>
          <w:rFonts w:hint="eastAsia" w:ascii="Times New Roman" w:hAnsi="Times New Roman" w:eastAsia="仿宋_GB2312"/>
          <w:color w:val="auto"/>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192</w:t>
      </w:r>
      <w:r>
        <w:rPr>
          <w:rFonts w:hint="eastAsia" w:ascii="Times New Roman" w:hAnsi="Times New Roman" w:eastAsia="仿宋_GB2312"/>
          <w:color w:val="auto"/>
          <w:sz w:val="32"/>
          <w:szCs w:val="32"/>
        </w:rPr>
        <w:t>万元，完成年初预算的100%。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卫生健康支出（类）公共服务（款）重大公共卫生服务（项）。</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15.8</w:t>
      </w:r>
      <w:r>
        <w:rPr>
          <w:rFonts w:hint="eastAsia" w:ascii="Times New Roman" w:hAnsi="Times New Roman" w:eastAsia="仿宋_GB2312"/>
          <w:sz w:val="32"/>
          <w:szCs w:val="32"/>
        </w:rPr>
        <w:t>万元，完成年初预算的100%。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卫生健康支出（类）公共服务（款）</w:t>
      </w:r>
      <w:r>
        <w:rPr>
          <w:rFonts w:hint="eastAsia" w:ascii="Times New Roman" w:hAnsi="Times New Roman" w:eastAsia="仿宋_GB2312"/>
          <w:sz w:val="32"/>
          <w:szCs w:val="32"/>
          <w:lang w:eastAsia="zh-CN"/>
        </w:rPr>
        <w:t>基本</w:t>
      </w:r>
      <w:r>
        <w:rPr>
          <w:rFonts w:hint="eastAsia" w:ascii="Times New Roman" w:hAnsi="Times New Roman" w:eastAsia="仿宋_GB2312"/>
          <w:sz w:val="32"/>
          <w:szCs w:val="32"/>
        </w:rPr>
        <w:t>公共卫生服务（项）。</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245.79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245.77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99.99</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592.09</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val="0"/>
          <w:bCs w:val="0"/>
          <w:color w:val="auto"/>
          <w:sz w:val="32"/>
          <w:szCs w:val="32"/>
        </w:rPr>
        <w:t>人员经费</w:t>
      </w:r>
      <w:r>
        <w:rPr>
          <w:rFonts w:hint="eastAsia" w:ascii="Times New Roman" w:hAnsi="Times New Roman" w:eastAsia="仿宋_GB2312"/>
          <w:b w:val="0"/>
          <w:bCs w:val="0"/>
          <w:color w:val="auto"/>
          <w:sz w:val="32"/>
          <w:szCs w:val="32"/>
          <w:lang w:val="en-US" w:eastAsia="zh-CN"/>
        </w:rPr>
        <w:t>365.92</w:t>
      </w:r>
      <w:r>
        <w:rPr>
          <w:rFonts w:hint="eastAsia" w:ascii="Times New Roman" w:hAnsi="Times New Roman" w:eastAsia="仿宋_GB2312"/>
          <w:b w:val="0"/>
          <w:bCs w:val="0"/>
          <w:color w:val="auto"/>
          <w:sz w:val="32"/>
          <w:szCs w:val="32"/>
        </w:rPr>
        <w:t>万元，占</w:t>
      </w:r>
      <w:r>
        <w:rPr>
          <w:rFonts w:hint="eastAsia" w:ascii="Times New Roman" w:hAnsi="Times New Roman" w:eastAsia="仿宋_GB2312"/>
          <w:sz w:val="32"/>
          <w:szCs w:val="32"/>
        </w:rPr>
        <w:t>基本支出的</w:t>
      </w:r>
      <w:r>
        <w:rPr>
          <w:rFonts w:hint="eastAsia" w:ascii="Times New Roman" w:hAnsi="Times New Roman" w:eastAsia="仿宋_GB2312"/>
          <w:sz w:val="32"/>
          <w:szCs w:val="32"/>
          <w:lang w:val="en-US" w:eastAsia="zh-CN"/>
        </w:rPr>
        <w:t>61.8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五险两金等；</w:t>
      </w:r>
      <w:r>
        <w:rPr>
          <w:rFonts w:hint="eastAsia" w:ascii="Times New Roman" w:hAnsi="Times New Roman" w:eastAsia="仿宋_GB2312"/>
          <w:b w:val="0"/>
          <w:bCs w:val="0"/>
          <w:sz w:val="32"/>
          <w:szCs w:val="32"/>
        </w:rPr>
        <w:t>公用经费</w:t>
      </w:r>
      <w:r>
        <w:rPr>
          <w:rFonts w:hint="eastAsia" w:ascii="Times New Roman" w:hAnsi="Times New Roman" w:eastAsia="仿宋_GB2312"/>
          <w:b w:val="0"/>
          <w:bCs w:val="0"/>
          <w:sz w:val="32"/>
          <w:szCs w:val="32"/>
          <w:lang w:val="en-US" w:eastAsia="zh-CN"/>
        </w:rPr>
        <w:t>214.17</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36.17</w:t>
      </w:r>
      <w:r>
        <w:rPr>
          <w:rFonts w:hint="eastAsia" w:ascii="Times New Roman" w:hAnsi="Times New Roman" w:eastAsia="仿宋_GB2312"/>
          <w:b w:val="0"/>
          <w:bCs w:val="0"/>
          <w:sz w:val="32"/>
          <w:szCs w:val="32"/>
        </w:rPr>
        <w:t>%，主要包括办公费、印刷费、</w:t>
      </w:r>
      <w:r>
        <w:rPr>
          <w:rFonts w:hint="eastAsia" w:ascii="Times New Roman" w:hAnsi="Times New Roman" w:eastAsia="仿宋_GB2312"/>
          <w:b w:val="0"/>
          <w:bCs w:val="0"/>
          <w:sz w:val="32"/>
          <w:szCs w:val="32"/>
          <w:lang w:val="en-US" w:eastAsia="zh-CN"/>
        </w:rPr>
        <w:t>水电费</w:t>
      </w:r>
      <w:r>
        <w:rPr>
          <w:rFonts w:hint="eastAsia" w:ascii="Times New Roman" w:hAnsi="Times New Roman" w:eastAsia="仿宋_GB2312"/>
          <w:b w:val="0"/>
          <w:bCs w:val="0"/>
          <w:sz w:val="32"/>
          <w:szCs w:val="32"/>
        </w:rPr>
        <w:t>、手续费</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lang w:val="en-US" w:eastAsia="zh-CN"/>
        </w:rPr>
        <w:t>专用材料</w:t>
      </w:r>
      <w:r>
        <w:rPr>
          <w:rFonts w:hint="eastAsia" w:ascii="Times New Roman" w:hAnsi="Times New Roman" w:eastAsia="仿宋_GB2312"/>
          <w:b w:val="0"/>
          <w:bCs w:val="0"/>
          <w:sz w:val="32"/>
          <w:szCs w:val="32"/>
          <w:lang w:eastAsia="zh-CN"/>
        </w:rPr>
        <w:t>等；资本性支出</w:t>
      </w:r>
      <w:r>
        <w:rPr>
          <w:rFonts w:hint="eastAsia" w:ascii="Times New Roman" w:hAnsi="Times New Roman" w:eastAsia="仿宋_GB2312"/>
          <w:b w:val="0"/>
          <w:bCs w:val="0"/>
          <w:sz w:val="32"/>
          <w:szCs w:val="32"/>
          <w:lang w:val="en-US" w:eastAsia="zh-CN"/>
        </w:rPr>
        <w:t>12万元，占基本支出2.03%</w:t>
      </w:r>
      <w:r>
        <w:rPr>
          <w:rFonts w:hint="eastAsia" w:ascii="Times New Roman" w:hAnsi="Times New Roman" w:eastAsia="仿宋_GB2312"/>
          <w:b w:val="0"/>
          <w:bCs w:val="0"/>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（一）“三公”经费财政拨款支出决算总体情况说明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年度“三公”经费财政拨款支出预算为0万元，支出决算为0万元，完成预算的100%，其中：</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因公出国（境）费支出预算为0万元，支出决算为0万元，完成预算的100%，与上年相比减少（增加）0万元，减少（增长）0%。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公务接待费支出预算为0万元，支出决算为0万元，完成预算的100%，与上年相比减少（增加）0万元，减少（增长）0%。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公务用车购置费支出预算为0万元，支出决算为0万元，完成预算的100%，与上年相比减少（增加）0万元，减少（增长）0%。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bCs w:val="0"/>
          <w:sz w:val="32"/>
          <w:szCs w:val="32"/>
        </w:rPr>
      </w:pPr>
      <w:r>
        <w:rPr>
          <w:rFonts w:hint="eastAsia" w:ascii="Times New Roman" w:hAnsi="Times New Roman" w:eastAsia="仿宋_GB2312"/>
          <w:sz w:val="32"/>
          <w:szCs w:val="32"/>
        </w:rPr>
        <w:t>公务用车运行维护费支出预算为0万元，支出决算为0万元，完成预算的100%，与上年相比减少（增加）0万元，减少（增长）0%。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（二）“三公”经费财政拨款支出决算具体情况说明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年度“三公”经费财政拨款支出决算中，公务接待费支出决算0万元，占0%,因公出国（境）费支出决算0万元，占0%,公务用车购置费及运行维护费支出决算0万元，占0%。</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本单位无政府性基金收支。</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本单位为自收自支事业单位，无机关运行经费支出。</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lang w:eastAsia="zh-CN"/>
        </w:rPr>
        <w:t>本无一般性支出。</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10.25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10.25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10.25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本</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救护车</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年本单位按照有关政策文件要求开展预算绩效管理工作，一是加强绩效目标管理。在编制202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年部门预算时，本部门将所有预算资金纳入绩效目标管理，实现了绩效目标与部门预算同步编制、同步申报。二是做好绩效自评。根据财政局文件要求，本单位对202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年部门整体支出开展了绩效自评。</w:t>
      </w:r>
    </w:p>
    <w:p>
      <w:pPr>
        <w:pStyle w:val="12"/>
        <w:jc w:val="both"/>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一、三公经费：</w:t>
      </w:r>
      <w:r>
        <w:rPr>
          <w:rFonts w:hint="eastAsia" w:ascii="仿宋_GB2312" w:hAnsi="仿宋_GB2312" w:eastAsia="仿宋_GB2312" w:cs="仿宋_GB2312"/>
          <w:sz w:val="32"/>
          <w:szCs w:val="32"/>
        </w:rPr>
        <w:t>因公出国(境)费、公务用车购置及运行费和公务接待费。其中，</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keepNext w:val="0"/>
        <w:keepLines w:val="0"/>
        <w:pageBreakBefore w:val="0"/>
        <w:widowControl w:val="0"/>
        <w:kinsoku/>
        <w:wordWrap/>
        <w:overflowPunct/>
        <w:topLinePunct w:val="0"/>
        <w:bidi w:val="0"/>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二、</w:t>
      </w:r>
      <w:r>
        <w:rPr>
          <w:rFonts w:hint="eastAsia" w:ascii="黑体" w:hAnsi="黑体" w:eastAsia="黑体" w:cs="黑体"/>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三、</w:t>
      </w:r>
      <w:r>
        <w:rPr>
          <w:rFonts w:hint="eastAsia" w:ascii="黑体" w:hAnsi="黑体" w:eastAsia="黑体" w:cs="黑体"/>
          <w:sz w:val="32"/>
          <w:szCs w:val="32"/>
        </w:rPr>
        <w:t>基本支出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val="0"/>
        <w:kinsoku/>
        <w:wordWrap/>
        <w:overflowPunct/>
        <w:topLinePunct w:val="0"/>
        <w:bidi w:val="0"/>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四、项目支出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指在基本支出之外为完成特定行政任务和事业发展目标所发生的支出。</w:t>
      </w:r>
    </w:p>
    <w:p>
      <w:pPr>
        <w:pStyle w:val="12"/>
        <w:keepNext w:val="0"/>
        <w:keepLines w:val="0"/>
        <w:pageBreakBefore w:val="0"/>
        <w:widowControl w:val="0"/>
        <w:kinsoku/>
        <w:wordWrap/>
        <w:overflowPunct/>
        <w:topLinePunct w:val="0"/>
        <w:bidi w:val="0"/>
        <w:spacing w:line="570" w:lineRule="exact"/>
        <w:ind w:firstLine="64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五、政府性基金</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w:t>
      </w:r>
    </w:p>
    <w:p>
      <w:pPr>
        <w:keepNext w:val="0"/>
        <w:keepLines w:val="0"/>
        <w:pageBreakBefore w:val="0"/>
        <w:widowControl w:val="0"/>
        <w:kinsoku/>
        <w:wordWrap/>
        <w:overflowPunct/>
        <w:topLinePunct w:val="0"/>
        <w:bidi w:val="0"/>
        <w:spacing w:line="57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家规定程序批准，向公民、法人和其他组织征收的具有专项用途的资金。</w:t>
      </w:r>
    </w:p>
    <w:p>
      <w:pPr>
        <w:pStyle w:val="2"/>
        <w:keepNext w:val="0"/>
        <w:keepLines w:val="0"/>
        <w:pageBreakBefore w:val="0"/>
        <w:widowControl w:val="0"/>
        <w:kinsoku/>
        <w:wordWrap/>
        <w:overflowPunct/>
        <w:topLinePunct w:val="0"/>
        <w:bidi w:val="0"/>
        <w:spacing w:line="570" w:lineRule="exact"/>
        <w:textAlignment w:val="auto"/>
        <w:rPr>
          <w:rFonts w:hint="eastAsia" w:ascii="仿宋_GB2312" w:hAnsi="仿宋_GB2312" w:eastAsia="仿宋_GB2312" w:cs="仿宋_GB2312"/>
          <w:sz w:val="32"/>
          <w:szCs w:val="32"/>
        </w:rPr>
      </w:pPr>
    </w:p>
    <w:p>
      <w:pPr>
        <w:pStyle w:val="3"/>
        <w:rPr>
          <w:rFonts w:hint="eastAsia" w:ascii="Times New Roman" w:hAnsi="Times New Roman" w:eastAsia="仿宋"/>
          <w:sz w:val="32"/>
          <w:szCs w:val="32"/>
        </w:rPr>
      </w:pPr>
    </w:p>
    <w:p/>
    <w:p>
      <w:pPr>
        <w:pStyle w:val="12"/>
        <w:jc w:val="both"/>
        <w:rPr>
          <w:rFonts w:hint="eastAsia" w:ascii="Times New Roman" w:hAnsi="Times New Roman" w:eastAsia="仿宋"/>
          <w:sz w:val="32"/>
          <w:szCs w:val="32"/>
          <w:lang w:val="en-US" w:eastAsia="zh-CN"/>
        </w:rPr>
      </w:pPr>
    </w:p>
    <w:p>
      <w:pPr>
        <w:pStyle w:val="12"/>
        <w:jc w:val="both"/>
        <w:rPr>
          <w:rFonts w:hint="eastAsia" w:ascii="Times New Roman" w:hAnsi="Times New Roman" w:eastAsia="仿宋"/>
          <w:sz w:val="32"/>
          <w:szCs w:val="32"/>
        </w:rPr>
      </w:pPr>
    </w:p>
    <w:p>
      <w:pPr>
        <w:pStyle w:val="12"/>
        <w:jc w:val="center"/>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eastAsia="zh-CN"/>
        </w:rPr>
        <w:t>一、</w:t>
      </w:r>
      <w:r>
        <w:rPr>
          <w:rFonts w:hint="eastAsia" w:ascii="黑体" w:hAnsi="黑体" w:eastAsia="黑体" w:cs="黑体"/>
          <w:sz w:val="32"/>
          <w:szCs w:val="32"/>
          <w:lang w:val="en-US" w:eastAsia="zh-CN"/>
        </w:rPr>
        <w:t>2024年度部门(单位)整体支出绩效自评报告</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仿宋" w:hAnsi="仿宋" w:eastAsia="仿宋_GB2312" w:cs="仿宋"/>
          <w:color w:val="000000"/>
          <w:kern w:val="0"/>
          <w:sz w:val="32"/>
          <w:szCs w:val="32"/>
          <w:lang w:val="en-US" w:eastAsia="zh-CN" w:bidi="ar-SA"/>
        </w:rPr>
      </w:pPr>
      <w:r>
        <w:rPr>
          <w:rFonts w:hint="eastAsia" w:ascii="仿宋" w:hAnsi="仿宋" w:eastAsia="仿宋_GB2312" w:cs="仿宋"/>
          <w:color w:val="000000"/>
          <w:kern w:val="0"/>
          <w:sz w:val="32"/>
          <w:szCs w:val="32"/>
          <w:lang w:val="en-US" w:eastAsia="zh-CN" w:bidi="ar-SA"/>
        </w:rPr>
        <w:t>2024年，我院通过加强预算收支管理，不断建立健全内部管理制度，理顺内部管理流程，部门整体支出管理情况得到了提升。为强化部门整体支出，加强国有资产管理，提高资金使用效益，在财务管理和厉行节约方面开展了大量工作，行政效能显著。</w:t>
      </w:r>
    </w:p>
    <w:p>
      <w:pPr>
        <w:pStyle w:val="12"/>
        <w:keepNext w:val="0"/>
        <w:keepLines w:val="0"/>
        <w:pageBreakBefore w:val="0"/>
        <w:widowControl w:val="0"/>
        <w:numPr>
          <w:numId w:val="0"/>
        </w:numPr>
        <w:kinsoku/>
        <w:wordWrap/>
        <w:overflowPunct/>
        <w:topLinePunct w:val="0"/>
        <w:autoSpaceDE w:val="0"/>
        <w:autoSpaceDN w:val="0"/>
        <w:bidi w:val="0"/>
        <w:adjustRightInd w:val="0"/>
        <w:snapToGrid/>
        <w:spacing w:line="570" w:lineRule="exact"/>
        <w:ind w:firstLine="640" w:firstLineChars="200"/>
        <w:jc w:val="left"/>
        <w:textAlignment w:val="auto"/>
        <w:rPr>
          <w:rFonts w:hint="default" w:ascii="仿宋" w:hAnsi="仿宋" w:eastAsia="仿宋_GB2312" w:cs="仿宋"/>
          <w:color w:val="000000"/>
          <w:kern w:val="0"/>
          <w:sz w:val="32"/>
          <w:szCs w:val="32"/>
          <w:lang w:val="en-US" w:eastAsia="zh-CN" w:bidi="ar-SA"/>
        </w:rPr>
      </w:pPr>
      <w:r>
        <w:rPr>
          <w:rFonts w:hint="default" w:ascii="仿宋" w:hAnsi="仿宋" w:eastAsia="仿宋_GB2312" w:cs="仿宋"/>
          <w:color w:val="000000"/>
          <w:kern w:val="0"/>
          <w:sz w:val="32"/>
          <w:szCs w:val="32"/>
          <w:lang w:val="en" w:eastAsia="zh-CN" w:bidi="ar-SA"/>
        </w:rPr>
        <w:t xml:space="preserve">1. </w:t>
      </w:r>
      <w:r>
        <w:rPr>
          <w:rFonts w:hint="eastAsia" w:ascii="仿宋" w:hAnsi="仿宋" w:eastAsia="仿宋_GB2312" w:cs="仿宋"/>
          <w:color w:val="000000"/>
          <w:kern w:val="0"/>
          <w:sz w:val="32"/>
          <w:szCs w:val="32"/>
          <w:lang w:val="en-US" w:eastAsia="zh-CN" w:bidi="ar-SA"/>
        </w:rPr>
        <w:t>在原有相对健全的财务管理制度基础上，适时地、针对性地进行了相关制度的增补，制度的建立更为完善。</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仿宋" w:hAnsi="仿宋" w:eastAsia="仿宋_GB2312" w:cs="仿宋"/>
          <w:color w:val="000000"/>
          <w:kern w:val="0"/>
          <w:sz w:val="32"/>
          <w:szCs w:val="32"/>
          <w:lang w:val="en-US" w:eastAsia="zh-CN" w:bidi="ar-SA"/>
        </w:rPr>
      </w:pPr>
      <w:r>
        <w:rPr>
          <w:rFonts w:hint="eastAsia" w:ascii="仿宋" w:hAnsi="仿宋" w:eastAsia="仿宋_GB2312" w:cs="仿宋"/>
          <w:color w:val="000000"/>
          <w:kern w:val="0"/>
          <w:sz w:val="32"/>
          <w:szCs w:val="32"/>
          <w:lang w:val="en-US" w:eastAsia="zh-CN" w:bidi="ar-SA"/>
        </w:rPr>
        <w:t>2.</w:t>
      </w:r>
      <w:r>
        <w:rPr>
          <w:rFonts w:hint="default" w:ascii="仿宋" w:hAnsi="仿宋" w:eastAsia="仿宋_GB2312" w:cs="仿宋"/>
          <w:color w:val="000000"/>
          <w:kern w:val="0"/>
          <w:sz w:val="32"/>
          <w:szCs w:val="32"/>
          <w:lang w:val="en" w:eastAsia="zh-CN" w:bidi="ar-SA"/>
        </w:rPr>
        <w:t xml:space="preserve"> </w:t>
      </w:r>
      <w:r>
        <w:rPr>
          <w:rFonts w:hint="eastAsia" w:ascii="仿宋" w:hAnsi="仿宋" w:eastAsia="仿宋_GB2312" w:cs="仿宋"/>
          <w:color w:val="000000"/>
          <w:kern w:val="0"/>
          <w:sz w:val="32"/>
          <w:szCs w:val="32"/>
          <w:lang w:val="en-US" w:eastAsia="zh-CN" w:bidi="ar-SA"/>
        </w:rPr>
        <w:t>重视制度的学习和宣讲工作，并已逐步形成了崇尚厉行节约反对浪费的院内文化。根据上级下发的一系列文件精神组织单位人员学习，强化了我院厉行节约管理意识。</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仿宋" w:hAnsi="仿宋" w:eastAsia="仿宋_GB2312" w:cs="仿宋"/>
          <w:color w:val="000000"/>
          <w:kern w:val="0"/>
          <w:sz w:val="32"/>
          <w:szCs w:val="32"/>
          <w:lang w:val="en-US" w:eastAsia="zh-CN" w:bidi="ar-SA"/>
        </w:rPr>
      </w:pPr>
      <w:r>
        <w:rPr>
          <w:rFonts w:hint="eastAsia" w:ascii="仿宋" w:hAnsi="仿宋" w:eastAsia="仿宋_GB2312" w:cs="仿宋"/>
          <w:color w:val="000000"/>
          <w:kern w:val="0"/>
          <w:sz w:val="32"/>
          <w:szCs w:val="32"/>
          <w:lang w:val="en-US" w:eastAsia="zh-CN" w:bidi="ar-SA"/>
        </w:rPr>
        <w:t>3.</w:t>
      </w:r>
      <w:r>
        <w:rPr>
          <w:rFonts w:hint="default" w:ascii="仿宋" w:hAnsi="仿宋" w:eastAsia="仿宋_GB2312" w:cs="仿宋"/>
          <w:color w:val="000000"/>
          <w:kern w:val="0"/>
          <w:sz w:val="32"/>
          <w:szCs w:val="32"/>
          <w:lang w:val="en" w:eastAsia="zh-CN" w:bidi="ar-SA"/>
        </w:rPr>
        <w:t xml:space="preserve"> </w:t>
      </w:r>
      <w:r>
        <w:rPr>
          <w:rFonts w:hint="eastAsia" w:ascii="仿宋" w:hAnsi="仿宋" w:eastAsia="仿宋_GB2312" w:cs="仿宋"/>
          <w:color w:val="000000"/>
          <w:kern w:val="0"/>
          <w:sz w:val="32"/>
          <w:szCs w:val="32"/>
          <w:lang w:val="en-US" w:eastAsia="zh-CN" w:bidi="ar-SA"/>
        </w:rPr>
        <w:t>加强医疗服务质量建设，规范医务人员诊疗行为，严肃查处大处方、乱检查、乱收费等行为，切实控制医疗费用不合理增长，确保广大群众得实惠。</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仿宋" w:hAnsi="仿宋" w:eastAsia="仿宋_GB2312" w:cs="仿宋"/>
          <w:color w:val="000000"/>
          <w:kern w:val="0"/>
          <w:sz w:val="32"/>
          <w:szCs w:val="32"/>
          <w:lang w:val="en-US" w:eastAsia="zh-CN" w:bidi="ar-SA"/>
        </w:rPr>
      </w:pPr>
      <w:r>
        <w:rPr>
          <w:rFonts w:hint="eastAsia" w:ascii="仿宋" w:hAnsi="仿宋" w:eastAsia="仿宋_GB2312" w:cs="仿宋"/>
          <w:color w:val="000000"/>
          <w:kern w:val="0"/>
          <w:sz w:val="32"/>
          <w:szCs w:val="32"/>
          <w:lang w:val="en-US" w:eastAsia="zh-CN" w:bidi="ar-SA"/>
        </w:rPr>
        <w:t>4.</w:t>
      </w:r>
      <w:r>
        <w:rPr>
          <w:rFonts w:hint="default" w:ascii="仿宋" w:hAnsi="仿宋" w:eastAsia="仿宋_GB2312" w:cs="仿宋"/>
          <w:color w:val="000000"/>
          <w:kern w:val="0"/>
          <w:sz w:val="32"/>
          <w:szCs w:val="32"/>
          <w:lang w:val="en" w:eastAsia="zh-CN" w:bidi="ar-SA"/>
        </w:rPr>
        <w:t xml:space="preserve"> </w:t>
      </w:r>
      <w:r>
        <w:rPr>
          <w:rFonts w:hint="eastAsia" w:ascii="仿宋" w:hAnsi="仿宋" w:eastAsia="仿宋_GB2312" w:cs="仿宋"/>
          <w:color w:val="000000"/>
          <w:kern w:val="0"/>
          <w:sz w:val="32"/>
          <w:szCs w:val="32"/>
          <w:lang w:val="en-US" w:eastAsia="zh-CN" w:bidi="ar-SA"/>
        </w:rPr>
        <w:t>下一步加强医院信息化建设，控制医疗成本，优化医疗服务收入结构。</w:t>
      </w:r>
    </w:p>
    <w:p>
      <w:pPr>
        <w:pStyle w:val="12"/>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仿宋" w:hAnsi="仿宋" w:eastAsia="仿宋_GB2312" w:cs="仿宋"/>
          <w:sz w:val="32"/>
          <w:szCs w:val="32"/>
          <w:lang w:val="en-US" w:eastAsia="zh-CN"/>
        </w:rPr>
      </w:pPr>
    </w:p>
    <w:p>
      <w:pPr>
        <w:pStyle w:val="12"/>
        <w:jc w:val="both"/>
        <w:rPr>
          <w:sz w:val="72"/>
          <w:szCs w:val="72"/>
        </w:rPr>
      </w:pPr>
    </w:p>
    <w:p>
      <w:pPr>
        <w:jc w:val="left"/>
        <w:rPr>
          <w:rFonts w:cs="黑体" w:asciiTheme="minorEastAsia" w:hAnsiTheme="minorEastAsia"/>
          <w:color w:val="000000"/>
          <w:kern w:val="0"/>
          <w:sz w:val="32"/>
          <w:szCs w:val="32"/>
        </w:rPr>
      </w:pPr>
    </w:p>
    <w:p>
      <w:pPr>
        <w:pStyle w:val="12"/>
        <w:jc w:val="center"/>
        <w:rPr>
          <w:rFonts w:hint="eastAsia"/>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2QwZDFkMDgwMDBmNWJjZjg1ZjNmZjQ1MzdhOG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36131"/>
    <w:rsid w:val="01C81F50"/>
    <w:rsid w:val="02076AA6"/>
    <w:rsid w:val="042D6474"/>
    <w:rsid w:val="043C618C"/>
    <w:rsid w:val="04C17856"/>
    <w:rsid w:val="054F5869"/>
    <w:rsid w:val="070457D8"/>
    <w:rsid w:val="076B1CFB"/>
    <w:rsid w:val="08B4785C"/>
    <w:rsid w:val="091B505B"/>
    <w:rsid w:val="09480D5F"/>
    <w:rsid w:val="0C3B7EEE"/>
    <w:rsid w:val="0FD52407"/>
    <w:rsid w:val="12F6691D"/>
    <w:rsid w:val="158D108E"/>
    <w:rsid w:val="190A1374"/>
    <w:rsid w:val="1AB276B7"/>
    <w:rsid w:val="1B065B6B"/>
    <w:rsid w:val="1C3265E9"/>
    <w:rsid w:val="1C393D1E"/>
    <w:rsid w:val="1D97DEFF"/>
    <w:rsid w:val="1DFF72E5"/>
    <w:rsid w:val="1EFC6F07"/>
    <w:rsid w:val="1F770DE5"/>
    <w:rsid w:val="2A16744D"/>
    <w:rsid w:val="2A3049B2"/>
    <w:rsid w:val="2CA64AB8"/>
    <w:rsid w:val="2E0C3040"/>
    <w:rsid w:val="2E0E6DB8"/>
    <w:rsid w:val="2E271C28"/>
    <w:rsid w:val="2E905A1F"/>
    <w:rsid w:val="2FDF85B8"/>
    <w:rsid w:val="2FFFEE04"/>
    <w:rsid w:val="311E37B6"/>
    <w:rsid w:val="34714B42"/>
    <w:rsid w:val="34DF85B0"/>
    <w:rsid w:val="3B5A363D"/>
    <w:rsid w:val="3B8F36BC"/>
    <w:rsid w:val="3D22462E"/>
    <w:rsid w:val="3DB64D77"/>
    <w:rsid w:val="3DF82525"/>
    <w:rsid w:val="3EB40CEE"/>
    <w:rsid w:val="40CE4185"/>
    <w:rsid w:val="461F7F9A"/>
    <w:rsid w:val="462F3918"/>
    <w:rsid w:val="46B1257F"/>
    <w:rsid w:val="46F32B98"/>
    <w:rsid w:val="491FF225"/>
    <w:rsid w:val="4C5C2F8D"/>
    <w:rsid w:val="4D387556"/>
    <w:rsid w:val="4DBA7F6B"/>
    <w:rsid w:val="4FFD214C"/>
    <w:rsid w:val="504306EC"/>
    <w:rsid w:val="506B379F"/>
    <w:rsid w:val="50C01D3C"/>
    <w:rsid w:val="54FA783E"/>
    <w:rsid w:val="55B160F8"/>
    <w:rsid w:val="5777D4F5"/>
    <w:rsid w:val="581D136C"/>
    <w:rsid w:val="58E9410F"/>
    <w:rsid w:val="59575208"/>
    <w:rsid w:val="59DD8326"/>
    <w:rsid w:val="5A382944"/>
    <w:rsid w:val="5B70506F"/>
    <w:rsid w:val="5D632B41"/>
    <w:rsid w:val="5DEF592A"/>
    <w:rsid w:val="5F8E1258"/>
    <w:rsid w:val="5FC6BB1E"/>
    <w:rsid w:val="5FF720F1"/>
    <w:rsid w:val="6129748A"/>
    <w:rsid w:val="63ED479F"/>
    <w:rsid w:val="644B7717"/>
    <w:rsid w:val="65931376"/>
    <w:rsid w:val="67FF5C0B"/>
    <w:rsid w:val="6A684558"/>
    <w:rsid w:val="6C692E30"/>
    <w:rsid w:val="6EFC0924"/>
    <w:rsid w:val="6F5B73A8"/>
    <w:rsid w:val="6F951555"/>
    <w:rsid w:val="6FB74722"/>
    <w:rsid w:val="6FEF8B7E"/>
    <w:rsid w:val="714A76D4"/>
    <w:rsid w:val="717958C4"/>
    <w:rsid w:val="71A6591B"/>
    <w:rsid w:val="737D59BA"/>
    <w:rsid w:val="73A429A0"/>
    <w:rsid w:val="77C37683"/>
    <w:rsid w:val="79FF515B"/>
    <w:rsid w:val="7BD06A28"/>
    <w:rsid w:val="7BEF1E5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7EC0983"/>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2953</Words>
  <Characters>3911</Characters>
  <Lines>63</Lines>
  <Paragraphs>18</Paragraphs>
  <TotalTime>265</TotalTime>
  <ScaleCrop>false</ScaleCrop>
  <LinksUpToDate>false</LinksUpToDate>
  <CharactersWithSpaces>4834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shichang</cp:lastModifiedBy>
  <cp:lastPrinted>2024-08-08T18:20:00Z</cp:lastPrinted>
  <dcterms:modified xsi:type="dcterms:W3CDTF">2025-09-28T17:16:18Z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E4B11543A613478682809B6B3950A1F1_13</vt:lpwstr>
  </property>
  <property fmtid="{D5CDD505-2E9C-101B-9397-08002B2CF9AE}" pid="4" name="KSOTemplateDocerSaveRecord">
    <vt:lpwstr>eyJoZGlkIjoiM2IxN2QwZDFkMDgwMDBmNWJjZjg1ZjNmZjQ1MzdhOGMiLCJ1c2VySWQiOiI5MzQwMDc0NTQifQ==</vt:lpwstr>
  </property>
</Properties>
</file>