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949DF">
      <w:pPr>
        <w:pStyle w:val="166"/>
        <w:rPr>
          <w:rFonts w:hint="eastAsia"/>
          <w:sz w:val="40"/>
          <w:lang w:eastAsia="zh-CN"/>
        </w:rPr>
      </w:pPr>
      <w:bookmarkStart w:id="0" w:name="_GoBack"/>
      <w:r>
        <w:rPr>
          <w:rFonts w:hint="eastAsia"/>
          <w:sz w:val="40"/>
          <w:lang w:eastAsia="zh-CN"/>
        </w:rPr>
        <w:t>大通湖区国土空间总体规划（2021-2035）</w:t>
      </w:r>
    </w:p>
    <w:p w14:paraId="67140ED9">
      <w:pPr>
        <w:pStyle w:val="166"/>
        <w:rPr>
          <w:sz w:val="40"/>
          <w:lang w:eastAsia="zh-CN"/>
        </w:rPr>
      </w:pPr>
      <w:r>
        <w:rPr>
          <w:rFonts w:hint="eastAsia"/>
          <w:sz w:val="40"/>
          <w:lang w:eastAsia="zh-CN"/>
        </w:rPr>
        <w:t>动态维护方案</w:t>
      </w:r>
      <w:r>
        <w:rPr>
          <w:rFonts w:hint="eastAsia"/>
          <w:sz w:val="40"/>
          <w:lang w:val="en-US" w:eastAsia="zh-CN"/>
        </w:rPr>
        <w:t>公示版</w:t>
      </w:r>
      <w:r>
        <w:rPr>
          <w:sz w:val="40"/>
          <w:lang w:eastAsia="zh-CN"/>
        </w:rPr>
        <w:t>（2026年度）</w:t>
      </w:r>
    </w:p>
    <w:p w14:paraId="2F9C35C1">
      <w:pPr>
        <w:pStyle w:val="167"/>
        <w:rPr>
          <w:lang w:eastAsia="zh-CN"/>
        </w:rPr>
      </w:pPr>
      <w:r>
        <w:rPr>
          <w:lang w:eastAsia="zh-CN"/>
        </w:rPr>
        <w:t>前  言</w:t>
      </w:r>
    </w:p>
    <w:p w14:paraId="382913D1">
      <w:pPr>
        <w:pStyle w:val="169"/>
        <w:rPr>
          <w:lang w:eastAsia="zh-CN"/>
        </w:rPr>
      </w:pPr>
      <w:r>
        <w:rPr>
          <w:lang w:eastAsia="zh-CN"/>
        </w:rPr>
        <w:t>为深入贯彻党的二十大及二十届历次全会精神，全面落实国家、省、市关于建立国土空间规划体系并监督实施的决策部署，维护国土空间总体规划的权威性、严肃性、科学性，提高规划对经济社会发展的适应性、前瞻性和可操作性，依据《湖南省自然资源厅关于开展市县国土空间总体规划动态维护工作的通知》《湖南省市县国土空间总体规划动态维护方案编制指南（试行）》等文件要求，结合《大通湖区国土空间总体规划（2021—2035年）》2024年度、2025年度国土空间规划体检评估结论，特组织开展本次2026年度国土空间总体规划动态维护工作。</w:t>
      </w:r>
    </w:p>
    <w:p w14:paraId="09498692">
      <w:pPr>
        <w:pStyle w:val="169"/>
        <w:rPr>
          <w:lang w:eastAsia="zh-CN"/>
        </w:rPr>
      </w:pPr>
      <w:r>
        <w:rPr>
          <w:lang w:eastAsia="zh-CN"/>
        </w:rPr>
        <w:t>本次动态维护的核心任务是：在严守粮食安全、生态安全、城镇安全发展空间底线，确保总体规划确定的约束性指标不突破、空间格局和结构总体稳定的前提下，遵循“正向优化”标准，对“三条控制线”、规划分区、中心城区用地布局、城市重要控制线、重点建设项目清单等内容进行局部优化和适应性调整。旨在有效解决规划实施中发现的突出矛盾与空间冲突，精准对接“十五五”时期国家、省重大战略及地方发展需求，优先保障民生设施和重大项目落地空间，提升国土空间开发保护质量和效率，为大通湖区实现高质量发展、建设现代化新大通湖提供坚实可靠的空间保障。</w:t>
      </w:r>
    </w:p>
    <w:p w14:paraId="0C467D6B">
      <w:pPr>
        <w:pStyle w:val="169"/>
        <w:rPr>
          <w:lang w:eastAsia="zh-CN"/>
        </w:rPr>
      </w:pPr>
      <w:r>
        <w:rPr>
          <w:lang w:eastAsia="zh-CN"/>
        </w:rPr>
        <w:t>本次动态维护范围为大通湖区行政辖区全域，重点维护区域为中心城区。维护规划基期为2025年，维护数据以自然资源部统一下发的最新年度变更调查成果、相关专项规划最新成果为依据。</w:t>
      </w:r>
    </w:p>
    <w:p w14:paraId="2A6BF962">
      <w:pPr>
        <w:pStyle w:val="167"/>
        <w:rPr>
          <w:lang w:eastAsia="zh-CN"/>
        </w:rPr>
      </w:pPr>
      <w:r>
        <w:rPr>
          <w:lang w:eastAsia="zh-CN"/>
        </w:rPr>
        <w:t>一、规划实施评估结论</w:t>
      </w:r>
    </w:p>
    <w:p w14:paraId="21D3D246">
      <w:pPr>
        <w:pStyle w:val="168"/>
        <w:rPr>
          <w:lang w:eastAsia="zh-CN"/>
        </w:rPr>
      </w:pPr>
      <w:r>
        <w:rPr>
          <w:lang w:eastAsia="zh-CN"/>
        </w:rPr>
        <w:t>（一）阶段性成效</w:t>
      </w:r>
    </w:p>
    <w:p w14:paraId="6633FD68">
      <w:pPr>
        <w:pStyle w:val="169"/>
        <w:rPr>
          <w:color w:val="FF0000"/>
          <w:lang w:eastAsia="zh-CN"/>
        </w:rPr>
      </w:pPr>
      <w:r>
        <w:rPr>
          <w:lang w:eastAsia="zh-CN"/>
        </w:rPr>
        <w:t>自《大通湖区国土空间总体规划（2021—2035年）》依法批准实施以来，在区管委会的坚强领导下，全区上下坚持以规划为引领，在优化国土空间格局、严守资源保护底线、促进经济提质增效、改善城乡人居环境等方面取得了显著阶段性成效。</w:t>
      </w:r>
    </w:p>
    <w:p w14:paraId="776278ED">
      <w:pPr>
        <w:pStyle w:val="169"/>
        <w:rPr>
          <w:lang w:eastAsia="zh-CN"/>
        </w:rPr>
      </w:pPr>
      <w:r>
        <w:rPr>
          <w:lang w:eastAsia="zh-CN"/>
        </w:rPr>
        <w:t>1. 空间格局持续优化。“三区三线”划定成果得到有效应用，城镇、农业、生态空间格局更加清晰。中心城区“两轴两带、一心三组团”总体结构初步形成，空间集聚效应显现。全域规划分区管控要求逐步落实，为各类开发保护活动提供了基本遵循。</w:t>
      </w:r>
    </w:p>
    <w:p w14:paraId="16D070B0">
      <w:pPr>
        <w:pStyle w:val="169"/>
        <w:rPr>
          <w:lang w:eastAsia="zh-CN"/>
        </w:rPr>
      </w:pPr>
      <w:r>
        <w:rPr>
          <w:lang w:eastAsia="zh-CN"/>
        </w:rPr>
        <w:t>2. 资源底线严守有力。耕地和永久基本农田保护红线得到严格落实，24.27万亩耕地保有量和21.91万亩永久基本农田保护任务有效落实。生态保护红线内人类活动得到有效管控，自然生态系统稳定性增强。城镇开发边界对城镇集中建设的强有力管控，遏制了城镇无序蔓延。</w:t>
      </w:r>
    </w:p>
    <w:p w14:paraId="23EEC827">
      <w:pPr>
        <w:pStyle w:val="169"/>
        <w:rPr>
          <w:lang w:eastAsia="zh-CN"/>
        </w:rPr>
      </w:pPr>
      <w:r>
        <w:rPr>
          <w:lang w:eastAsia="zh-CN"/>
        </w:rPr>
        <w:t>3. 支撑体系不断完善。一批交通、水利、能源、信息等重大基础设施项目按规划有序推进，区域互联互通水平和城市承载能力得到提升。教育、医疗、文化、体育、养老等公共服务设施布局持续优化，城区环境品质全面提升。</w:t>
      </w:r>
    </w:p>
    <w:p w14:paraId="07E4ED65">
      <w:pPr>
        <w:pStyle w:val="169"/>
        <w:rPr>
          <w:lang w:eastAsia="zh-CN"/>
        </w:rPr>
      </w:pPr>
      <w:r>
        <w:rPr>
          <w:lang w:eastAsia="zh-CN"/>
        </w:rPr>
        <w:t>4. 生态环境稳步改善。持续推进大通湖水环境治理，加强人居环境整治，大力发展绿色循环经济。以大通湖国家湿地公园、南洞庭湖省级自然保护区为核心，形成多条生态廊道，打造健康、完整、连续的绿色空间网络，大通湖水质持续向好，总磷浓度稳定在0.071mg/L历史最优水平。</w:t>
      </w:r>
    </w:p>
    <w:p w14:paraId="2294862E">
      <w:pPr>
        <w:pStyle w:val="169"/>
        <w:rPr>
          <w:lang w:eastAsia="zh-CN"/>
        </w:rPr>
      </w:pPr>
      <w:r>
        <w:rPr>
          <w:lang w:eastAsia="zh-CN"/>
        </w:rPr>
        <w:t>5. 城乡发展协同推进。城市更新</w:t>
      </w:r>
      <w:r>
        <w:rPr>
          <w:rFonts w:hint="eastAsia"/>
          <w:lang w:eastAsia="zh-CN"/>
        </w:rPr>
        <w:t>及</w:t>
      </w:r>
      <w:r>
        <w:rPr>
          <w:lang w:eastAsia="zh-CN"/>
        </w:rPr>
        <w:t>老旧小区改造有序实施，</w:t>
      </w:r>
      <w:r>
        <w:rPr>
          <w:rFonts w:hint="eastAsia"/>
          <w:lang w:eastAsia="zh-CN"/>
        </w:rPr>
        <w:t>各乡镇积极开展老旧小区配套基础设施项目建设，同时以“保障民生”和“见缝插绿”为原则，优先调整社区所缺乏的公共服务设施；加强对旧区路网进行梳理，对现有道路网存在较多的断头路和错位路，通过辟通和延伸部分道路、尽量削弱错位等措施，使区域内道路形成系统；</w:t>
      </w:r>
      <w:r>
        <w:rPr>
          <w:lang w:eastAsia="zh-CN"/>
        </w:rPr>
        <w:t>乡村振兴战略深入推进，27个村庄规划全部批复，农村人居环境显著改善，城乡融合发展水平稳步提升。</w:t>
      </w:r>
    </w:p>
    <w:p w14:paraId="31809A72">
      <w:pPr>
        <w:pStyle w:val="168"/>
        <w:rPr>
          <w:lang w:eastAsia="zh-CN"/>
        </w:rPr>
      </w:pPr>
      <w:r>
        <w:rPr>
          <w:lang w:eastAsia="zh-CN"/>
        </w:rPr>
        <w:t>（二）存在问题和风险</w:t>
      </w:r>
    </w:p>
    <w:p w14:paraId="6FBF2B70">
      <w:pPr>
        <w:pStyle w:val="169"/>
        <w:rPr>
          <w:lang w:eastAsia="zh-CN"/>
        </w:rPr>
      </w:pPr>
      <w:r>
        <w:rPr>
          <w:lang w:eastAsia="zh-CN"/>
        </w:rPr>
        <w:t>结合“十四五”收官与“十五五”开局新形势新要求，综合2024、2025年度规划体检评估结论，规划实施仍存在以下突出问题：</w:t>
      </w:r>
    </w:p>
    <w:p w14:paraId="63B93B68">
      <w:pPr>
        <w:pStyle w:val="170"/>
        <w:ind w:firstLine="480" w:firstLineChars="200"/>
        <w:rPr>
          <w:lang w:eastAsia="zh-CN"/>
        </w:rPr>
      </w:pPr>
      <w:r>
        <w:rPr>
          <w:lang w:eastAsia="zh-CN"/>
        </w:rPr>
        <w:t>1. 人口持续流失，城镇吸引力不足。2020—2024年常住人口从8.37万人降至7.75万人，呈持续负增长态势，城镇化动力不足，人口外流导致城镇发展活力受限。</w:t>
      </w:r>
    </w:p>
    <w:p w14:paraId="3959B622">
      <w:pPr>
        <w:pStyle w:val="170"/>
        <w:ind w:firstLine="480" w:firstLineChars="200"/>
        <w:rPr>
          <w:lang w:eastAsia="zh-CN"/>
        </w:rPr>
      </w:pPr>
      <w:r>
        <w:rPr>
          <w:lang w:eastAsia="zh-CN"/>
        </w:rPr>
        <w:t>2. 土地利用效率不高。农村建设用地较为粗放，人均村庄建设用地偏高，土地集约节约利用水平有待提升。</w:t>
      </w:r>
    </w:p>
    <w:p w14:paraId="4784757E">
      <w:pPr>
        <w:pStyle w:val="170"/>
        <w:ind w:firstLine="480" w:firstLineChars="200"/>
        <w:rPr>
          <w:lang w:eastAsia="zh-CN"/>
        </w:rPr>
      </w:pPr>
      <w:r>
        <w:rPr>
          <w:rFonts w:hint="eastAsia"/>
          <w:lang w:val="en-US" w:eastAsia="zh-CN"/>
        </w:rPr>
        <w:t>3</w:t>
      </w:r>
      <w:r>
        <w:rPr>
          <w:lang w:eastAsia="zh-CN"/>
        </w:rPr>
        <w:t>. 生态保护红线存在局部冲突。生态保护红线内存在少量城乡建设用地与耕地，空间管控矛盾需进一步理顺。</w:t>
      </w:r>
    </w:p>
    <w:p w14:paraId="37F1E6F6">
      <w:pPr>
        <w:pStyle w:val="170"/>
        <w:ind w:firstLine="480" w:firstLineChars="200"/>
        <w:rPr>
          <w:lang w:eastAsia="zh-CN"/>
        </w:rPr>
      </w:pPr>
      <w:r>
        <w:rPr>
          <w:rFonts w:hint="eastAsia"/>
          <w:lang w:val="en-US" w:eastAsia="zh-CN"/>
        </w:rPr>
        <w:t>4</w:t>
      </w:r>
      <w:r>
        <w:rPr>
          <w:lang w:eastAsia="zh-CN"/>
        </w:rPr>
        <w:t>. 水资源利用效率偏低。用水总量逐年上升，水资源循环利用水平不高，节水型社会建设仍需加强。</w:t>
      </w:r>
    </w:p>
    <w:p w14:paraId="65043EC9">
      <w:pPr>
        <w:pStyle w:val="170"/>
        <w:ind w:firstLine="480" w:firstLineChars="200"/>
        <w:rPr>
          <w:lang w:eastAsia="zh-CN"/>
        </w:rPr>
      </w:pPr>
      <w:r>
        <w:rPr>
          <w:rFonts w:hint="eastAsia"/>
          <w:lang w:val="en-US" w:eastAsia="zh-CN"/>
        </w:rPr>
        <w:t>5</w:t>
      </w:r>
      <w:r>
        <w:rPr>
          <w:lang w:eastAsia="zh-CN"/>
        </w:rPr>
        <w:t>. 公共服务供给不均衡。城区小学、中学步行覆盖率不足60%，社区养老设施步行覆盖率偏低，公园绿地分布不均，城乡公共服务差距依然存在。</w:t>
      </w:r>
    </w:p>
    <w:p w14:paraId="528C6F59">
      <w:pPr>
        <w:pStyle w:val="170"/>
        <w:ind w:firstLine="480" w:firstLineChars="200"/>
        <w:rPr>
          <w:lang w:eastAsia="zh-CN"/>
        </w:rPr>
      </w:pPr>
      <w:r>
        <w:rPr>
          <w:rFonts w:hint="eastAsia"/>
          <w:lang w:val="en-US" w:eastAsia="zh-CN"/>
        </w:rPr>
        <w:t>6</w:t>
      </w:r>
      <w:r>
        <w:rPr>
          <w:lang w:eastAsia="zh-CN"/>
        </w:rPr>
        <w:t>. 规划体系与实施机制不完善。国土空间规划“一张图”监督预警系统不健全，部分体检数据统计不完整，规划传导精度与项目落地精准度有待提升。</w:t>
      </w:r>
    </w:p>
    <w:p w14:paraId="22839C68">
      <w:pPr>
        <w:pStyle w:val="168"/>
        <w:rPr>
          <w:lang w:eastAsia="zh-CN"/>
        </w:rPr>
      </w:pPr>
      <w:r>
        <w:rPr>
          <w:lang w:eastAsia="zh-CN"/>
        </w:rPr>
        <w:t>（三）动态维护建议</w:t>
      </w:r>
    </w:p>
    <w:p w14:paraId="40050F7E">
      <w:pPr>
        <w:pStyle w:val="169"/>
        <w:rPr>
          <w:lang w:eastAsia="zh-CN"/>
        </w:rPr>
      </w:pPr>
      <w:r>
        <w:rPr>
          <w:lang w:eastAsia="zh-CN"/>
        </w:rPr>
        <w:t>针对上述问题，结合“十五五”发展需求，本次动态维护重点围绕以下方向实施：</w:t>
      </w:r>
    </w:p>
    <w:p w14:paraId="7EF69612">
      <w:pPr>
        <w:pStyle w:val="170"/>
        <w:ind w:firstLine="480" w:firstLineChars="200"/>
        <w:rPr>
          <w:lang w:eastAsia="zh-CN"/>
        </w:rPr>
      </w:pPr>
      <w:r>
        <w:rPr>
          <w:rFonts w:hint="eastAsia"/>
          <w:lang w:eastAsia="zh-CN"/>
        </w:rPr>
        <w:t>1.</w:t>
      </w:r>
      <w:r>
        <w:rPr>
          <w:lang w:eastAsia="zh-CN"/>
        </w:rPr>
        <w:t>强化空间</w:t>
      </w:r>
      <w:r>
        <w:rPr>
          <w:rFonts w:hint="eastAsia"/>
          <w:lang w:eastAsia="zh-CN"/>
        </w:rPr>
        <w:t>引领作用，保障重大项目及战略实施</w:t>
      </w:r>
    </w:p>
    <w:p w14:paraId="7EC950A0">
      <w:pPr>
        <w:pStyle w:val="170"/>
        <w:ind w:firstLine="480" w:firstLineChars="200"/>
        <w:rPr>
          <w:lang w:eastAsia="zh-CN"/>
        </w:rPr>
      </w:pPr>
      <w:r>
        <w:rPr>
          <w:lang w:eastAsia="zh-CN"/>
        </w:rPr>
        <w:t>优先</w:t>
      </w:r>
      <w:r>
        <w:rPr>
          <w:rFonts w:hint="eastAsia"/>
          <w:lang w:eastAsia="zh-CN"/>
        </w:rPr>
        <w:t>落实国家和省“十五五”规划明确在本区域布局，</w:t>
      </w:r>
      <w:r>
        <w:rPr>
          <w:lang w:eastAsia="zh-CN"/>
        </w:rPr>
        <w:t>保障本区域交通、水利、能源、产业等重大项目空间需求，支撑大通湖区“两区一地”</w:t>
      </w:r>
      <w:r>
        <w:rPr>
          <w:rFonts w:hint="eastAsia"/>
          <w:lang w:eastAsia="zh-CN"/>
        </w:rPr>
        <w:t>（ 生态农业、绿色发展示范区，乡村振兴、共同富裕先行区，农垦文旅融合、宜居宜业宜游目的地）</w:t>
      </w:r>
      <w:r>
        <w:rPr>
          <w:lang w:eastAsia="zh-CN"/>
        </w:rPr>
        <w:t>建设。</w:t>
      </w:r>
    </w:p>
    <w:p w14:paraId="5B044728">
      <w:pPr>
        <w:pStyle w:val="2"/>
        <w:spacing w:line="262" w:lineRule="auto"/>
        <w:ind w:firstLine="480" w:firstLineChars="200"/>
        <w:jc w:val="both"/>
        <w:rPr>
          <w:lang w:eastAsia="zh-CN"/>
        </w:rPr>
      </w:pPr>
      <w:r>
        <w:rPr>
          <w:rFonts w:hint="eastAsia"/>
          <w:lang w:eastAsia="zh-CN"/>
        </w:rPr>
        <w:t>2.</w:t>
      </w:r>
      <w:r>
        <w:rPr>
          <w:lang w:eastAsia="zh-CN"/>
        </w:rPr>
        <w:t xml:space="preserve"> 正向优化三条控制线布局</w:t>
      </w:r>
      <w:r>
        <w:rPr>
          <w:rFonts w:hint="eastAsia"/>
          <w:lang w:eastAsia="zh-CN"/>
        </w:rPr>
        <w:t>，</w:t>
      </w:r>
      <w:r>
        <w:rPr>
          <w:rFonts w:hint="eastAsia"/>
          <w:color w:val="333333"/>
          <w:lang w:eastAsia="zh-CN"/>
        </w:rPr>
        <w:t>筑牢空间安全底线</w:t>
      </w:r>
    </w:p>
    <w:p w14:paraId="269C909E">
      <w:pPr>
        <w:pStyle w:val="170"/>
        <w:ind w:firstLine="480" w:firstLineChars="200"/>
        <w:rPr>
          <w:lang w:eastAsia="zh-CN"/>
        </w:rPr>
      </w:pPr>
      <w:r>
        <w:rPr>
          <w:rFonts w:hint="eastAsia"/>
          <w:lang w:eastAsia="zh-CN"/>
        </w:rPr>
        <w:t>坚持底线不破、总量平衡、正向布局优化原则，统筹永久基本农田、生态保护红线、城镇开发边界联动调整，清理历史遗留图斑、</w:t>
      </w:r>
      <w:r>
        <w:rPr>
          <w:lang w:eastAsia="zh-CN"/>
        </w:rPr>
        <w:t>解决零星破碎、空间冲突问题，提升耕地集中连片度与生态系统完整性</w:t>
      </w:r>
      <w:r>
        <w:rPr>
          <w:rFonts w:hint="eastAsia"/>
          <w:lang w:eastAsia="zh-CN"/>
        </w:rPr>
        <w:t>，提升管控精准性，保障生态安全、粮食安全与城镇合理发展需求。</w:t>
      </w:r>
    </w:p>
    <w:p w14:paraId="44CC7670">
      <w:pPr>
        <w:pStyle w:val="170"/>
        <w:ind w:firstLine="480" w:firstLineChars="200"/>
        <w:rPr>
          <w:lang w:eastAsia="zh-CN"/>
        </w:rPr>
      </w:pPr>
      <w:r>
        <w:rPr>
          <w:rFonts w:hint="eastAsia"/>
          <w:lang w:eastAsia="zh-CN"/>
        </w:rPr>
        <w:t>3.</w:t>
      </w:r>
      <w:r>
        <w:rPr>
          <w:lang w:eastAsia="zh-CN"/>
        </w:rPr>
        <w:t xml:space="preserve"> 补齐民生与安全设施短板</w:t>
      </w:r>
    </w:p>
    <w:p w14:paraId="2737A82D">
      <w:pPr>
        <w:pStyle w:val="170"/>
        <w:ind w:firstLine="480" w:firstLineChars="200"/>
        <w:rPr>
          <w:lang w:eastAsia="zh-CN"/>
        </w:rPr>
      </w:pPr>
      <w:r>
        <w:rPr>
          <w:lang w:eastAsia="zh-CN"/>
        </w:rPr>
        <w:t>完善教育、医疗、养老、绿地、防洪排涝等设施布局，</w:t>
      </w:r>
      <w:r>
        <w:rPr>
          <w:rFonts w:hint="eastAsia"/>
          <w:lang w:eastAsia="zh-CN"/>
        </w:rPr>
        <w:t>推进海绵城市、</w:t>
      </w:r>
      <w:r>
        <w:rPr>
          <w:lang w:eastAsia="zh-CN"/>
        </w:rPr>
        <w:t>15分钟生活圈建设，缩小城乡公共服务差距，提升城乡宜居度与安全韧性</w:t>
      </w:r>
      <w:r>
        <w:rPr>
          <w:rFonts w:hint="eastAsia"/>
          <w:lang w:eastAsia="zh-CN"/>
        </w:rPr>
        <w:t>，</w:t>
      </w:r>
      <w:r>
        <w:rPr>
          <w:lang w:eastAsia="zh-CN"/>
        </w:rPr>
        <w:t>提升城市安全韧性。</w:t>
      </w:r>
    </w:p>
    <w:p w14:paraId="0FA1E2DF">
      <w:pPr>
        <w:pStyle w:val="170"/>
        <w:numPr>
          <w:ilvl w:val="0"/>
          <w:numId w:val="7"/>
        </w:numPr>
        <w:ind w:firstLine="480" w:firstLineChars="200"/>
        <w:rPr>
          <w:rFonts w:ascii="仿宋_GB2312" w:hAnsi="仿宋_GB2312" w:eastAsia="仿宋_GB2312" w:cstheme="minorBidi"/>
          <w:sz w:val="24"/>
          <w:szCs w:val="22"/>
          <w:lang w:val="en-US" w:eastAsia="zh-CN" w:bidi="ar-SA"/>
        </w:rPr>
      </w:pPr>
      <w:r>
        <w:rPr>
          <w:rFonts w:ascii="仿宋_GB2312" w:hAnsi="仿宋_GB2312" w:eastAsia="仿宋_GB2312" w:cstheme="minorBidi"/>
          <w:sz w:val="24"/>
          <w:szCs w:val="22"/>
          <w:lang w:val="en-US" w:eastAsia="zh-CN" w:bidi="ar-SA"/>
        </w:rPr>
        <w:t>优化全域空间格局，提升空间适配能力</w:t>
      </w:r>
      <w:r>
        <w:rPr>
          <w:rFonts w:hint="eastAsia" w:ascii="仿宋_GB2312" w:hAnsi="仿宋_GB2312" w:eastAsia="仿宋_GB2312" w:cstheme="minorBidi"/>
          <w:sz w:val="24"/>
          <w:szCs w:val="22"/>
          <w:lang w:val="en-US" w:eastAsia="zh-CN" w:bidi="ar-SA"/>
        </w:rPr>
        <w:t>。</w:t>
      </w:r>
      <w:r>
        <w:rPr>
          <w:rFonts w:ascii="仿宋_GB2312" w:hAnsi="仿宋_GB2312" w:eastAsia="仿宋_GB2312" w:cstheme="minorBidi"/>
          <w:sz w:val="24"/>
          <w:szCs w:val="22"/>
          <w:lang w:val="en-US" w:eastAsia="zh-CN" w:bidi="ar-SA"/>
        </w:rPr>
        <w:t>调整全</w:t>
      </w:r>
      <w:r>
        <w:rPr>
          <w:rFonts w:hint="eastAsia" w:ascii="仿宋_GB2312" w:hAnsi="仿宋_GB2312" w:eastAsia="仿宋_GB2312" w:cstheme="minorBidi"/>
          <w:sz w:val="24"/>
          <w:szCs w:val="22"/>
          <w:lang w:val="en-US" w:eastAsia="zh-CN" w:bidi="ar-SA"/>
        </w:rPr>
        <w:t>区</w:t>
      </w:r>
      <w:r>
        <w:rPr>
          <w:rFonts w:ascii="仿宋_GB2312" w:hAnsi="仿宋_GB2312" w:eastAsia="仿宋_GB2312" w:cstheme="minorBidi"/>
          <w:sz w:val="24"/>
          <w:szCs w:val="22"/>
          <w:lang w:val="en-US" w:eastAsia="zh-CN" w:bidi="ar-SA"/>
        </w:rPr>
        <w:t>与中心城区规划分区，优化建设用地结构与布局，提升规划可实施性</w:t>
      </w:r>
      <w:r>
        <w:rPr>
          <w:rFonts w:hint="eastAsia" w:ascii="仿宋_GB2312" w:hAnsi="仿宋_GB2312" w:eastAsia="仿宋_GB2312" w:cstheme="minorBidi"/>
          <w:sz w:val="24"/>
          <w:szCs w:val="22"/>
          <w:lang w:val="en-US" w:eastAsia="zh-CN" w:bidi="ar-SA"/>
        </w:rPr>
        <w:t>，</w:t>
      </w:r>
      <w:r>
        <w:rPr>
          <w:rFonts w:ascii="仿宋_GB2312" w:hAnsi="仿宋_GB2312" w:eastAsia="仿宋_GB2312" w:cstheme="minorBidi"/>
          <w:sz w:val="24"/>
          <w:szCs w:val="22"/>
          <w:lang w:val="en-US" w:eastAsia="zh-CN" w:bidi="ar-SA"/>
        </w:rPr>
        <w:t>盘活存量、严控增量、提升质量，完善城市四线与其他重要控制线，更新重点项目清单，保障产业园区、村庄建设、重点项目空间需求，推动空间布局与人口、产业、功能协同适配。</w:t>
      </w:r>
    </w:p>
    <w:p w14:paraId="45FC416A">
      <w:pPr>
        <w:pStyle w:val="170"/>
        <w:ind w:firstLine="480" w:firstLineChars="200"/>
        <w:rPr>
          <w:lang w:eastAsia="zh-CN"/>
        </w:rPr>
      </w:pPr>
      <w:r>
        <w:rPr>
          <w:rFonts w:hint="eastAsia"/>
          <w:lang w:val="en-US" w:eastAsia="zh-CN"/>
        </w:rPr>
        <w:t>5</w:t>
      </w:r>
      <w:r>
        <w:rPr>
          <w:rFonts w:hint="eastAsia"/>
          <w:lang w:eastAsia="zh-CN"/>
        </w:rPr>
        <w:t>.</w:t>
      </w:r>
      <w:r>
        <w:rPr>
          <w:lang w:eastAsia="zh-CN"/>
        </w:rPr>
        <w:t xml:space="preserve"> 完善规划传导体系</w:t>
      </w:r>
      <w:r>
        <w:rPr>
          <w:rFonts w:hint="eastAsia"/>
          <w:lang w:eastAsia="zh-CN"/>
        </w:rPr>
        <w:t>，加强实施监管与保障</w:t>
      </w:r>
    </w:p>
    <w:p w14:paraId="6A40073E">
      <w:pPr>
        <w:pStyle w:val="170"/>
        <w:ind w:firstLine="480" w:firstLineChars="200"/>
        <w:rPr>
          <w:lang w:eastAsia="zh-CN"/>
        </w:rPr>
      </w:pPr>
      <w:r>
        <w:rPr>
          <w:rFonts w:hint="eastAsia"/>
          <w:lang w:eastAsia="zh-CN"/>
        </w:rPr>
        <w:t>完善规划体系，强化与</w:t>
      </w:r>
      <w:r>
        <w:rPr>
          <w:lang w:eastAsia="zh-CN"/>
        </w:rPr>
        <w:t>项目的衔接</w:t>
      </w:r>
      <w:r>
        <w:rPr>
          <w:rFonts w:hint="eastAsia"/>
          <w:lang w:eastAsia="zh-CN"/>
        </w:rPr>
        <w:t>，</w:t>
      </w:r>
      <w:r>
        <w:rPr>
          <w:lang w:eastAsia="zh-CN"/>
        </w:rPr>
        <w:t>更新重点项目清单，优化规划分区，提升规划可实施性。</w:t>
      </w:r>
      <w:r>
        <w:rPr>
          <w:rFonts w:hint="eastAsia"/>
          <w:lang w:eastAsia="zh-CN"/>
        </w:rPr>
        <w:t>健全动态监测，及时掌握反馈影响大通湖区规划实施和社会经济发展的关键指标变化方向，并采取干预措施和实施管理。健全监督考核机制，强化公众参与。</w:t>
      </w:r>
    </w:p>
    <w:p w14:paraId="753B8346">
      <w:pPr>
        <w:pStyle w:val="167"/>
        <w:rPr>
          <w:lang w:eastAsia="zh-CN"/>
        </w:rPr>
      </w:pPr>
      <w:r>
        <w:rPr>
          <w:lang w:eastAsia="zh-CN"/>
        </w:rPr>
        <w:t>二、动态维护方案</w:t>
      </w:r>
    </w:p>
    <w:p w14:paraId="4F55F761">
      <w:pPr>
        <w:pStyle w:val="168"/>
        <w:rPr>
          <w:lang w:eastAsia="zh-CN"/>
        </w:rPr>
      </w:pPr>
      <w:r>
        <w:rPr>
          <w:lang w:eastAsia="zh-CN"/>
        </w:rPr>
        <w:t>（一）三条控制线优化</w:t>
      </w:r>
    </w:p>
    <w:p w14:paraId="5F10AA79">
      <w:pPr>
        <w:pStyle w:val="169"/>
        <w:rPr>
          <w:lang w:eastAsia="zh-CN"/>
        </w:rPr>
      </w:pPr>
      <w:r>
        <w:rPr>
          <w:lang w:eastAsia="zh-CN"/>
        </w:rPr>
        <w:t>本次维护严格遵循“数量不减少、质量有提升、布局更优化”原则，对三条控制线实施正向优化。</w:t>
      </w:r>
    </w:p>
    <w:p w14:paraId="111B2980">
      <w:pPr>
        <w:pStyle w:val="168"/>
        <w:rPr>
          <w:lang w:eastAsia="zh-CN"/>
        </w:rPr>
      </w:pPr>
      <w:r>
        <w:rPr>
          <w:lang w:eastAsia="zh-CN"/>
        </w:rPr>
        <w:t>1. 耕地和永久基本农田保护红线</w:t>
      </w:r>
    </w:p>
    <w:p w14:paraId="5EEEEE4C">
      <w:pPr>
        <w:pStyle w:val="170"/>
        <w:ind w:firstLine="480" w:firstLineChars="200"/>
        <w:rPr>
          <w:lang w:eastAsia="zh-CN"/>
        </w:rPr>
      </w:pPr>
      <w:r>
        <w:rPr>
          <w:lang w:eastAsia="zh-CN"/>
        </w:rPr>
        <w:t>现状：现状耕地面积16881.56公顷（25.32万亩），永久基本农田面积14798.58公顷（22.20万亩）。</w:t>
      </w:r>
    </w:p>
    <w:p w14:paraId="18F78291">
      <w:pPr>
        <w:pStyle w:val="170"/>
        <w:ind w:firstLine="480" w:firstLineChars="200"/>
        <w:rPr>
          <w:lang w:eastAsia="zh-CN"/>
        </w:rPr>
      </w:pPr>
      <w:r>
        <w:rPr>
          <w:lang w:eastAsia="zh-CN"/>
        </w:rPr>
        <w:t>问题：部分图斑零星破碎、集中连片度不足，少量地块划定不合理。</w:t>
      </w:r>
    </w:p>
    <w:p w14:paraId="6EC4FAC3">
      <w:pPr>
        <w:pStyle w:val="170"/>
        <w:ind w:firstLine="480" w:firstLineChars="200"/>
        <w:rPr>
          <w:lang w:eastAsia="zh-CN"/>
        </w:rPr>
      </w:pPr>
      <w:r>
        <w:rPr>
          <w:lang w:eastAsia="zh-CN"/>
        </w:rPr>
        <w:t>调整</w:t>
      </w:r>
      <w:r>
        <w:rPr>
          <w:color w:val="auto"/>
          <w:lang w:eastAsia="zh-CN"/>
        </w:rPr>
        <w:t>方案：拟调出1</w:t>
      </w:r>
      <w:r>
        <w:rPr>
          <w:rFonts w:hint="eastAsia"/>
          <w:color w:val="auto"/>
          <w:lang w:val="en-US" w:eastAsia="zh-CN"/>
        </w:rPr>
        <w:t>64.5</w:t>
      </w:r>
      <w:r>
        <w:rPr>
          <w:color w:val="auto"/>
          <w:lang w:eastAsia="zh-CN"/>
        </w:rPr>
        <w:t>公顷，同步调入1</w:t>
      </w:r>
      <w:r>
        <w:rPr>
          <w:rFonts w:hint="eastAsia"/>
          <w:color w:val="auto"/>
          <w:lang w:val="en-US" w:eastAsia="zh-CN"/>
        </w:rPr>
        <w:t>70.18</w:t>
      </w:r>
      <w:r>
        <w:rPr>
          <w:color w:val="auto"/>
          <w:lang w:eastAsia="zh-CN"/>
        </w:rPr>
        <w:t>公顷，</w:t>
      </w:r>
      <w:r>
        <w:rPr>
          <w:lang w:eastAsia="zh-CN"/>
        </w:rPr>
        <w:t>维护后总面积</w:t>
      </w:r>
      <w:r>
        <w:rPr>
          <w:rFonts w:hint="eastAsia"/>
          <w:lang w:eastAsia="zh-CN"/>
        </w:rPr>
        <w:t>略有增加</w:t>
      </w:r>
      <w:r>
        <w:rPr>
          <w:lang w:eastAsia="zh-CN"/>
        </w:rPr>
        <w:t>，边界更规整、布局更集聚。调出零散分布、与年度变调查变更为非耕地</w:t>
      </w:r>
      <w:r>
        <w:rPr>
          <w:rFonts w:hint="eastAsia"/>
          <w:lang w:eastAsia="zh-CN"/>
        </w:rPr>
        <w:t>等</w:t>
      </w:r>
      <w:r>
        <w:rPr>
          <w:lang w:eastAsia="zh-CN"/>
        </w:rPr>
        <w:t>不适宜种植地块，调入集中连片优质耕地，实现布局优化。</w:t>
      </w:r>
    </w:p>
    <w:p w14:paraId="4D2B50F8">
      <w:pPr>
        <w:pStyle w:val="168"/>
        <w:rPr>
          <w:lang w:eastAsia="zh-CN"/>
        </w:rPr>
      </w:pPr>
      <w:r>
        <w:rPr>
          <w:lang w:eastAsia="zh-CN"/>
        </w:rPr>
        <w:t>2. 生态保护红线</w:t>
      </w:r>
    </w:p>
    <w:p w14:paraId="2BBB85C8">
      <w:pPr>
        <w:pStyle w:val="170"/>
        <w:ind w:firstLine="480" w:firstLineChars="200"/>
        <w:rPr>
          <w:lang w:eastAsia="zh-CN"/>
        </w:rPr>
      </w:pPr>
      <w:r>
        <w:rPr>
          <w:lang w:eastAsia="zh-CN"/>
        </w:rPr>
        <w:t>现状：总面积83.73平方公里，涵盖大通湖、金盆河、老三河、漉湖等重要生态区域。</w:t>
      </w:r>
    </w:p>
    <w:p w14:paraId="7CDE10B0">
      <w:pPr>
        <w:pStyle w:val="170"/>
        <w:ind w:firstLine="480" w:firstLineChars="200"/>
        <w:rPr>
          <w:lang w:eastAsia="zh-CN"/>
        </w:rPr>
      </w:pPr>
      <w:r>
        <w:rPr>
          <w:lang w:eastAsia="zh-CN"/>
        </w:rPr>
        <w:t>调整方案：本次维护不调整，保持面积、功能、布局稳定。</w:t>
      </w:r>
    </w:p>
    <w:p w14:paraId="2592F564">
      <w:pPr>
        <w:pStyle w:val="168"/>
        <w:rPr>
          <w:lang w:eastAsia="zh-CN"/>
        </w:rPr>
      </w:pPr>
      <w:r>
        <w:rPr>
          <w:lang w:eastAsia="zh-CN"/>
        </w:rPr>
        <w:t>3. 城镇开发边界</w:t>
      </w:r>
    </w:p>
    <w:p w14:paraId="5E5B5070">
      <w:pPr>
        <w:pStyle w:val="170"/>
        <w:ind w:firstLine="480" w:firstLineChars="200"/>
        <w:rPr>
          <w:lang w:eastAsia="zh-CN"/>
        </w:rPr>
      </w:pPr>
      <w:r>
        <w:rPr>
          <w:lang w:eastAsia="zh-CN"/>
        </w:rPr>
        <w:t>现状：</w:t>
      </w:r>
      <w:r>
        <w:rPr>
          <w:rFonts w:hint="eastAsia"/>
          <w:lang w:eastAsia="zh-CN"/>
        </w:rPr>
        <w:t>根据部下发最新版城镇开发边界局部优化成果，</w:t>
      </w:r>
      <w:r>
        <w:rPr>
          <w:lang w:eastAsia="zh-CN"/>
        </w:rPr>
        <w:t>总面积953.23公顷</w:t>
      </w:r>
      <w:r>
        <w:rPr>
          <w:rFonts w:hint="eastAsia"/>
          <w:color w:val="0000FF"/>
          <w:lang w:eastAsia="zh-CN"/>
        </w:rPr>
        <w:t>。</w:t>
      </w:r>
    </w:p>
    <w:p w14:paraId="07FD5932">
      <w:pPr>
        <w:pStyle w:val="170"/>
        <w:ind w:firstLine="480" w:firstLineChars="200"/>
        <w:rPr>
          <w:color w:val="auto"/>
          <w:lang w:eastAsia="zh-CN"/>
        </w:rPr>
      </w:pPr>
      <w:r>
        <w:rPr>
          <w:color w:val="auto"/>
          <w:lang w:eastAsia="zh-CN"/>
        </w:rPr>
        <w:t>问题：局部与项目需求不匹配，存在少量空洞地块。</w:t>
      </w:r>
    </w:p>
    <w:p w14:paraId="09F2F33C">
      <w:pPr>
        <w:pStyle w:val="170"/>
        <w:ind w:firstLine="480" w:firstLineChars="200"/>
        <w:rPr>
          <w:color w:val="auto"/>
          <w:lang w:eastAsia="zh-CN"/>
        </w:rPr>
      </w:pPr>
      <w:r>
        <w:rPr>
          <w:color w:val="auto"/>
          <w:lang w:eastAsia="zh-CN"/>
        </w:rPr>
        <w:t>调整方案：拟调入0.</w:t>
      </w:r>
      <w:r>
        <w:rPr>
          <w:rFonts w:hint="eastAsia"/>
          <w:color w:val="auto"/>
          <w:lang w:val="en-US" w:eastAsia="zh-CN"/>
        </w:rPr>
        <w:t>0</w:t>
      </w:r>
      <w:r>
        <w:rPr>
          <w:rFonts w:hint="eastAsia"/>
          <w:color w:val="auto"/>
          <w:lang w:eastAsia="zh-CN"/>
        </w:rPr>
        <w:t>4</w:t>
      </w:r>
      <w:r>
        <w:rPr>
          <w:color w:val="auto"/>
          <w:lang w:eastAsia="zh-CN"/>
        </w:rPr>
        <w:t>公顷，调出城镇开发边界面积0.</w:t>
      </w:r>
      <w:r>
        <w:rPr>
          <w:rFonts w:hint="eastAsia"/>
          <w:color w:val="auto"/>
          <w:lang w:val="en-US" w:eastAsia="zh-CN"/>
        </w:rPr>
        <w:t>0</w:t>
      </w:r>
      <w:r>
        <w:rPr>
          <w:rFonts w:hint="eastAsia"/>
          <w:color w:val="auto"/>
          <w:lang w:eastAsia="zh-CN"/>
        </w:rPr>
        <w:t>4</w:t>
      </w:r>
      <w:r>
        <w:rPr>
          <w:color w:val="auto"/>
          <w:lang w:eastAsia="zh-CN"/>
        </w:rPr>
        <w:t>公顷</w:t>
      </w:r>
      <w:r>
        <w:rPr>
          <w:rFonts w:hint="eastAsia"/>
          <w:color w:val="auto"/>
          <w:lang w:eastAsia="zh-CN"/>
        </w:rPr>
        <w:t>。</w:t>
      </w:r>
      <w:r>
        <w:rPr>
          <w:color w:val="auto"/>
          <w:lang w:eastAsia="zh-CN"/>
        </w:rPr>
        <w:t>同步维护后总面积保持953.23公顷不变，边界更规整、布局更集聚。</w:t>
      </w:r>
    </w:p>
    <w:p w14:paraId="38034294">
      <w:pPr>
        <w:pStyle w:val="168"/>
        <w:rPr>
          <w:lang w:eastAsia="zh-CN"/>
        </w:rPr>
      </w:pPr>
      <w:r>
        <w:rPr>
          <w:lang w:eastAsia="zh-CN"/>
        </w:rPr>
        <w:t>4. 冲突分析</w:t>
      </w:r>
    </w:p>
    <w:p w14:paraId="2387F822">
      <w:pPr>
        <w:pStyle w:val="169"/>
        <w:rPr>
          <w:lang w:eastAsia="zh-CN"/>
        </w:rPr>
      </w:pPr>
      <w:r>
        <w:rPr>
          <w:lang w:eastAsia="zh-CN"/>
        </w:rPr>
        <w:t>调整后三条控制线无空间重叠、无交叉冲突，符合国土空间管控规则。</w:t>
      </w:r>
    </w:p>
    <w:p w14:paraId="0E9D5F98">
      <w:pPr>
        <w:pStyle w:val="168"/>
        <w:rPr>
          <w:lang w:eastAsia="zh-CN"/>
        </w:rPr>
      </w:pPr>
      <w:r>
        <w:rPr>
          <w:lang w:eastAsia="zh-CN"/>
        </w:rPr>
        <w:t>（二）规划分区优化</w:t>
      </w:r>
    </w:p>
    <w:p w14:paraId="5E1E9F02">
      <w:pPr>
        <w:pStyle w:val="169"/>
        <w:rPr>
          <w:rFonts w:hint="eastAsia"/>
          <w:lang w:val="en-US" w:eastAsia="zh-CN"/>
        </w:rPr>
      </w:pPr>
      <w:r>
        <w:rPr>
          <w:lang w:val="en-US" w:eastAsia="zh-CN"/>
        </w:rPr>
        <w:t>现状情况</w:t>
      </w:r>
      <w:r>
        <w:rPr>
          <w:rFonts w:hint="eastAsia"/>
          <w:lang w:val="en-US" w:eastAsia="zh-CN"/>
        </w:rPr>
        <w:t>：全域划分为生态保护区、生态控制区、农田保护区、城镇发展区、乡村发展区和矿产能源发展区六个一级分区，实行差异管控。其中农田保护区14595.07公顷，生态保护区8372.95公顷，生态控制区1.13公顷，城镇发展区996.29公顷，乡村发展区13930.45公顷，矿产能源发展区13.70公顷。</w:t>
      </w:r>
    </w:p>
    <w:p w14:paraId="04040FEE">
      <w:pPr>
        <w:pStyle w:val="169"/>
        <w:rPr>
          <w:rFonts w:hint="eastAsia"/>
          <w:lang w:val="en-US" w:eastAsia="zh-CN"/>
        </w:rPr>
      </w:pPr>
      <w:r>
        <w:rPr>
          <w:lang w:val="en-US" w:eastAsia="zh-CN"/>
        </w:rPr>
        <w:t>调整方案</w:t>
      </w:r>
      <w:r>
        <w:rPr>
          <w:rFonts w:hint="eastAsia"/>
          <w:lang w:val="en-US" w:eastAsia="zh-CN"/>
        </w:rPr>
        <w:t>：衔接“三条控制线”动态维护，对涉及的规划分区进行同步优化。重点对本次中心城区范围内用地布局调整地块以及辖区各乡镇急需解决用地需求的项目，明确其二级分区类型，布局相应的配套设施。对调出的区域，相应取消其城镇发展区内的二级分区。</w:t>
      </w:r>
    </w:p>
    <w:p w14:paraId="46D4C463">
      <w:pPr>
        <w:pStyle w:val="169"/>
        <w:rPr>
          <w:rFonts w:hint="eastAsia"/>
          <w:color w:val="auto"/>
          <w:lang w:val="en-US" w:eastAsia="zh-CN"/>
        </w:rPr>
      </w:pPr>
      <w:r>
        <w:rPr>
          <w:lang w:eastAsia="zh-CN"/>
        </w:rPr>
        <w:t>维护后情况:维护后，规划分区主导功能更加清晰，布局更加合理。调整后的规划分区主导功能与城市“四线”等重要控制线布</w:t>
      </w:r>
      <w:r>
        <w:rPr>
          <w:color w:val="auto"/>
          <w:highlight w:val="none"/>
          <w:lang w:eastAsia="zh-CN"/>
        </w:rPr>
        <w:t>局匹配度提高，为详细规划编制提供了更明确的依据。</w:t>
      </w:r>
      <w:r>
        <w:rPr>
          <w:rFonts w:hint="eastAsia"/>
          <w:color w:val="auto"/>
          <w:highlight w:val="none"/>
          <w:lang w:val="en-US" w:eastAsia="zh-CN"/>
        </w:rPr>
        <w:t>维护后全区保留六个一级分区，其中农田保护区14804.69公顷，生态保护区8372.48公顷，生态控制区0.64公顷，城镇发展区973.32公顷，乡村发展区13744.86公顷，矿产能源发展区13.70公顷。各分区类型完整、面积精准、边界清晰，与三条控制线布局完全匹配，主导功能明确，用途管制规则严格落实，</w:t>
      </w:r>
      <w:r>
        <w:rPr>
          <w:rFonts w:hint="eastAsia"/>
          <w:color w:val="auto"/>
          <w:lang w:val="en-US" w:eastAsia="zh-CN"/>
        </w:rPr>
        <w:t>生态、农业、城镇、乡村空间有序划分，空间治理精细化、规范化水平全面提升</w:t>
      </w:r>
    </w:p>
    <w:p w14:paraId="416229A3">
      <w:pPr>
        <w:pStyle w:val="168"/>
        <w:rPr>
          <w:lang w:eastAsia="zh-CN"/>
        </w:rPr>
      </w:pPr>
      <w:r>
        <w:rPr>
          <w:lang w:eastAsia="zh-CN"/>
        </w:rPr>
        <w:t>3.</w:t>
      </w:r>
      <w:r>
        <w:rPr>
          <w:rFonts w:hint="eastAsia"/>
          <w:lang w:eastAsia="zh-CN"/>
        </w:rPr>
        <w:t xml:space="preserve"> </w:t>
      </w:r>
      <w:r>
        <w:rPr>
          <w:lang w:eastAsia="zh-CN"/>
        </w:rPr>
        <w:t>维护成效</w:t>
      </w:r>
    </w:p>
    <w:p w14:paraId="3BDA9F9A">
      <w:pPr>
        <w:pStyle w:val="169"/>
        <w:rPr>
          <w:lang w:eastAsia="zh-CN"/>
        </w:rPr>
      </w:pPr>
      <w:r>
        <w:rPr>
          <w:lang w:eastAsia="zh-CN"/>
        </w:rPr>
        <w:t>规划分区主导功能更清晰、布局更合理，与城市四线匹配度显著提高，为详细规划编制提供明确依据。</w:t>
      </w:r>
    </w:p>
    <w:p w14:paraId="643915F1">
      <w:pPr>
        <w:pStyle w:val="168"/>
        <w:rPr>
          <w:lang w:eastAsia="zh-CN"/>
        </w:rPr>
      </w:pPr>
      <w:r>
        <w:rPr>
          <w:lang w:eastAsia="zh-CN"/>
        </w:rPr>
        <w:t>（三）中心城区用地规划布局</w:t>
      </w:r>
    </w:p>
    <w:p w14:paraId="0007BB2B">
      <w:pPr>
        <w:pStyle w:val="169"/>
        <w:rPr>
          <w:lang w:eastAsia="zh-CN"/>
        </w:rPr>
      </w:pPr>
      <w:r>
        <w:rPr>
          <w:lang w:eastAsia="zh-CN"/>
        </w:rPr>
        <w:t>现状(规划)情况:中心城区规划建设用地规模为</w:t>
      </w:r>
      <w:r>
        <w:rPr>
          <w:rFonts w:hint="eastAsia"/>
          <w:lang w:eastAsia="zh-CN"/>
        </w:rPr>
        <w:t>695.83</w:t>
      </w:r>
      <w:r>
        <w:rPr>
          <w:lang w:eastAsia="zh-CN"/>
        </w:rPr>
        <w:t>公顷。其中,居住用地143.71公顷</w:t>
      </w:r>
      <w:r>
        <w:rPr>
          <w:rFonts w:hint="eastAsia"/>
          <w:lang w:eastAsia="zh-CN"/>
        </w:rPr>
        <w:t>，</w:t>
      </w:r>
      <w:r>
        <w:rPr>
          <w:lang w:eastAsia="zh-CN"/>
        </w:rPr>
        <w:t>公共管理与公共服务用地37.90公顷，商业服务业用地32.73公顷，工矿用地107.27公顷，仓储用地3.20公顷，交通运输用地108.14公顷，公用设施用地占</w:t>
      </w:r>
      <w:r>
        <w:rPr>
          <w:rFonts w:hint="eastAsia"/>
          <w:lang w:eastAsia="zh-CN"/>
        </w:rPr>
        <w:t>9.70</w:t>
      </w:r>
      <w:r>
        <w:rPr>
          <w:lang w:eastAsia="zh-CN"/>
        </w:rPr>
        <w:t>公顷，绿地与开敞空间用地</w:t>
      </w:r>
      <w:r>
        <w:rPr>
          <w:rFonts w:hint="eastAsia"/>
          <w:lang w:eastAsia="zh-CN"/>
        </w:rPr>
        <w:t>30.87</w:t>
      </w:r>
      <w:r>
        <w:rPr>
          <w:lang w:eastAsia="zh-CN"/>
        </w:rPr>
        <w:t>公顷，特殊用地</w:t>
      </w:r>
      <w:r>
        <w:rPr>
          <w:rFonts w:hint="eastAsia"/>
          <w:lang w:eastAsia="zh-CN"/>
        </w:rPr>
        <w:t>0.06</w:t>
      </w:r>
      <w:r>
        <w:rPr>
          <w:lang w:eastAsia="zh-CN"/>
        </w:rPr>
        <w:t>公顷，留白用地</w:t>
      </w:r>
      <w:r>
        <w:rPr>
          <w:rFonts w:hint="eastAsia"/>
          <w:lang w:eastAsia="zh-CN"/>
        </w:rPr>
        <w:t>7.92</w:t>
      </w:r>
      <w:r>
        <w:rPr>
          <w:lang w:eastAsia="zh-CN"/>
        </w:rPr>
        <w:t>公顷。</w:t>
      </w:r>
    </w:p>
    <w:p w14:paraId="1F315E49">
      <w:pPr>
        <w:pStyle w:val="169"/>
        <w:rPr>
          <w:lang w:eastAsia="zh-CN"/>
        </w:rPr>
      </w:pPr>
      <w:r>
        <w:rPr>
          <w:lang w:eastAsia="zh-CN"/>
        </w:rPr>
        <w:t>调整方案：在不涉及规划强制性内容、确保用地结构基本稳定的前提下,按照规划分区主导功能和管控要求进行优化。</w:t>
      </w:r>
    </w:p>
    <w:p w14:paraId="4FD0CE3B">
      <w:pPr>
        <w:pStyle w:val="169"/>
        <w:rPr>
          <w:lang w:eastAsia="zh-CN"/>
        </w:rPr>
      </w:pPr>
      <w:r>
        <w:rPr>
          <w:rFonts w:hint="eastAsia"/>
          <w:lang w:eastAsia="zh-CN"/>
        </w:rPr>
        <w:t>维护后情况:优化后,</w:t>
      </w:r>
      <w:r>
        <w:rPr>
          <w:rFonts w:hint="eastAsia"/>
          <w:lang w:val="en-US" w:eastAsia="zh-CN"/>
        </w:rPr>
        <w:t>中心城区内村庄建设用地更加合理，</w:t>
      </w:r>
      <w:r>
        <w:rPr>
          <w:rFonts w:hint="eastAsia"/>
          <w:lang w:eastAsia="zh-CN"/>
        </w:rPr>
        <w:t>公园绿地、广场步行5分钟覆盖率提升,城市综合承载能力和宜居水平得到进一步提升。</w:t>
      </w:r>
    </w:p>
    <w:p w14:paraId="205D03AB">
      <w:pPr>
        <w:pStyle w:val="168"/>
        <w:rPr>
          <w:lang w:eastAsia="zh-CN"/>
        </w:rPr>
      </w:pPr>
      <w:r>
        <w:rPr>
          <w:lang w:eastAsia="zh-CN"/>
        </w:rPr>
        <w:t>（</w:t>
      </w:r>
      <w:r>
        <w:rPr>
          <w:rFonts w:hint="eastAsia"/>
          <w:lang w:eastAsia="zh-CN"/>
        </w:rPr>
        <w:t>四</w:t>
      </w:r>
      <w:r>
        <w:rPr>
          <w:lang w:eastAsia="zh-CN"/>
        </w:rPr>
        <w:t>）城市“四线”管控</w:t>
      </w:r>
    </w:p>
    <w:p w14:paraId="2782A9E9">
      <w:pPr>
        <w:pStyle w:val="169"/>
        <w:rPr>
          <w:rFonts w:hint="eastAsia"/>
          <w:lang w:eastAsia="zh-CN"/>
        </w:rPr>
      </w:pPr>
      <w:r>
        <w:rPr>
          <w:rFonts w:hint="eastAsia"/>
          <w:lang w:eastAsia="zh-CN"/>
        </w:rPr>
        <w:t>现状情况：城市绿线总面积</w:t>
      </w:r>
      <w:r>
        <w:rPr>
          <w:lang w:eastAsia="zh-CN"/>
        </w:rPr>
        <w:t>28.</w:t>
      </w:r>
      <w:r>
        <w:rPr>
          <w:rFonts w:hint="eastAsia"/>
          <w:lang w:eastAsia="zh-CN"/>
        </w:rPr>
        <w:t>98</w:t>
      </w:r>
      <w:r>
        <w:rPr>
          <w:lang w:eastAsia="zh-CN"/>
        </w:rPr>
        <w:t>公顷。</w:t>
      </w:r>
      <w:r>
        <w:rPr>
          <w:rFonts w:hint="eastAsia"/>
          <w:lang w:eastAsia="zh-CN"/>
        </w:rPr>
        <w:t>主要包括映湖公园、</w:t>
      </w:r>
      <w:r>
        <w:rPr>
          <w:lang w:eastAsia="zh-CN"/>
        </w:rPr>
        <w:t>大通湖区生态公园、老三河滨水</w:t>
      </w:r>
      <w:r>
        <w:rPr>
          <w:rFonts w:hint="eastAsia"/>
          <w:lang w:eastAsia="zh-CN"/>
        </w:rPr>
        <w:t>休闲风光带等公园;城市蓝线总面积9.40</w:t>
      </w:r>
      <w:r>
        <w:rPr>
          <w:lang w:eastAsia="zh-CN"/>
        </w:rPr>
        <w:t>公顷，包括中心城</w:t>
      </w:r>
      <w:r>
        <w:rPr>
          <w:rFonts w:hint="eastAsia"/>
          <w:lang w:eastAsia="zh-CN"/>
        </w:rPr>
        <w:t>区范围内老三河以及部分沟渠;</w:t>
      </w:r>
      <w:r>
        <w:rPr>
          <w:lang w:eastAsia="zh-CN"/>
        </w:rPr>
        <w:t>城市黄线总面积9.83公顷</w:t>
      </w:r>
      <w:r>
        <w:rPr>
          <w:rFonts w:hint="eastAsia"/>
          <w:lang w:eastAsia="zh-CN"/>
        </w:rPr>
        <w:t>,主要管控自来水厂、消防站、汽车站、污水厂等设施;无城市紫线。</w:t>
      </w:r>
    </w:p>
    <w:p w14:paraId="117026E1">
      <w:pPr>
        <w:pStyle w:val="169"/>
        <w:rPr>
          <w:rFonts w:hint="eastAsia" w:ascii="仿宋_GB2312" w:hAnsi="仿宋_GB2312" w:eastAsia="仿宋_GB2312" w:cstheme="minorBidi"/>
          <w:sz w:val="24"/>
          <w:szCs w:val="22"/>
          <w:lang w:val="en-US" w:eastAsia="zh-CN" w:bidi="ar-SA"/>
        </w:rPr>
      </w:pPr>
      <w:r>
        <w:rPr>
          <w:rFonts w:hint="default" w:ascii="仿宋_GB2312" w:hAnsi="仿宋_GB2312" w:eastAsia="仿宋_GB2312" w:cstheme="minorBidi"/>
          <w:sz w:val="24"/>
          <w:szCs w:val="22"/>
          <w:lang w:val="en-US" w:eastAsia="zh-CN" w:bidi="ar-SA"/>
        </w:rPr>
        <w:t>维护后情况:结合城市更新，本次动态维护拟调整城市绿线、蓝线、黄线，调整后城市绿线总面积28.98公顷，城市蓝线总面积9.40公顷，城市黄线总面积9.99公顷，各控制线维持基本稳定。维护后，绿线和蓝线总量</w:t>
      </w:r>
      <w:r>
        <w:rPr>
          <w:rFonts w:hint="eastAsia" w:ascii="仿宋_GB2312" w:hAnsi="仿宋_GB2312" w:eastAsia="仿宋_GB2312" w:cstheme="minorBidi"/>
          <w:sz w:val="24"/>
          <w:szCs w:val="22"/>
          <w:lang w:val="en-US" w:eastAsia="zh-CN" w:bidi="ar-SA"/>
        </w:rPr>
        <w:t>维持稳定</w:t>
      </w:r>
      <w:r>
        <w:rPr>
          <w:rFonts w:hint="default" w:ascii="仿宋_GB2312" w:hAnsi="仿宋_GB2312" w:eastAsia="仿宋_GB2312" w:cstheme="minorBidi"/>
          <w:sz w:val="24"/>
          <w:szCs w:val="22"/>
          <w:lang w:val="en-US" w:eastAsia="zh-CN" w:bidi="ar-SA"/>
        </w:rPr>
        <w:t>，黄线规模稳中有增、功能不降低、布局基本稳定。大通湖区中心城区内无历史文化保护单位、历史建筑，不涉及城市紫线。</w:t>
      </w:r>
    </w:p>
    <w:p w14:paraId="5DBC76A1">
      <w:pPr>
        <w:pStyle w:val="168"/>
        <w:rPr>
          <w:lang w:eastAsia="zh-CN"/>
        </w:rPr>
      </w:pPr>
      <w:r>
        <w:rPr>
          <w:lang w:eastAsia="zh-CN"/>
        </w:rPr>
        <w:t>（</w:t>
      </w:r>
      <w:r>
        <w:rPr>
          <w:rFonts w:hint="eastAsia"/>
          <w:lang w:eastAsia="zh-CN"/>
        </w:rPr>
        <w:t>五</w:t>
      </w:r>
      <w:r>
        <w:rPr>
          <w:lang w:eastAsia="zh-CN"/>
        </w:rPr>
        <w:t>）详细规划编制单元</w:t>
      </w:r>
    </w:p>
    <w:p w14:paraId="2A7E9AA9">
      <w:pPr>
        <w:pStyle w:val="169"/>
        <w:rPr>
          <w:lang w:eastAsia="zh-CN"/>
        </w:rPr>
      </w:pPr>
      <w:r>
        <w:rPr>
          <w:lang w:eastAsia="zh-CN"/>
        </w:rPr>
        <w:t>中心城区共</w:t>
      </w:r>
      <w:r>
        <w:rPr>
          <w:rFonts w:hint="eastAsia"/>
          <w:lang w:eastAsia="zh-CN"/>
        </w:rPr>
        <w:t>3</w:t>
      </w:r>
      <w:r>
        <w:rPr>
          <w:lang w:eastAsia="zh-CN"/>
        </w:rPr>
        <w:t>个详细规划编制单元，本次维护不作调整，保持规划管理单元完整性。</w:t>
      </w:r>
    </w:p>
    <w:p w14:paraId="0BC479F8">
      <w:pPr>
        <w:pStyle w:val="168"/>
        <w:rPr>
          <w:rFonts w:hint="default"/>
          <w:lang w:val="en-US" w:eastAsia="zh-CN"/>
        </w:rPr>
      </w:pPr>
      <w:r>
        <w:rPr>
          <w:lang w:eastAsia="zh-CN"/>
        </w:rPr>
        <w:t>（</w:t>
      </w:r>
      <w:r>
        <w:rPr>
          <w:rFonts w:hint="eastAsia"/>
          <w:lang w:eastAsia="zh-CN"/>
        </w:rPr>
        <w:t>六</w:t>
      </w:r>
      <w:r>
        <w:rPr>
          <w:lang w:eastAsia="zh-CN"/>
        </w:rPr>
        <w:t>）村庄建设边界优化</w:t>
      </w:r>
      <w:r>
        <w:rPr>
          <w:rFonts w:hint="eastAsia"/>
          <w:lang w:val="en-US" w:eastAsia="zh-CN"/>
        </w:rPr>
        <w:t>及规模留白</w:t>
      </w:r>
    </w:p>
    <w:p w14:paraId="10CDE4E3">
      <w:pPr>
        <w:pStyle w:val="169"/>
        <w:rPr>
          <w:lang w:eastAsia="zh-CN"/>
        </w:rPr>
      </w:pPr>
      <w:r>
        <w:rPr>
          <w:lang w:eastAsia="zh-CN"/>
        </w:rPr>
        <w:t>在不突破各乡镇村庄建设用地总规模前提下，结合乡村振兴需求优化布局：</w:t>
      </w:r>
    </w:p>
    <w:p w14:paraId="1B5033DE">
      <w:pPr>
        <w:pStyle w:val="170"/>
        <w:ind w:firstLine="480" w:firstLineChars="200"/>
        <w:rPr>
          <w:highlight w:val="yellow"/>
          <w:lang w:eastAsia="zh-CN"/>
        </w:rPr>
      </w:pPr>
      <w:r>
        <w:rPr>
          <w:rFonts w:hint="eastAsia"/>
          <w:lang w:eastAsia="zh-CN"/>
        </w:rPr>
        <w:t>在不突破各乡镇村庄建设用地总规模的前提下，结合乡村实际需求进行布局优化。一是产业发展</w:t>
      </w:r>
      <w:r>
        <w:rPr>
          <w:lang w:eastAsia="zh-CN"/>
        </w:rPr>
        <w:t>:为支持</w:t>
      </w:r>
      <w:r>
        <w:rPr>
          <w:rFonts w:hint="eastAsia"/>
          <w:lang w:eastAsia="zh-CN"/>
        </w:rPr>
        <w:t>大通湖区</w:t>
      </w:r>
      <w:r>
        <w:rPr>
          <w:lang w:eastAsia="zh-CN"/>
        </w:rPr>
        <w:t>乡村产业发</w:t>
      </w:r>
      <w:r>
        <w:rPr>
          <w:color w:val="auto"/>
          <w:highlight w:val="none"/>
          <w:lang w:eastAsia="zh-CN"/>
        </w:rPr>
        <w:t>展,新增产业用地</w:t>
      </w:r>
      <w:r>
        <w:rPr>
          <w:rFonts w:hint="eastAsia"/>
          <w:color w:val="auto"/>
          <w:highlight w:val="none"/>
          <w:lang w:val="en-US" w:eastAsia="zh-CN"/>
        </w:rPr>
        <w:t>6.26</w:t>
      </w:r>
      <w:r>
        <w:rPr>
          <w:color w:val="auto"/>
          <w:highlight w:val="none"/>
          <w:lang w:eastAsia="zh-CN"/>
        </w:rPr>
        <w:t>公顷，二是村民建房:为推进村民集中居住点建设,新增居住用地</w:t>
      </w:r>
      <w:r>
        <w:rPr>
          <w:rFonts w:hint="eastAsia"/>
          <w:color w:val="auto"/>
          <w:highlight w:val="none"/>
          <w:lang w:eastAsia="zh-CN"/>
        </w:rPr>
        <w:t>25.52</w:t>
      </w:r>
      <w:r>
        <w:rPr>
          <w:color w:val="auto"/>
          <w:highlight w:val="none"/>
          <w:lang w:eastAsia="zh-CN"/>
        </w:rPr>
        <w:t>公顷。</w:t>
      </w:r>
    </w:p>
    <w:p w14:paraId="376D2C63">
      <w:pPr>
        <w:pStyle w:val="169"/>
        <w:rPr>
          <w:color w:val="0000FF"/>
          <w:lang w:eastAsia="zh-CN"/>
        </w:rPr>
      </w:pPr>
      <w:r>
        <w:rPr>
          <w:rFonts w:hint="eastAsia"/>
          <w:color w:val="auto"/>
          <w:lang w:eastAsia="zh-CN"/>
        </w:rPr>
        <w:t>维护后情况：优化后</w:t>
      </w:r>
      <w:r>
        <w:rPr>
          <w:color w:val="auto"/>
          <w:lang w:eastAsia="zh-CN"/>
        </w:rPr>
        <w:t>,</w:t>
      </w:r>
      <w:r>
        <w:rPr>
          <w:rFonts w:hint="eastAsia"/>
          <w:color w:val="auto"/>
          <w:lang w:eastAsia="zh-CN"/>
        </w:rPr>
        <w:t>大通湖区</w:t>
      </w:r>
      <w:r>
        <w:rPr>
          <w:color w:val="auto"/>
          <w:lang w:eastAsia="zh-CN"/>
        </w:rPr>
        <w:t>村庄建设边界总面积</w:t>
      </w:r>
      <w:r>
        <w:rPr>
          <w:rFonts w:hint="eastAsia"/>
          <w:color w:val="auto"/>
          <w:lang w:eastAsia="zh-CN"/>
        </w:rPr>
        <w:t>16</w:t>
      </w:r>
      <w:r>
        <w:rPr>
          <w:rFonts w:hint="eastAsia"/>
          <w:color w:val="auto"/>
          <w:lang w:val="en-US" w:eastAsia="zh-CN"/>
        </w:rPr>
        <w:t>78.95</w:t>
      </w:r>
      <w:r>
        <w:rPr>
          <w:color w:val="auto"/>
          <w:lang w:eastAsia="zh-CN"/>
        </w:rPr>
        <w:t>公顷，剩余留白指标规模</w:t>
      </w:r>
      <w:r>
        <w:rPr>
          <w:rFonts w:hint="eastAsia"/>
          <w:color w:val="auto"/>
          <w:lang w:val="en-US" w:eastAsia="zh-CN"/>
        </w:rPr>
        <w:t>11.66</w:t>
      </w:r>
      <w:r>
        <w:rPr>
          <w:color w:val="auto"/>
          <w:lang w:eastAsia="zh-CN"/>
        </w:rPr>
        <w:t>公顷，有效保障了乡村产业、公共服务和村民建房等合理空间需求，促进了乡村振兴。</w:t>
      </w:r>
    </w:p>
    <w:p w14:paraId="20800A77">
      <w:pPr>
        <w:pStyle w:val="168"/>
        <w:rPr>
          <w:lang w:eastAsia="zh-CN"/>
        </w:rPr>
      </w:pPr>
      <w:r>
        <w:rPr>
          <w:lang w:eastAsia="zh-CN"/>
        </w:rPr>
        <w:t>（</w:t>
      </w:r>
      <w:r>
        <w:rPr>
          <w:rFonts w:hint="eastAsia"/>
          <w:lang w:eastAsia="zh-CN"/>
        </w:rPr>
        <w:t>七</w:t>
      </w:r>
      <w:r>
        <w:rPr>
          <w:lang w:eastAsia="zh-CN"/>
        </w:rPr>
        <w:t>）重点建设项目清单更新</w:t>
      </w:r>
    </w:p>
    <w:p w14:paraId="28A0645A">
      <w:pPr>
        <w:pStyle w:val="169"/>
        <w:rPr>
          <w:lang w:eastAsia="zh-CN"/>
        </w:rPr>
      </w:pPr>
      <w:r>
        <w:rPr>
          <w:lang w:eastAsia="zh-CN"/>
        </w:rPr>
        <w:t>全面对接《大通湖区“十五五”规划纲要》，系统更新重点项目清单：</w:t>
      </w:r>
    </w:p>
    <w:p w14:paraId="41D1EBF9">
      <w:pPr>
        <w:pStyle w:val="170"/>
        <w:rPr>
          <w:color w:val="auto"/>
          <w:lang w:eastAsia="zh-CN"/>
        </w:rPr>
      </w:pPr>
      <w:r>
        <w:rPr>
          <w:color w:val="auto"/>
          <w:lang w:eastAsia="zh-CN"/>
        </w:rPr>
        <w:t>1. 新增项目2</w:t>
      </w:r>
      <w:r>
        <w:rPr>
          <w:rFonts w:hint="eastAsia"/>
          <w:color w:val="auto"/>
          <w:lang w:val="en-US" w:eastAsia="zh-CN"/>
        </w:rPr>
        <w:t>20</w:t>
      </w:r>
      <w:r>
        <w:rPr>
          <w:color w:val="auto"/>
          <w:lang w:eastAsia="zh-CN"/>
        </w:rPr>
        <w:t>个，其中7个精准落图、31个示意落图、1</w:t>
      </w:r>
      <w:r>
        <w:rPr>
          <w:rFonts w:hint="eastAsia"/>
          <w:color w:val="auto"/>
          <w:lang w:val="en-US" w:eastAsia="zh-CN"/>
        </w:rPr>
        <w:t>82</w:t>
      </w:r>
      <w:r>
        <w:rPr>
          <w:color w:val="auto"/>
          <w:lang w:eastAsia="zh-CN"/>
        </w:rPr>
        <w:t>个列表管理；</w:t>
      </w:r>
    </w:p>
    <w:p w14:paraId="74B99C57">
      <w:pPr>
        <w:pStyle w:val="170"/>
        <w:rPr>
          <w:lang w:eastAsia="zh-CN"/>
        </w:rPr>
      </w:pPr>
      <w:r>
        <w:rPr>
          <w:lang w:eastAsia="zh-CN"/>
        </w:rPr>
        <w:t>2. 更新项目7个，优化名称、规模、时序与空间位置；</w:t>
      </w:r>
    </w:p>
    <w:p w14:paraId="3340481C">
      <w:pPr>
        <w:pStyle w:val="170"/>
        <w:rPr>
          <w:lang w:eastAsia="zh-CN"/>
        </w:rPr>
      </w:pPr>
      <w:r>
        <w:rPr>
          <w:lang w:eastAsia="zh-CN"/>
        </w:rPr>
        <w:t>3. 维护后共10大类、3</w:t>
      </w:r>
      <w:r>
        <w:rPr>
          <w:rFonts w:hint="eastAsia"/>
          <w:lang w:val="en-US" w:eastAsia="zh-CN"/>
        </w:rPr>
        <w:t>63</w:t>
      </w:r>
      <w:r>
        <w:rPr>
          <w:lang w:eastAsia="zh-CN"/>
        </w:rPr>
        <w:t>个项目，全面覆盖交通、水利、能源、产业、民生、生态等领域。</w:t>
      </w:r>
    </w:p>
    <w:p w14:paraId="4BB7C998">
      <w:pPr>
        <w:pStyle w:val="167"/>
        <w:rPr>
          <w:rFonts w:hint="default"/>
          <w:lang w:val="en-US" w:eastAsia="zh-CN"/>
        </w:rPr>
      </w:pPr>
      <w:r>
        <w:rPr>
          <w:lang w:eastAsia="zh-CN"/>
        </w:rPr>
        <w:t>三、动态维护方案可行性分析</w:t>
      </w:r>
      <w:r>
        <w:rPr>
          <w:rFonts w:hint="eastAsia"/>
          <w:lang w:val="en-US" w:eastAsia="zh-CN"/>
        </w:rPr>
        <w:t>及</w:t>
      </w:r>
      <w:r>
        <w:rPr>
          <w:lang w:eastAsia="zh-CN"/>
        </w:rPr>
        <w:t>动态维护预期效果</w:t>
      </w:r>
    </w:p>
    <w:p w14:paraId="20980A82">
      <w:pPr>
        <w:pStyle w:val="168"/>
        <w:rPr>
          <w:lang w:eastAsia="zh-CN"/>
        </w:rPr>
      </w:pPr>
      <w:r>
        <w:rPr>
          <w:lang w:eastAsia="zh-CN"/>
        </w:rPr>
        <w:t>（一）必要性</w:t>
      </w:r>
    </w:p>
    <w:p w14:paraId="7833842F">
      <w:pPr>
        <w:pStyle w:val="169"/>
        <w:rPr>
          <w:lang w:eastAsia="zh-CN"/>
        </w:rPr>
      </w:pPr>
      <w:r>
        <w:rPr>
          <w:lang w:eastAsia="zh-CN"/>
        </w:rPr>
        <w:t>本方案紧密对接大通湖区“十五五”发展需求，直接回应体检评估发现的空间冲突、项目保障不足、民生短板、规划传导不畅等核心问题，是保障重大项目落地、提升规划适应性、支撑高质量发展的必要举措。</w:t>
      </w:r>
    </w:p>
    <w:p w14:paraId="31A1F021">
      <w:pPr>
        <w:pStyle w:val="168"/>
        <w:rPr>
          <w:lang w:eastAsia="zh-CN"/>
        </w:rPr>
      </w:pPr>
      <w:r>
        <w:rPr>
          <w:lang w:eastAsia="zh-CN"/>
        </w:rPr>
        <w:t>（二）合理性</w:t>
      </w:r>
    </w:p>
    <w:p w14:paraId="13837A5A">
      <w:pPr>
        <w:pStyle w:val="170"/>
        <w:ind w:firstLine="480" w:firstLineChars="200"/>
        <w:rPr>
          <w:lang w:eastAsia="zh-CN"/>
        </w:rPr>
      </w:pPr>
      <w:r>
        <w:rPr>
          <w:lang w:eastAsia="zh-CN"/>
        </w:rPr>
        <w:t>1. 符合正向优化标准。三条控制线严守总量、提升质量、优化布局；规划调整为局部优化，不改变总体格局，不突破约束性指标。</w:t>
      </w:r>
    </w:p>
    <w:p w14:paraId="2CE12B9E">
      <w:pPr>
        <w:pStyle w:val="170"/>
        <w:ind w:firstLine="480" w:firstLineChars="200"/>
        <w:rPr>
          <w:lang w:eastAsia="zh-CN"/>
        </w:rPr>
      </w:pPr>
      <w:r>
        <w:rPr>
          <w:lang w:eastAsia="zh-CN"/>
        </w:rPr>
        <w:t>2. 程序合法合规。将严格履行编制、征求意见、专家论证、市县审核、省级审查、审批备案全流程。</w:t>
      </w:r>
    </w:p>
    <w:p w14:paraId="31E47DD7">
      <w:pPr>
        <w:pStyle w:val="170"/>
        <w:ind w:firstLine="480" w:firstLineChars="200"/>
        <w:rPr>
          <w:lang w:eastAsia="zh-CN"/>
        </w:rPr>
      </w:pPr>
      <w:r>
        <w:rPr>
          <w:lang w:eastAsia="zh-CN"/>
        </w:rPr>
        <w:t>3. 技术科学可行。基于最新国土变更调查与专项规划成果，采用GIS空间分析技术，调整精准可落地。</w:t>
      </w:r>
    </w:p>
    <w:p w14:paraId="2D341B04">
      <w:pPr>
        <w:pStyle w:val="168"/>
      </w:pPr>
      <w:r>
        <w:t>（三）可行性</w:t>
      </w:r>
    </w:p>
    <w:p w14:paraId="6640FF95">
      <w:pPr>
        <w:pStyle w:val="170"/>
        <w:ind w:firstLine="480" w:firstLineChars="200"/>
        <w:rPr>
          <w:lang w:eastAsia="zh-CN"/>
        </w:rPr>
      </w:pPr>
      <w:r>
        <w:rPr>
          <w:lang w:eastAsia="zh-CN"/>
        </w:rPr>
        <w:t>1. 政策可行。完全符合国省国土空间规划动态维护政策要求，与上位规划衔接顺畅。</w:t>
      </w:r>
    </w:p>
    <w:p w14:paraId="593D8E1F">
      <w:pPr>
        <w:pStyle w:val="170"/>
        <w:ind w:firstLine="480" w:firstLineChars="200"/>
        <w:rPr>
          <w:lang w:eastAsia="zh-CN"/>
        </w:rPr>
      </w:pPr>
      <w:r>
        <w:rPr>
          <w:lang w:eastAsia="zh-CN"/>
        </w:rPr>
        <w:t>2. 实施可行。以局部微调为主，对管理体系冲击小，可快速纳入“一张图”系统实施。</w:t>
      </w:r>
    </w:p>
    <w:p w14:paraId="706C21FC">
      <w:pPr>
        <w:pStyle w:val="170"/>
        <w:ind w:firstLine="480" w:firstLineChars="200"/>
        <w:rPr>
          <w:lang w:eastAsia="zh-CN"/>
        </w:rPr>
      </w:pPr>
      <w:r>
        <w:rPr>
          <w:lang w:eastAsia="zh-CN"/>
        </w:rPr>
        <w:t>3. 社会可行。聚焦公共利益与民生改善，广泛征求意见，社会认可度高、可操作性强。</w:t>
      </w:r>
    </w:p>
    <w:p w14:paraId="62334BBC">
      <w:pPr>
        <w:pStyle w:val="168"/>
        <w:rPr>
          <w:lang w:eastAsia="zh-CN"/>
        </w:rPr>
      </w:pPr>
      <w:r>
        <w:t>（</w:t>
      </w:r>
      <w:r>
        <w:rPr>
          <w:rFonts w:hint="eastAsia"/>
          <w:lang w:val="en-US" w:eastAsia="zh-CN"/>
        </w:rPr>
        <w:t>四</w:t>
      </w:r>
      <w:r>
        <w:t>）</w:t>
      </w:r>
      <w:r>
        <w:rPr>
          <w:lang w:eastAsia="zh-CN"/>
        </w:rPr>
        <w:t>动态维护预期效果</w:t>
      </w:r>
    </w:p>
    <w:p w14:paraId="45AFF503">
      <w:pPr>
        <w:pStyle w:val="170"/>
        <w:ind w:firstLine="480" w:firstLineChars="200"/>
        <w:rPr>
          <w:lang w:eastAsia="zh-CN"/>
        </w:rPr>
      </w:pPr>
      <w:r>
        <w:rPr>
          <w:rFonts w:hint="eastAsia"/>
          <w:lang w:eastAsia="zh-CN"/>
        </w:rPr>
        <w:t>本次国土空间动态维护，既严守生态保护、永久基本农田两条底线，又兼顾区域发展实际需求，实现了保护与发展的统筹平衡。调整后大通湖区国土空间格局更加科学合理，空间管控更加精准有效，规划落地性显著增强，既能保障粮食安全、筑牢湖区生态屏障，又能全方位护航产业升级、城乡融合发展、产业提质升级、乡村全面振兴、生态永续安全，以坚实可靠的空间要素与基础支撑，确保全区“十五五”各项目标任务落地落实,为大通湖区高质量发展、湖区生态文明建设、乡村全面振兴提供坚实的国土空间保障。</w:t>
      </w:r>
    </w:p>
    <w:p w14:paraId="6FF579BA">
      <w:pPr>
        <w:pStyle w:val="167"/>
        <w:rPr>
          <w:lang w:eastAsia="zh-CN"/>
        </w:rPr>
      </w:pPr>
      <w:r>
        <w:rPr>
          <w:lang w:eastAsia="zh-CN"/>
        </w:rPr>
        <w:t>四、实施保障措施</w:t>
      </w:r>
    </w:p>
    <w:p w14:paraId="64DB36A9">
      <w:pPr>
        <w:pStyle w:val="170"/>
        <w:ind w:firstLine="480" w:firstLineChars="200"/>
        <w:rPr>
          <w:lang w:eastAsia="zh-CN"/>
        </w:rPr>
      </w:pPr>
      <w:r>
        <w:rPr>
          <w:lang w:eastAsia="zh-CN"/>
        </w:rPr>
        <w:t>（一）加强组织领导与协同。区管委会履行主体责任，建立自然资源部门牵头，发改、财政、生态环境、住建、交通、水利、农业农村、文旅、应急、林业等部门协同机制，明确职责、形成合力。</w:t>
      </w:r>
    </w:p>
    <w:p w14:paraId="7DC2E46C">
      <w:pPr>
        <w:pStyle w:val="170"/>
        <w:ind w:firstLine="480" w:firstLineChars="200"/>
        <w:rPr>
          <w:lang w:eastAsia="zh-CN"/>
        </w:rPr>
      </w:pPr>
      <w:r>
        <w:rPr>
          <w:lang w:eastAsia="zh-CN"/>
        </w:rPr>
        <w:t>（二）强化规划传导与衔接。维护成果批准后，强制性传导至乡镇规划、详细规划、专项规划，确保全区空间管控统一、项目落地合规。</w:t>
      </w:r>
    </w:p>
    <w:p w14:paraId="03A98B49">
      <w:pPr>
        <w:pStyle w:val="170"/>
        <w:ind w:firstLine="480" w:firstLineChars="200"/>
        <w:rPr>
          <w:lang w:eastAsia="zh-CN"/>
        </w:rPr>
      </w:pPr>
      <w:r>
        <w:rPr>
          <w:lang w:eastAsia="zh-CN"/>
        </w:rPr>
        <w:t>（三）依托“一张图”严格监管。将全部成果纳入国土空间规划“一张图”实施监督系统，实行动态监测、定期体检、及时预警，所有项目严格按更新后规划审批。</w:t>
      </w:r>
    </w:p>
    <w:p w14:paraId="0A04D44B">
      <w:pPr>
        <w:pStyle w:val="170"/>
        <w:ind w:firstLine="480" w:firstLineChars="200"/>
        <w:rPr>
          <w:lang w:eastAsia="zh-CN"/>
        </w:rPr>
      </w:pPr>
      <w:r>
        <w:rPr>
          <w:lang w:eastAsia="zh-CN"/>
        </w:rPr>
        <w:t>（四）建立常态化动态维护机制。完善“一年一体检、五年一评估、适时动态维护”工作机制，保持规划长期科学性、适应性与引领力。</w:t>
      </w:r>
    </w:p>
    <w:bookmarkEnd w:id="0"/>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01" w:usb3="00000000" w:csb0="400001BF" w:csb1="DFF70000"/>
  </w:font>
  <w:font w:name="ＭＳ 明朝">
    <w:altName w:val="ESRI AMFM Electric"/>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98948"/>
    <w:multiLevelType w:val="singleLevel"/>
    <w:tmpl w:val="BFB98948"/>
    <w:lvl w:ilvl="0" w:tentative="0">
      <w:start w:val="4"/>
      <w:numFmt w:val="decimal"/>
      <w:suff w:val="space"/>
      <w:lvlText w:val="%1."/>
      <w:lvlJc w:val="left"/>
    </w:lvl>
  </w:abstractNum>
  <w:abstractNum w:abstractNumId="1">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4"/>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7"/>
      <w:lvlText w:val=""/>
      <w:lvlJc w:val="left"/>
      <w:pPr>
        <w:tabs>
          <w:tab w:val="left" w:pos="360"/>
        </w:tabs>
        <w:ind w:left="360" w:hanging="360"/>
      </w:pPr>
      <w:rPr>
        <w:rFonts w:hint="default" w:ascii="Symbol" w:hAnsi="Symbol"/>
      </w:r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05150"/>
    <w:rsid w:val="00034616"/>
    <w:rsid w:val="000346BF"/>
    <w:rsid w:val="00040A32"/>
    <w:rsid w:val="00057225"/>
    <w:rsid w:val="0006063C"/>
    <w:rsid w:val="00074416"/>
    <w:rsid w:val="001039EC"/>
    <w:rsid w:val="00106B20"/>
    <w:rsid w:val="001411D3"/>
    <w:rsid w:val="0015074B"/>
    <w:rsid w:val="0017361A"/>
    <w:rsid w:val="00182A52"/>
    <w:rsid w:val="001B62B1"/>
    <w:rsid w:val="001C6B12"/>
    <w:rsid w:val="00226825"/>
    <w:rsid w:val="002713BE"/>
    <w:rsid w:val="00276CAD"/>
    <w:rsid w:val="0029639D"/>
    <w:rsid w:val="00326F90"/>
    <w:rsid w:val="00350F59"/>
    <w:rsid w:val="003756D6"/>
    <w:rsid w:val="00384F8B"/>
    <w:rsid w:val="003C2291"/>
    <w:rsid w:val="00401381"/>
    <w:rsid w:val="00404449"/>
    <w:rsid w:val="004978B9"/>
    <w:rsid w:val="004C36B4"/>
    <w:rsid w:val="004F61E3"/>
    <w:rsid w:val="00523616"/>
    <w:rsid w:val="0053382F"/>
    <w:rsid w:val="0059528C"/>
    <w:rsid w:val="005A519F"/>
    <w:rsid w:val="005A52BA"/>
    <w:rsid w:val="00646C9D"/>
    <w:rsid w:val="00666140"/>
    <w:rsid w:val="006700F3"/>
    <w:rsid w:val="006726E8"/>
    <w:rsid w:val="00700976"/>
    <w:rsid w:val="007074AA"/>
    <w:rsid w:val="00716ED9"/>
    <w:rsid w:val="00740430"/>
    <w:rsid w:val="0078103F"/>
    <w:rsid w:val="007815A0"/>
    <w:rsid w:val="007A569F"/>
    <w:rsid w:val="007B691A"/>
    <w:rsid w:val="007C7141"/>
    <w:rsid w:val="00823257"/>
    <w:rsid w:val="0083452D"/>
    <w:rsid w:val="008635B1"/>
    <w:rsid w:val="008F64F4"/>
    <w:rsid w:val="0094359C"/>
    <w:rsid w:val="00975057"/>
    <w:rsid w:val="0097666E"/>
    <w:rsid w:val="00976D7D"/>
    <w:rsid w:val="009B5699"/>
    <w:rsid w:val="00A4303D"/>
    <w:rsid w:val="00A9141E"/>
    <w:rsid w:val="00A9275E"/>
    <w:rsid w:val="00AA1D8D"/>
    <w:rsid w:val="00AF2E91"/>
    <w:rsid w:val="00B352C5"/>
    <w:rsid w:val="00B47730"/>
    <w:rsid w:val="00BB5E52"/>
    <w:rsid w:val="00BF2830"/>
    <w:rsid w:val="00C17634"/>
    <w:rsid w:val="00C243F3"/>
    <w:rsid w:val="00C43A5D"/>
    <w:rsid w:val="00C52827"/>
    <w:rsid w:val="00C85E0A"/>
    <w:rsid w:val="00CB0664"/>
    <w:rsid w:val="00D24838"/>
    <w:rsid w:val="00D61B20"/>
    <w:rsid w:val="00D81E2E"/>
    <w:rsid w:val="00DC2F94"/>
    <w:rsid w:val="00DE4262"/>
    <w:rsid w:val="00DF7818"/>
    <w:rsid w:val="00E052F1"/>
    <w:rsid w:val="00E079DD"/>
    <w:rsid w:val="00E64908"/>
    <w:rsid w:val="00EC0BC7"/>
    <w:rsid w:val="00EC76C6"/>
    <w:rsid w:val="00ED0C88"/>
    <w:rsid w:val="00F3095C"/>
    <w:rsid w:val="00F44AE2"/>
    <w:rsid w:val="00F60458"/>
    <w:rsid w:val="00F61BE3"/>
    <w:rsid w:val="00FC693F"/>
    <w:rsid w:val="0483200B"/>
    <w:rsid w:val="0B64718D"/>
    <w:rsid w:val="0F5A0705"/>
    <w:rsid w:val="0F686815"/>
    <w:rsid w:val="119937D1"/>
    <w:rsid w:val="152434A4"/>
    <w:rsid w:val="23696C97"/>
    <w:rsid w:val="34670A86"/>
    <w:rsid w:val="40A56767"/>
    <w:rsid w:val="42417218"/>
    <w:rsid w:val="54DD5FC6"/>
    <w:rsid w:val="594159E5"/>
    <w:rsid w:val="668C2375"/>
    <w:rsid w:val="6EC44C12"/>
    <w:rsid w:val="766B05BB"/>
    <w:rsid w:val="7E6C1C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uiPriority="99" w:semiHidden="0" w:name="List Bullet"/>
    <w:lsdException w:qFormat="1" w:uiPriority="99" w:semiHidden="0" w:name="List Number"/>
    <w:lsdException w:uiPriority="99" w:semiHidden="0" w:name="List 2"/>
    <w:lsdException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仿宋_GB2312" w:hAnsi="仿宋_GB2312" w:eastAsia="仿宋_GB2312" w:cstheme="minorBidi"/>
      <w:sz w:val="24"/>
      <w:szCs w:val="22"/>
      <w:lang w:val="en-US" w:eastAsia="en-US" w:bidi="ar-SA"/>
    </w:rPr>
  </w:style>
  <w:style w:type="paragraph" w:styleId="4">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5">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6">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7">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8">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9">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0">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1">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2">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4">
    <w:name w:val="Default Paragraph Font"/>
    <w:semiHidden/>
    <w:unhideWhenUsed/>
    <w:qFormat/>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2">
    <w:name w:val="Body Text"/>
    <w:basedOn w:val="1"/>
    <w:link w:val="146"/>
    <w:unhideWhenUsed/>
    <w:qFormat/>
    <w:uiPriority w:val="99"/>
    <w:pPr>
      <w:spacing w:after="120"/>
    </w:pPr>
  </w:style>
  <w:style w:type="paragraph" w:styleId="3">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3">
    <w:name w:val="List 3"/>
    <w:basedOn w:val="1"/>
    <w:unhideWhenUsed/>
    <w:uiPriority w:val="99"/>
    <w:pPr>
      <w:ind w:left="1080" w:hanging="360"/>
      <w:contextualSpacing/>
    </w:pPr>
  </w:style>
  <w:style w:type="paragraph" w:styleId="14">
    <w:name w:val="List Number 2"/>
    <w:basedOn w:val="1"/>
    <w:unhideWhenUsed/>
    <w:qFormat/>
    <w:uiPriority w:val="99"/>
    <w:pPr>
      <w:numPr>
        <w:ilvl w:val="0"/>
        <w:numId w:val="1"/>
      </w:numPr>
      <w:contextualSpacing/>
    </w:pPr>
  </w:style>
  <w:style w:type="paragraph" w:styleId="15">
    <w:name w:val="List Number"/>
    <w:basedOn w:val="1"/>
    <w:unhideWhenUsed/>
    <w:qFormat/>
    <w:uiPriority w:val="99"/>
    <w:pPr>
      <w:numPr>
        <w:ilvl w:val="0"/>
        <w:numId w:val="2"/>
      </w:numPr>
      <w:contextualSpacing/>
    </w:pPr>
  </w:style>
  <w:style w:type="paragraph" w:styleId="16">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7">
    <w:name w:val="List Bullet"/>
    <w:basedOn w:val="1"/>
    <w:unhideWhenUsed/>
    <w:uiPriority w:val="99"/>
    <w:pPr>
      <w:numPr>
        <w:ilvl w:val="0"/>
        <w:numId w:val="3"/>
      </w:numPr>
      <w:contextualSpacing/>
    </w:pPr>
  </w:style>
  <w:style w:type="paragraph" w:styleId="18">
    <w:name w:val="Body Text 3"/>
    <w:basedOn w:val="1"/>
    <w:link w:val="148"/>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Balloon Text"/>
    <w:basedOn w:val="1"/>
    <w:link w:val="171"/>
    <w:semiHidden/>
    <w:unhideWhenUsed/>
    <w:uiPriority w:val="99"/>
    <w:pPr>
      <w:spacing w:after="0" w:line="240" w:lineRule="auto"/>
    </w:pPr>
    <w:rPr>
      <w:sz w:val="18"/>
      <w:szCs w:val="18"/>
    </w:rPr>
  </w:style>
  <w:style w:type="paragraph" w:styleId="25">
    <w:name w:val="footer"/>
    <w:basedOn w:val="1"/>
    <w:link w:val="138"/>
    <w:unhideWhenUsed/>
    <w:qFormat/>
    <w:uiPriority w:val="99"/>
    <w:pPr>
      <w:tabs>
        <w:tab w:val="center" w:pos="4680"/>
        <w:tab w:val="right" w:pos="9360"/>
      </w:tabs>
      <w:spacing w:after="0" w:line="240" w:lineRule="auto"/>
    </w:pPr>
  </w:style>
  <w:style w:type="paragraph" w:styleId="26">
    <w:name w:val="header"/>
    <w:basedOn w:val="1"/>
    <w:link w:val="137"/>
    <w:unhideWhenUsed/>
    <w:qFormat/>
    <w:uiPriority w:val="99"/>
    <w:pPr>
      <w:tabs>
        <w:tab w:val="center" w:pos="4680"/>
        <w:tab w:val="right" w:pos="9360"/>
      </w:tabs>
      <w:spacing w:after="0" w:line="240" w:lineRule="auto"/>
    </w:pPr>
  </w:style>
  <w:style w:type="paragraph" w:styleId="27">
    <w:name w:val="Subtitle"/>
    <w:basedOn w:val="1"/>
    <w:next w:val="1"/>
    <w:link w:val="144"/>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7"/>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Normal (Web)"/>
    <w:basedOn w:val="1"/>
    <w:uiPriority w:val="0"/>
    <w:pPr>
      <w:widowControl w:val="0"/>
      <w:spacing w:beforeAutospacing="1" w:after="0" w:afterAutospacing="1" w:line="240" w:lineRule="auto"/>
    </w:pPr>
    <w:rPr>
      <w:rFonts w:cs="Times New Roman" w:asciiTheme="minorHAnsi" w:hAnsiTheme="minorHAnsi" w:eastAsiaTheme="minorEastAsia"/>
      <w:szCs w:val="24"/>
      <w:lang w:eastAsia="zh-CN"/>
    </w:rPr>
  </w:style>
  <w:style w:type="paragraph" w:styleId="32">
    <w:name w:val="List Continue 3"/>
    <w:basedOn w:val="1"/>
    <w:unhideWhenUsed/>
    <w:qFormat/>
    <w:uiPriority w:val="99"/>
    <w:pPr>
      <w:spacing w:after="120"/>
      <w:ind w:left="1080"/>
      <w:contextualSpacing/>
    </w:pPr>
  </w:style>
  <w:style w:type="paragraph" w:styleId="33">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6">
    <w:name w:val="Light Shading"/>
    <w:basedOn w:val="34"/>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7">
    <w:name w:val="Light Shading Accent 1"/>
    <w:basedOn w:val="34"/>
    <w:qFormat/>
    <w:uiPriority w:val="60"/>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8">
    <w:name w:val="Light Shading Accent 2"/>
    <w:basedOn w:val="34"/>
    <w:qFormat/>
    <w:uiPriority w:val="60"/>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9">
    <w:name w:val="Light Shading Accent 3"/>
    <w:basedOn w:val="34"/>
    <w:qFormat/>
    <w:uiPriority w:val="60"/>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0">
    <w:name w:val="Light Shading Accent 4"/>
    <w:basedOn w:val="34"/>
    <w:qFormat/>
    <w:uiPriority w:val="60"/>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Shading Accent 5"/>
    <w:basedOn w:val="34"/>
    <w:qFormat/>
    <w:uiPriority w:val="60"/>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2">
    <w:name w:val="Light Shading Accent 6"/>
    <w:basedOn w:val="34"/>
    <w:qFormat/>
    <w:uiPriority w:val="60"/>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3">
    <w:name w:val="Light List"/>
    <w:basedOn w:val="34"/>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4">
    <w:name w:val="Light List Accent 1"/>
    <w:basedOn w:val="34"/>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5">
    <w:name w:val="Light List Accent 2"/>
    <w:basedOn w:val="34"/>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6">
    <w:name w:val="Light List Accent 3"/>
    <w:basedOn w:val="34"/>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7">
    <w:name w:val="Light List Accent 4"/>
    <w:basedOn w:val="34"/>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8">
    <w:name w:val="Light List Accent 5"/>
    <w:basedOn w:val="34"/>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9">
    <w:name w:val="Light List Accent 6"/>
    <w:basedOn w:val="34"/>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0">
    <w:name w:val="Light Grid"/>
    <w:basedOn w:val="34"/>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1">
    <w:name w:val="Light Grid Accent 1"/>
    <w:basedOn w:val="34"/>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2">
    <w:name w:val="Light Grid Accent 2"/>
    <w:basedOn w:val="34"/>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3">
    <w:name w:val="Light Grid Accent 3"/>
    <w:basedOn w:val="34"/>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4">
    <w:name w:val="Light Grid Accent 4"/>
    <w:basedOn w:val="34"/>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5">
    <w:name w:val="Light Grid Accent 5"/>
    <w:basedOn w:val="34"/>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6">
    <w:name w:val="Light Grid Accent 6"/>
    <w:basedOn w:val="34"/>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7">
    <w:name w:val="Medium Shading 1"/>
    <w:basedOn w:val="34"/>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8">
    <w:name w:val="Medium Shading 1 Accent 1"/>
    <w:basedOn w:val="34"/>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9">
    <w:name w:val="Medium Shading 1 Accent 2"/>
    <w:basedOn w:val="34"/>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0">
    <w:name w:val="Medium Shading 1 Accent 3"/>
    <w:basedOn w:val="34"/>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1">
    <w:name w:val="Medium Shading 1 Accent 4"/>
    <w:basedOn w:val="34"/>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2">
    <w:name w:val="Medium Shading 1 Accent 5"/>
    <w:basedOn w:val="34"/>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3">
    <w:name w:val="Medium Shading 1 Accent 6"/>
    <w:basedOn w:val="34"/>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4">
    <w:name w:val="Medium Shading 2"/>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1"/>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2"/>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34"/>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List 1"/>
    <w:basedOn w:val="34"/>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2">
    <w:name w:val="Medium List 1 Accent 1"/>
    <w:basedOn w:val="34"/>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3">
    <w:name w:val="Medium List 1 Accent 2"/>
    <w:basedOn w:val="34"/>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4">
    <w:name w:val="Medium List 1 Accent 3"/>
    <w:basedOn w:val="34"/>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5">
    <w:name w:val="Medium List 1 Accent 4"/>
    <w:basedOn w:val="34"/>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6">
    <w:name w:val="Medium List 1 Accent 5"/>
    <w:basedOn w:val="34"/>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7">
    <w:name w:val="Medium List 1 Accent 6"/>
    <w:basedOn w:val="34"/>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8">
    <w:name w:val="Medium List 2"/>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1"/>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2"/>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3"/>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4"/>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5"/>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6"/>
    <w:basedOn w:val="34"/>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Grid 1"/>
    <w:basedOn w:val="34"/>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6">
    <w:name w:val="Medium Grid 1 Accent 1"/>
    <w:basedOn w:val="34"/>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7">
    <w:name w:val="Medium Grid 1 Accent 2"/>
    <w:basedOn w:val="34"/>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8">
    <w:name w:val="Medium Grid 1 Accent 3"/>
    <w:basedOn w:val="34"/>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9">
    <w:name w:val="Medium Grid 1 Accent 4"/>
    <w:basedOn w:val="34"/>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0">
    <w:name w:val="Medium Grid 1 Accent 5"/>
    <w:basedOn w:val="34"/>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1">
    <w:name w:val="Medium Grid 1 Accent 6"/>
    <w:basedOn w:val="34"/>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3">
    <w:name w:val="Medium Grid 2 Accent 1"/>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4">
    <w:name w:val="Medium Grid 2 Accent 2"/>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5">
    <w:name w:val="Medium Grid 2 Accent 3"/>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6">
    <w:name w:val="Medium Grid 2 Accent 4"/>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7">
    <w:name w:val="Medium Grid 2 Accent 5"/>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8">
    <w:name w:val="Medium Grid 2 Accent 6"/>
    <w:basedOn w:val="34"/>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9">
    <w:name w:val="Medium Grid 3"/>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0">
    <w:name w:val="Medium Grid 3 Accent 1"/>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1">
    <w:name w:val="Medium Grid 3 Accent 2"/>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2">
    <w:name w:val="Medium Grid 3 Accent 3"/>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3">
    <w:name w:val="Medium Grid 3 Accent 4"/>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4">
    <w:name w:val="Medium Grid 3 Accent 5"/>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5">
    <w:name w:val="Medium Grid 3 Accent 6"/>
    <w:basedOn w:val="34"/>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6">
    <w:name w:val="Dark List"/>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Dark List Accent 1"/>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8">
    <w:name w:val="Dark List Accent 2"/>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9">
    <w:name w:val="Dark List Accent 3"/>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0">
    <w:name w:val="Dark List Accent 4"/>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1">
    <w:name w:val="Dark List Accent 5"/>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2">
    <w:name w:val="Dark List Accent 6"/>
    <w:basedOn w:val="34"/>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3">
    <w:name w:val="Colorful Shading"/>
    <w:basedOn w:val="34"/>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1"/>
    <w:basedOn w:val="34"/>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2"/>
    <w:basedOn w:val="34"/>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3"/>
    <w:basedOn w:val="34"/>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7">
    <w:name w:val="Colorful Shading Accent 4"/>
    <w:basedOn w:val="34"/>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5"/>
    <w:basedOn w:val="34"/>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6"/>
    <w:basedOn w:val="34"/>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List"/>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1">
    <w:name w:val="Colorful List Accent 1"/>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2">
    <w:name w:val="Colorful List Accent 2"/>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3">
    <w:name w:val="Colorful List Accent 3"/>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4">
    <w:name w:val="Colorful List Accent 4"/>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5">
    <w:name w:val="Colorful List Accent 5"/>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6">
    <w:name w:val="Colorful List Accent 6"/>
    <w:basedOn w:val="34"/>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7">
    <w:name w:val="Colorful Grid"/>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8">
    <w:name w:val="Colorful Grid Accent 1"/>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9">
    <w:name w:val="Colorful Grid Accent 2"/>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0">
    <w:name w:val="Colorful Grid Accent 3"/>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1">
    <w:name w:val="Colorful Grid Accent 4"/>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2">
    <w:name w:val="Colorful Grid Accent 5"/>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3">
    <w:name w:val="Colorful Grid Accent 6"/>
    <w:basedOn w:val="34"/>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5">
    <w:name w:val="Strong"/>
    <w:basedOn w:val="134"/>
    <w:qFormat/>
    <w:uiPriority w:val="0"/>
    <w:rPr>
      <w:b/>
      <w:bCs/>
    </w:rPr>
  </w:style>
  <w:style w:type="character" w:styleId="136">
    <w:name w:val="Emphasis"/>
    <w:basedOn w:val="134"/>
    <w:qFormat/>
    <w:uiPriority w:val="20"/>
    <w:rPr>
      <w:i/>
      <w:iCs/>
    </w:rPr>
  </w:style>
  <w:style w:type="character" w:customStyle="1" w:styleId="137">
    <w:name w:val="页眉 Char"/>
    <w:basedOn w:val="134"/>
    <w:link w:val="26"/>
    <w:qFormat/>
    <w:uiPriority w:val="99"/>
  </w:style>
  <w:style w:type="character" w:customStyle="1" w:styleId="138">
    <w:name w:val="页脚 Char"/>
    <w:basedOn w:val="134"/>
    <w:link w:val="25"/>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标题 1 Char"/>
    <w:basedOn w:val="134"/>
    <w:link w:val="4"/>
    <w:uiPriority w:val="9"/>
    <w:rPr>
      <w:rFonts w:asciiTheme="majorHAnsi" w:hAnsiTheme="majorHAnsi" w:eastAsiaTheme="majorEastAsia" w:cstheme="majorBidi"/>
      <w:b/>
      <w:bCs/>
      <w:color w:val="376092" w:themeColor="accent1" w:themeShade="BF"/>
      <w:sz w:val="28"/>
      <w:szCs w:val="28"/>
    </w:rPr>
  </w:style>
  <w:style w:type="character" w:customStyle="1" w:styleId="141">
    <w:name w:val="标题 2 Char"/>
    <w:basedOn w:val="134"/>
    <w:link w:val="5"/>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标题 3 Char"/>
    <w:basedOn w:val="134"/>
    <w:link w:val="6"/>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标题 Char"/>
    <w:basedOn w:val="134"/>
    <w:link w:val="33"/>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副标题 Char"/>
    <w:basedOn w:val="134"/>
    <w:link w:val="27"/>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正文文本 Char"/>
    <w:basedOn w:val="134"/>
    <w:link w:val="2"/>
    <w:uiPriority w:val="99"/>
  </w:style>
  <w:style w:type="character" w:customStyle="1" w:styleId="147">
    <w:name w:val="正文文本 2 Char"/>
    <w:basedOn w:val="134"/>
    <w:link w:val="29"/>
    <w:uiPriority w:val="99"/>
  </w:style>
  <w:style w:type="character" w:customStyle="1" w:styleId="148">
    <w:name w:val="正文文本 3 Char"/>
    <w:basedOn w:val="134"/>
    <w:link w:val="18"/>
    <w:uiPriority w:val="99"/>
    <w:rPr>
      <w:sz w:val="16"/>
      <w:szCs w:val="16"/>
    </w:rPr>
  </w:style>
  <w:style w:type="character" w:customStyle="1" w:styleId="149">
    <w:name w:val="宏文本 Char"/>
    <w:basedOn w:val="134"/>
    <w:link w:val="3"/>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引用 Char"/>
    <w:basedOn w:val="134"/>
    <w:link w:val="150"/>
    <w:qFormat/>
    <w:uiPriority w:val="29"/>
    <w:rPr>
      <w:i/>
      <w:iCs/>
      <w:color w:val="000000" w:themeColor="text1"/>
      <w14:textFill>
        <w14:solidFill>
          <w14:schemeClr w14:val="tx1"/>
        </w14:solidFill>
      </w14:textFill>
    </w:rPr>
  </w:style>
  <w:style w:type="character" w:customStyle="1" w:styleId="152">
    <w:name w:val="标题 4 Char"/>
    <w:basedOn w:val="134"/>
    <w:link w:val="7"/>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标题 5 Char"/>
    <w:basedOn w:val="134"/>
    <w:link w:val="8"/>
    <w:semiHidden/>
    <w:uiPriority w:val="9"/>
    <w:rPr>
      <w:rFonts w:asciiTheme="majorHAnsi" w:hAnsiTheme="majorHAnsi" w:eastAsiaTheme="majorEastAsia" w:cstheme="majorBidi"/>
      <w:color w:val="254061" w:themeColor="accent1" w:themeShade="80"/>
    </w:rPr>
  </w:style>
  <w:style w:type="character" w:customStyle="1" w:styleId="154">
    <w:name w:val="标题 6 Char"/>
    <w:basedOn w:val="134"/>
    <w:link w:val="9"/>
    <w:semiHidden/>
    <w:qFormat/>
    <w:uiPriority w:val="9"/>
    <w:rPr>
      <w:rFonts w:asciiTheme="majorHAnsi" w:hAnsiTheme="majorHAnsi" w:eastAsiaTheme="majorEastAsia" w:cstheme="majorBidi"/>
      <w:i/>
      <w:iCs/>
      <w:color w:val="254061" w:themeColor="accent1" w:themeShade="80"/>
    </w:rPr>
  </w:style>
  <w:style w:type="character" w:customStyle="1" w:styleId="155">
    <w:name w:val="标题 7 Char"/>
    <w:basedOn w:val="134"/>
    <w:link w:val="10"/>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标题 8 Char"/>
    <w:basedOn w:val="134"/>
    <w:link w:val="11"/>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标题 9 Char"/>
    <w:basedOn w:val="134"/>
    <w:link w:val="12"/>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明显引用 Char"/>
    <w:basedOn w:val="134"/>
    <w:link w:val="158"/>
    <w:uiPriority w:val="30"/>
    <w:rPr>
      <w:b/>
      <w:bCs/>
      <w:i/>
      <w:iCs/>
      <w:color w:val="4F81BD" w:themeColor="accent1"/>
      <w14:textFill>
        <w14:solidFill>
          <w14:schemeClr w14:val="accent1"/>
        </w14:solidFill>
      </w14:textFill>
    </w:rPr>
  </w:style>
  <w:style w:type="character" w:customStyle="1" w:styleId="160">
    <w:name w:val="不明显强调1"/>
    <w:basedOn w:val="134"/>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明显强调1"/>
    <w:basedOn w:val="134"/>
    <w:qFormat/>
    <w:uiPriority w:val="21"/>
    <w:rPr>
      <w:b/>
      <w:bCs/>
      <w:i/>
      <w:iCs/>
      <w:color w:val="4F81BD" w:themeColor="accent1"/>
      <w14:textFill>
        <w14:solidFill>
          <w14:schemeClr w14:val="accent1"/>
        </w14:solidFill>
      </w14:textFill>
    </w:rPr>
  </w:style>
  <w:style w:type="character" w:customStyle="1" w:styleId="162">
    <w:name w:val="不明显参考1"/>
    <w:basedOn w:val="134"/>
    <w:qFormat/>
    <w:uiPriority w:val="31"/>
    <w:rPr>
      <w:smallCaps/>
      <w:color w:val="C0504D" w:themeColor="accent2"/>
      <w:u w:val="single"/>
      <w14:textFill>
        <w14:solidFill>
          <w14:schemeClr w14:val="accent2"/>
        </w14:solidFill>
      </w14:textFill>
    </w:rPr>
  </w:style>
  <w:style w:type="character" w:customStyle="1" w:styleId="163">
    <w:name w:val="明显参考1"/>
    <w:basedOn w:val="134"/>
    <w:qFormat/>
    <w:uiPriority w:val="32"/>
    <w:rPr>
      <w:b/>
      <w:bCs/>
      <w:smallCaps/>
      <w:color w:val="C0504D" w:themeColor="accent2"/>
      <w:spacing w:val="5"/>
      <w:u w:val="single"/>
      <w14:textFill>
        <w14:solidFill>
          <w14:schemeClr w14:val="accent2"/>
        </w14:solidFill>
      </w14:textFill>
    </w:rPr>
  </w:style>
  <w:style w:type="character" w:customStyle="1" w:styleId="164">
    <w:name w:val="书籍标题1"/>
    <w:basedOn w:val="134"/>
    <w:qFormat/>
    <w:uiPriority w:val="33"/>
    <w:rPr>
      <w:b/>
      <w:bCs/>
      <w:smallCaps/>
      <w:spacing w:val="5"/>
    </w:rPr>
  </w:style>
  <w:style w:type="paragraph" w:customStyle="1" w:styleId="165">
    <w:name w:val="TOC 标题1"/>
    <w:basedOn w:val="4"/>
    <w:next w:val="1"/>
    <w:semiHidden/>
    <w:unhideWhenUsed/>
    <w:qFormat/>
    <w:uiPriority w:val="39"/>
    <w:pPr>
      <w:outlineLvl w:val="9"/>
    </w:pPr>
  </w:style>
  <w:style w:type="paragraph" w:customStyle="1" w:styleId="166">
    <w:name w:val="一级标题"/>
    <w:qFormat/>
    <w:uiPriority w:val="0"/>
    <w:pPr>
      <w:spacing w:before="240" w:after="360" w:line="276" w:lineRule="auto"/>
      <w:jc w:val="center"/>
    </w:pPr>
    <w:rPr>
      <w:rFonts w:ascii="黑体" w:hAnsi="黑体" w:eastAsia="黑体" w:cstheme="minorBidi"/>
      <w:b/>
      <w:sz w:val="44"/>
      <w:szCs w:val="22"/>
      <w:lang w:val="en-US" w:eastAsia="en-US" w:bidi="ar-SA"/>
    </w:rPr>
  </w:style>
  <w:style w:type="paragraph" w:customStyle="1" w:styleId="167">
    <w:name w:val="二级标题"/>
    <w:qFormat/>
    <w:uiPriority w:val="0"/>
    <w:pPr>
      <w:spacing w:before="240" w:after="120" w:line="276" w:lineRule="auto"/>
    </w:pPr>
    <w:rPr>
      <w:rFonts w:ascii="黑体" w:hAnsi="黑体" w:eastAsia="黑体" w:cstheme="minorBidi"/>
      <w:b/>
      <w:sz w:val="32"/>
      <w:szCs w:val="22"/>
      <w:lang w:val="en-US" w:eastAsia="en-US" w:bidi="ar-SA"/>
    </w:rPr>
  </w:style>
  <w:style w:type="paragraph" w:customStyle="1" w:styleId="168">
    <w:name w:val="三级标题"/>
    <w:qFormat/>
    <w:uiPriority w:val="0"/>
    <w:pPr>
      <w:spacing w:before="120" w:after="60" w:line="276" w:lineRule="auto"/>
    </w:pPr>
    <w:rPr>
      <w:rFonts w:ascii="黑体" w:hAnsi="黑体" w:eastAsia="黑体" w:cstheme="minorBidi"/>
      <w:b/>
      <w:sz w:val="28"/>
      <w:szCs w:val="22"/>
      <w:lang w:val="en-US" w:eastAsia="en-US" w:bidi="ar-SA"/>
    </w:rPr>
  </w:style>
  <w:style w:type="paragraph" w:customStyle="1" w:styleId="169">
    <w:name w:val="正文缩进1"/>
    <w:qFormat/>
    <w:uiPriority w:val="0"/>
    <w:pPr>
      <w:spacing w:after="120" w:line="360" w:lineRule="auto"/>
      <w:ind w:firstLine="480"/>
    </w:pPr>
    <w:rPr>
      <w:rFonts w:ascii="仿宋_GB2312" w:hAnsi="仿宋_GB2312" w:eastAsia="仿宋_GB2312" w:cstheme="minorBidi"/>
      <w:sz w:val="24"/>
      <w:szCs w:val="22"/>
      <w:lang w:val="en-US" w:eastAsia="en-US" w:bidi="ar-SA"/>
    </w:rPr>
  </w:style>
  <w:style w:type="paragraph" w:customStyle="1" w:styleId="170">
    <w:name w:val="条例正文"/>
    <w:qFormat/>
    <w:uiPriority w:val="0"/>
    <w:pPr>
      <w:spacing w:after="60" w:line="360" w:lineRule="auto"/>
    </w:pPr>
    <w:rPr>
      <w:rFonts w:ascii="仿宋_GB2312" w:hAnsi="仿宋_GB2312" w:eastAsia="仿宋_GB2312" w:cstheme="minorBidi"/>
      <w:sz w:val="24"/>
      <w:szCs w:val="22"/>
      <w:lang w:val="en-US" w:eastAsia="en-US" w:bidi="ar-SA"/>
    </w:rPr>
  </w:style>
  <w:style w:type="character" w:customStyle="1" w:styleId="171">
    <w:name w:val="批注框文本 Char"/>
    <w:basedOn w:val="134"/>
    <w:link w:val="24"/>
    <w:semiHidden/>
    <w:uiPriority w:val="99"/>
    <w:rPr>
      <w:rFonts w:ascii="仿宋_GB2312" w:hAnsi="仿宋_GB2312" w:eastAsia="仿宋_GB2312"/>
      <w:sz w:val="18"/>
      <w:szCs w:val="18"/>
      <w:lang w:eastAsia="en-US"/>
    </w:rPr>
  </w:style>
  <w:style w:type="character" w:customStyle="1" w:styleId="172">
    <w:name w:val="fontstyle01"/>
    <w:basedOn w:val="134"/>
    <w:uiPriority w:val="0"/>
    <w:rPr>
      <w:rFonts w:hint="eastAsia" w:ascii="仿宋_GB2312" w:eastAsia="仿宋_GB2312"/>
      <w:color w:val="000000"/>
      <w:sz w:val="36"/>
      <w:szCs w:val="36"/>
    </w:rPr>
  </w:style>
  <w:style w:type="character" w:customStyle="1" w:styleId="173">
    <w:name w:val="fontstyle11"/>
    <w:basedOn w:val="134"/>
    <w:uiPriority w:val="0"/>
    <w:rPr>
      <w:rFonts w:hint="default" w:ascii="TimesNewRomanPSMT" w:hAnsi="TimesNewRomanPSMT" w:cs="TimesNewRomanPSMT"/>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65DC6-7890-442D-9CE8-7B59311DB034}">
  <ds:schemaRefs/>
</ds:datastoreItem>
</file>

<file path=docProps/app.xml><?xml version="1.0" encoding="utf-8"?>
<Properties xmlns="http://schemas.openxmlformats.org/officeDocument/2006/extended-properties" xmlns:vt="http://schemas.openxmlformats.org/officeDocument/2006/docPropsVTypes">
  <Template>Normal.dotm</Template>
  <Pages>9</Pages>
  <Words>5272</Words>
  <Characters>5580</Characters>
  <Lines>42</Lines>
  <Paragraphs>11</Paragraphs>
  <TotalTime>90</TotalTime>
  <ScaleCrop>false</ScaleCrop>
  <LinksUpToDate>false</LinksUpToDate>
  <CharactersWithSpaces>5611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ghsjb</cp:lastModifiedBy>
  <dcterms:modified xsi:type="dcterms:W3CDTF">2026-05-29T07:44:17Z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eyJoZGlkIjoiYmJlOTVhMWE1NjA5ODBjY2QwMzVhMjkxMDNjYjM0NWMifQ==</vt:lpwstr>
  </property>
  <property fmtid="{D5CDD505-2E9C-101B-9397-08002B2CF9AE}" pid="3" name="KSOProductBuildVer">
    <vt:lpwstr>2052-12.1.0.26375</vt:lpwstr>
  </property>
  <property fmtid="{D5CDD505-2E9C-101B-9397-08002B2CF9AE}" pid="4" name="ICV">
    <vt:lpwstr>E9238C1AE64D4094BAA880139015F7AF</vt:lpwstr>
  </property>
</Properties>
</file>